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ncmi-20260702.htm"/>
      <w:bookmarkStart w:id="1" w:name="ksncmi20260702"/>
      <w:bookmarkEnd w:id="0"/>
      <w:bookmarkEnd w:id="1"/>
      <w:r>
        <w:rPr/>
        <w:t> </w:t>
      </w:r>
    </w:p>
    <w:p>
      <w:pPr>
        <w:pStyle w:val="TextBody"/>
        <w:bidi w:val="0"/>
        <w:jc w:val="center"/>
        <w:rPr>
          <w:rFonts w:ascii="Times New Roman" w:hAnsi="Times New Roman"/>
          <w:b/>
          <w:color w:val="000000"/>
          <w:sz w:val="36"/>
        </w:rPr>
      </w:pPr>
      <w:bookmarkStart w:id="2" w:name="section1"/>
      <w:bookmarkEnd w:id="2"/>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July 2,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6"/>
        <w:gridCol w:w="9829"/>
      </w:tblGrid>
      <w:tr>
        <w:trPr/>
        <w:tc>
          <w:tcPr>
            <w:tcW w:w="376" w:type="dxa"/>
            <w:tcBorders/>
            <w:vAlign w:val="center"/>
          </w:tcPr>
          <w:p>
            <w:pPr>
              <w:pStyle w:val="TableContents"/>
              <w:bidi w:val="0"/>
              <w:spacing w:before="0" w:after="283"/>
              <w:jc w:val="left"/>
              <w:rPr>
                <w:sz w:val="4"/>
                <w:szCs w:val="4"/>
              </w:rPr>
            </w:pPr>
            <w:r>
              <w:rPr>
                <w:sz w:val="4"/>
                <w:szCs w:val="4"/>
              </w:rPr>
            </w:r>
          </w:p>
        </w:tc>
        <w:tc>
          <w:tcPr>
            <w:tcW w:w="9829"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ind w:left="0" w:right="0" w:firstLine="45"/>
              <w:jc w:val="center"/>
              <w:rPr>
                <w:color w:val="000000"/>
              </w:rPr>
            </w:pPr>
            <w:r>
              <w:rPr>
                <w:color w:val="000000"/>
              </w:rPr>
              <w:t>☐</w:t>
            </w:r>
          </w:p>
        </w:tc>
        <w:tc>
          <w:tcPr>
            <w:tcW w:w="9829" w:type="dxa"/>
            <w:tcBorders/>
            <w:tcMar>
              <w:top w:w="0" w:type="dxa"/>
              <w:left w:w="0" w:type="dxa"/>
              <w:bottom w:w="0" w:type="dxa"/>
              <w:right w:w="0" w:type="dxa"/>
            </w:tcMar>
            <w:vAlign w:val="center"/>
          </w:tcPr>
          <w:p>
            <w:pPr>
              <w:pStyle w:val="TableContents"/>
              <w:bidi w:val="0"/>
              <w:spacing w:before="0" w:after="283"/>
              <w:ind w:left="0" w:right="0" w:firstLine="45"/>
              <w:jc w:val="center"/>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001-33296</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pPr>
      <w:r>
        <w:rPr/>
        <w:drawing>
          <wp:inline distT="0" distB="0" distL="0" distR="0">
            <wp:extent cx="1704975"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04975" cy="571500"/>
                    </a:xfrm>
                    <a:prstGeom prst="rect">
                      <a:avLst/>
                    </a:prstGeom>
                  </pic:spPr>
                </pic:pic>
              </a:graphicData>
            </a:graphic>
          </wp:inline>
        </w:drawing>
      </w:r>
    </w:p>
    <w:p>
      <w:pPr>
        <w:pStyle w:val="TextBody"/>
        <w:bidi w:val="0"/>
        <w:jc w:val="center"/>
        <w:rPr>
          <w:rFonts w:ascii="Times New Roman" w:hAnsi="Times New Roman"/>
          <w:b/>
          <w:color w:val="000000"/>
          <w:sz w:val="48"/>
        </w:rPr>
      </w:pPr>
      <w:r>
        <w:rPr>
          <w:rFonts w:ascii="Times New Roman" w:hAnsi="Times New Roman"/>
          <w:b/>
          <w:color w:val="000000"/>
          <w:sz w:val="48"/>
        </w:rPr>
        <w:t>NATIONAL CINEMEDIA,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jc w:val="center"/>
        <w:rPr/>
      </w:pPr>
      <w:r>
        <w:rPr/>
        <w:t> </w:t>
      </w:r>
    </w:p>
    <w:tbl>
      <w:tblPr>
        <w:tblW w:w="6439" w:type="dxa"/>
        <w:jc w:val="left"/>
        <w:tblInd w:w="0" w:type="dxa"/>
        <w:tblLayout w:type="fixed"/>
        <w:tblCellMar>
          <w:top w:w="28" w:type="dxa"/>
          <w:left w:w="28" w:type="dxa"/>
          <w:bottom w:w="28" w:type="dxa"/>
          <w:right w:w="28" w:type="dxa"/>
        </w:tblCellMar>
      </w:tblPr>
      <w:tblGrid>
        <w:gridCol w:w="3016"/>
        <w:gridCol w:w="1021"/>
        <w:gridCol w:w="916"/>
        <w:gridCol w:w="1486"/>
      </w:tblGrid>
      <w:tr>
        <w:trPr/>
        <w:tc>
          <w:tcPr>
            <w:tcW w:w="301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20-5665602</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6300 S. Syracuse Way, Suite 200</w:t>
            </w:r>
          </w:p>
        </w:tc>
        <w:tc>
          <w:tcPr>
            <w:tcW w:w="10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Centennial</w:t>
            </w:r>
          </w:p>
        </w:tc>
        <w:tc>
          <w:tcPr>
            <w:tcW w:w="9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Colorado</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80111</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93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20" w:after="283"/>
        <w:jc w:val="center"/>
        <w:rPr>
          <w:rFonts w:ascii="Times New Roman" w:hAnsi="Times New Roman"/>
          <w:sz w:val="20"/>
        </w:rPr>
      </w:pPr>
      <w:r>
        <w:rPr>
          <w:rFonts w:ascii="Times New Roman" w:hAnsi="Times New Roman"/>
          <w:b/>
          <w:color w:val="000000"/>
          <w:sz w:val="18"/>
        </w:rPr>
        <w:t>Registrant’s telephone number, including area code: (303) 792-3600</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18"/>
        </w:rPr>
        <w:t>6300 S. Syracuse Way, Suite 300, Centennial</w:t>
      </w:r>
      <w:r>
        <w:rPr>
          <w:rFonts w:ascii="Times New Roman" w:hAnsi="Times New Roman"/>
          <w:color w:val="000000"/>
          <w:sz w:val="20"/>
        </w:rPr>
        <w:t xml:space="preserve"> </w:t>
      </w:r>
      <w:r>
        <w:rPr>
          <w:rFonts w:ascii="Times New Roman" w:hAnsi="Times New Roman"/>
          <w:b/>
          <w:color w:val="000000"/>
          <w:sz w:val="18"/>
        </w:rPr>
        <w:t>Colorado</w:t>
      </w:r>
      <w:r>
        <w:rPr>
          <w:rFonts w:ascii="Times New Roman" w:hAnsi="Times New Roman"/>
          <w:color w:val="000000"/>
          <w:sz w:val="20"/>
        </w:rPr>
        <w:t xml:space="preserve"> </w:t>
      </w:r>
      <w:r>
        <w:rPr>
          <w:rFonts w:ascii="Times New Roman" w:hAnsi="Times New Roman"/>
          <w:b/>
          <w:color w:val="000000"/>
          <w:sz w:val="18"/>
        </w:rPr>
        <w:t>80111</w:t>
      </w:r>
    </w:p>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(Former name, former address and former fiscal year, if changed since last report)</w:t>
      </w:r>
    </w:p>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Securities registered pursuant to Section 12(b) of the Act:</w:t>
      </w:r>
    </w:p>
    <w:p>
      <w:pPr>
        <w:pStyle w:val="TextBody"/>
        <w:bidi w:val="0"/>
        <w:jc w:val="center"/>
        <w:rPr/>
      </w:pPr>
      <w:r>
        <w:rPr/>
        <w:t> </w:t>
      </w:r>
    </w:p>
    <w:tbl>
      <w:tblPr>
        <w:tblW w:w="8793" w:type="dxa"/>
        <w:jc w:val="left"/>
        <w:tblInd w:w="0" w:type="dxa"/>
        <w:tblLayout w:type="fixed"/>
        <w:tblCellMar>
          <w:top w:w="28" w:type="dxa"/>
          <w:left w:w="28" w:type="dxa"/>
          <w:bottom w:w="28" w:type="dxa"/>
          <w:right w:w="28" w:type="dxa"/>
        </w:tblCellMar>
      </w:tblPr>
      <w:tblGrid>
        <w:gridCol w:w="3496"/>
        <w:gridCol w:w="1591"/>
        <w:gridCol w:w="3706"/>
      </w:tblGrid>
      <w:tr>
        <w:trPr/>
        <w:tc>
          <w:tcPr>
            <w:tcW w:w="349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3496" w:type="dxa"/>
            <w:tcBorders/>
            <w:tcMar>
              <w:top w:w="0" w:type="dxa"/>
              <w:left w:w="0" w:type="dxa"/>
              <w:bottom w:w="0" w:type="dxa"/>
              <w:right w:w="0" w:type="dxa"/>
            </w:tcMar>
            <w:vAlign w:val="center"/>
          </w:tcPr>
          <w:p>
            <w:pPr>
              <w:pStyle w:val="TableContents"/>
              <w:bidi w:val="0"/>
              <w:spacing w:before="20" w:after="283"/>
              <w:jc w:val="center"/>
              <w:rPr>
                <w:rFonts w:ascii="Times New Roman" w:hAnsi="Times New Roman"/>
                <w:color w:val="000000"/>
                <w:sz w:val="20"/>
                <w:u w:val="single"/>
              </w:rPr>
            </w:pPr>
            <w:r>
              <w:rPr>
                <w:rFonts w:ascii="Times New Roman" w:hAnsi="Times New Roman"/>
                <w:color w:val="000000"/>
                <w:sz w:val="20"/>
                <w:u w:val="single"/>
              </w:rPr>
              <w:t>Title of each class</w:t>
            </w:r>
          </w:p>
        </w:tc>
        <w:tc>
          <w:tcPr>
            <w:tcW w:w="1591" w:type="dxa"/>
            <w:tcBorders/>
            <w:tcMar>
              <w:top w:w="0" w:type="dxa"/>
              <w:left w:w="0" w:type="dxa"/>
              <w:bottom w:w="0" w:type="dxa"/>
              <w:right w:w="0" w:type="dxa"/>
            </w:tcMar>
            <w:vAlign w:val="center"/>
          </w:tcPr>
          <w:p>
            <w:pPr>
              <w:pStyle w:val="TableContents"/>
              <w:bidi w:val="0"/>
              <w:spacing w:before="20" w:after="283"/>
              <w:jc w:val="center"/>
              <w:rPr>
                <w:rFonts w:ascii="Times New Roman" w:hAnsi="Times New Roman"/>
                <w:color w:val="000000"/>
                <w:sz w:val="20"/>
                <w:u w:val="single"/>
              </w:rPr>
            </w:pPr>
            <w:r>
              <w:rPr>
                <w:rFonts w:ascii="Times New Roman" w:hAnsi="Times New Roman"/>
                <w:color w:val="000000"/>
                <w:sz w:val="20"/>
                <w:u w:val="single"/>
              </w:rPr>
              <w:t>Trading symbol(s)</w:t>
            </w:r>
          </w:p>
        </w:tc>
        <w:tc>
          <w:tcPr>
            <w:tcW w:w="3706" w:type="dxa"/>
            <w:tcBorders/>
            <w:tcMar>
              <w:top w:w="0" w:type="dxa"/>
              <w:left w:w="0" w:type="dxa"/>
              <w:bottom w:w="0" w:type="dxa"/>
              <w:right w:w="0" w:type="dxa"/>
            </w:tcMar>
            <w:vAlign w:val="center"/>
          </w:tcPr>
          <w:p>
            <w:pPr>
              <w:pStyle w:val="TableContents"/>
              <w:bidi w:val="0"/>
              <w:spacing w:before="20" w:after="283"/>
              <w:jc w:val="center"/>
              <w:rPr>
                <w:rFonts w:ascii="Times New Roman" w:hAnsi="Times New Roman"/>
                <w:color w:val="000000"/>
                <w:sz w:val="20"/>
                <w:u w:val="single"/>
              </w:rPr>
            </w:pPr>
            <w:r>
              <w:rPr>
                <w:rFonts w:ascii="Times New Roman" w:hAnsi="Times New Roman"/>
                <w:color w:val="000000"/>
                <w:sz w:val="20"/>
                <w:u w:val="single"/>
              </w:rP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5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NCMI</w:t>
            </w:r>
          </w:p>
        </w:tc>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9"/>
        </w:rPr>
        <w:t>No ☐</w:t>
      </w:r>
    </w:p>
    <w:p>
      <w:pPr>
        <w:pStyle w:val="TextBody"/>
        <w:bidi w:val="0"/>
        <w:spacing w:before="120" w:after="283"/>
        <w:jc w:val="left"/>
        <w:rPr>
          <w:rFonts w:ascii="Times New Roman" w:hAnsi="Times New Roman"/>
          <w:sz w:val="20"/>
        </w:rPr>
      </w:pPr>
      <w:r>
        <w:rPr>
          <w:rFonts w:ascii="Times New Roman" w:hAnsi="Times New Roman"/>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9"/>
        </w:rPr>
        <w:t>No ☐</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055" w:type="dxa"/>
        <w:jc w:val="left"/>
        <w:tblInd w:w="0" w:type="dxa"/>
        <w:tblLayout w:type="fixed"/>
        <w:tblCellMar>
          <w:top w:w="28" w:type="dxa"/>
          <w:left w:w="28" w:type="dxa"/>
          <w:bottom w:w="28" w:type="dxa"/>
          <w:right w:w="28" w:type="dxa"/>
        </w:tblCellMar>
      </w:tblPr>
      <w:tblGrid>
        <w:gridCol w:w="1921"/>
        <w:gridCol w:w="316"/>
        <w:gridCol w:w="14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120" w:after="283"/>
        <w:jc w:val="left"/>
        <w:rPr>
          <w:rFonts w:ascii="Times New Roman" w:hAnsi="Times New Roman"/>
          <w:color w:val="000000"/>
          <w:sz w:val="19"/>
        </w:rPr>
      </w:pPr>
      <w:r>
        <w:rPr>
          <w:rFonts w:ascii="Times New Roman" w:hAnsi="Times New Roman"/>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left"/>
        <w:rPr>
          <w:rFonts w:ascii="Times New Roman" w:hAnsi="Times New Roman"/>
          <w:sz w:val="20"/>
        </w:rPr>
      </w:pPr>
      <w:r>
        <w:rPr>
          <w:rFonts w:ascii="Times New Roman" w:hAnsi="Times New Roman"/>
          <w:color w:val="000000"/>
          <w:sz w:val="19"/>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9"/>
        </w:rPr>
        <w:t>As of August 6, 2026, 94,070,443</w:t>
      </w:r>
      <w:r>
        <w:rPr>
          <w:rFonts w:ascii="Times New Roman" w:hAnsi="Times New Roman"/>
          <w:color w:val="000000"/>
          <w:sz w:val="20"/>
        </w:rPr>
        <w:t xml:space="preserve"> </w:t>
      </w:r>
      <w:r>
        <w:rPr>
          <w:rFonts w:ascii="Times New Roman" w:hAnsi="Times New Roman"/>
          <w:color w:val="000000"/>
          <w:sz w:val="19"/>
        </w:rPr>
        <w:t>shares of the registrant’s common stock (including unvested restricted shares), par value of $0.01 per share, were outstanding.</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bookmarkStart w:id="3" w:name="section2"/>
      <w:bookmarkEnd w:id="3"/>
      <w:r>
        <w:rPr>
          <w:rFonts w:ascii="Times New Roman" w:hAnsi="Times New Roman"/>
          <w:b/>
          <w:color w:val="000000"/>
          <w:sz w:val="20"/>
        </w:rPr>
        <w:t>TABLE OF CONTENTS</w:t>
      </w:r>
    </w:p>
    <w:p>
      <w:pPr>
        <w:pStyle w:val="TextBody"/>
        <w:bidi w:val="0"/>
        <w:jc w:val="left"/>
        <w:rPr/>
      </w:pPr>
      <w:r>
        <w:rPr/>
        <w:t> </w:t>
      </w:r>
    </w:p>
    <w:tbl>
      <w:tblPr>
        <w:tblW w:w="8748" w:type="dxa"/>
        <w:jc w:val="left"/>
        <w:tblInd w:w="0" w:type="dxa"/>
        <w:tblLayout w:type="fixed"/>
        <w:tblCellMar>
          <w:top w:w="28" w:type="dxa"/>
          <w:left w:w="28" w:type="dxa"/>
          <w:bottom w:w="28" w:type="dxa"/>
          <w:right w:w="28" w:type="dxa"/>
        </w:tblCellMar>
      </w:tblPr>
      <w:tblGrid>
        <w:gridCol w:w="811"/>
        <w:gridCol w:w="7366"/>
        <w:gridCol w:w="571"/>
      </w:tblGrid>
      <w:tr>
        <w:trPr/>
        <w:tc>
          <w:tcPr>
            <w:tcW w:w="81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center"/>
              <w:rPr/>
            </w:pPr>
            <w:hyperlink w:anchor="part_i">
              <w:r>
                <w:rPr>
                  <w:rStyle w:val="InternetLink"/>
                  <w:rFonts w:ascii="Times New Roman" w:hAnsi="Times New Roman"/>
                  <w:b/>
                  <w:color w:val="0000FF"/>
                  <w:sz w:val="20"/>
                  <w:u w:val="single"/>
                </w:rPr>
                <w:t>PART I</w:t>
              </w:r>
            </w:hyperlink>
          </w:p>
        </w:tc>
        <w:tc>
          <w:tcPr>
            <w:tcW w:w="571" w:type="dxa"/>
            <w:tcBorders/>
            <w:tcMar>
              <w:top w:w="0" w:type="dxa"/>
              <w:left w:w="0" w:type="dxa"/>
              <w:bottom w:w="0" w:type="dxa"/>
              <w:right w:w="0" w:type="dxa"/>
            </w:tcMar>
            <w:vAlign w:val="center"/>
          </w:tcPr>
          <w:p>
            <w:pPr>
              <w:pStyle w:val="TableContents"/>
              <w:bidi w:val="0"/>
              <w:spacing w:before="53" w:after="30"/>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53" w:after="30"/>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Unaudited Financial Statements</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1</w:t>
            </w:r>
          </w:p>
        </w:tc>
      </w:tr>
      <w:tr>
        <w:trPr/>
        <w:tc>
          <w:tcPr>
            <w:tcW w:w="811" w:type="dxa"/>
            <w:tcBorders/>
            <w:tcMar>
              <w:top w:w="0" w:type="dxa"/>
              <w:left w:w="0" w:type="dxa"/>
              <w:bottom w:w="0" w:type="dxa"/>
              <w:right w:w="0" w:type="dxa"/>
            </w:tcMar>
            <w:vAlign w:val="center"/>
          </w:tcPr>
          <w:p>
            <w:pPr>
              <w:pStyle w:val="TableContents"/>
              <w:bidi w:val="0"/>
              <w:spacing w:before="0" w:after="283"/>
              <w:ind w:left="0" w:right="0" w:firstLine="225"/>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225"/>
              <w:jc w:val="left"/>
              <w:rPr/>
            </w:pPr>
            <w:hyperlink w:anchor="condensed_consolidated_balance_sheets">
              <w:r>
                <w:rPr>
                  <w:rStyle w:val="InternetLink"/>
                  <w:rFonts w:ascii="Times New Roman" w:hAnsi="Times New Roman"/>
                  <w:color w:val="0000FF"/>
                  <w:sz w:val="20"/>
                  <w:u w:val="single"/>
                </w:rPr>
                <w:t>Unaudited Condensed Consolidated Balance Sheets</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1</w:t>
            </w:r>
          </w:p>
        </w:tc>
      </w:tr>
      <w:tr>
        <w:trPr/>
        <w:tc>
          <w:tcPr>
            <w:tcW w:w="811" w:type="dxa"/>
            <w:tcBorders/>
            <w:tcMar>
              <w:top w:w="0" w:type="dxa"/>
              <w:left w:w="0" w:type="dxa"/>
              <w:bottom w:w="0" w:type="dxa"/>
              <w:right w:w="0" w:type="dxa"/>
            </w:tcMar>
            <w:vAlign w:val="center"/>
          </w:tcPr>
          <w:p>
            <w:pPr>
              <w:pStyle w:val="TableContents"/>
              <w:bidi w:val="0"/>
              <w:spacing w:before="0" w:after="283"/>
              <w:ind w:left="0" w:right="0" w:firstLine="225"/>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225"/>
              <w:jc w:val="left"/>
              <w:rPr/>
            </w:pPr>
            <w:hyperlink w:anchor="condensed_consolidated_statements_opera">
              <w:r>
                <w:rPr>
                  <w:rStyle w:val="InternetLink"/>
                  <w:rFonts w:ascii="Times New Roman" w:hAnsi="Times New Roman"/>
                  <w:color w:val="0000FF"/>
                  <w:sz w:val="20"/>
                  <w:u w:val="single"/>
                </w:rPr>
                <w:t>Unaudited Condensed Consolidated Statements of Operations</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2</w:t>
            </w:r>
          </w:p>
        </w:tc>
      </w:tr>
      <w:tr>
        <w:trPr/>
        <w:tc>
          <w:tcPr>
            <w:tcW w:w="811" w:type="dxa"/>
            <w:tcBorders/>
            <w:tcMar>
              <w:top w:w="0" w:type="dxa"/>
              <w:left w:w="0" w:type="dxa"/>
              <w:bottom w:w="0" w:type="dxa"/>
              <w:right w:w="0" w:type="dxa"/>
            </w:tcMar>
            <w:vAlign w:val="center"/>
          </w:tcPr>
          <w:p>
            <w:pPr>
              <w:pStyle w:val="TableContents"/>
              <w:bidi w:val="0"/>
              <w:spacing w:before="0" w:after="283"/>
              <w:ind w:left="0" w:right="0" w:firstLine="225"/>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225"/>
              <w:jc w:val="left"/>
              <w:rPr/>
            </w:pPr>
            <w:hyperlink w:anchor="condense_statements_of_cash_flows">
              <w:r>
                <w:rPr>
                  <w:rStyle w:val="InternetLink"/>
                  <w:rFonts w:ascii="Times New Roman" w:hAnsi="Times New Roman"/>
                  <w:color w:val="0000FF"/>
                  <w:sz w:val="20"/>
                  <w:u w:val="single"/>
                </w:rPr>
                <w:t>Unaudited Condensed Consolidated Statements of Cash Flows</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3</w:t>
            </w:r>
          </w:p>
        </w:tc>
      </w:tr>
      <w:tr>
        <w:trPr/>
        <w:tc>
          <w:tcPr>
            <w:tcW w:w="811" w:type="dxa"/>
            <w:tcBorders/>
            <w:tcMar>
              <w:top w:w="0" w:type="dxa"/>
              <w:left w:w="0" w:type="dxa"/>
              <w:bottom w:w="0" w:type="dxa"/>
              <w:right w:w="0" w:type="dxa"/>
            </w:tcMar>
            <w:vAlign w:val="center"/>
          </w:tcPr>
          <w:p>
            <w:pPr>
              <w:pStyle w:val="TableContents"/>
              <w:bidi w:val="0"/>
              <w:spacing w:before="0" w:after="283"/>
              <w:ind w:left="0" w:right="0" w:firstLine="225"/>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225"/>
              <w:jc w:val="left"/>
              <w:rPr/>
            </w:pPr>
            <w:hyperlink w:anchor="consolidated_statements_of_equity">
              <w:r>
                <w:rPr>
                  <w:rStyle w:val="InternetLink"/>
                  <w:rFonts w:ascii="Times New Roman" w:hAnsi="Times New Roman"/>
                  <w:color w:val="0000FF"/>
                  <w:sz w:val="20"/>
                  <w:u w:val="single"/>
                </w:rPr>
                <w:t>Unaudited Condensed Consolidated Statements of Equity</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5</w:t>
            </w:r>
          </w:p>
        </w:tc>
      </w:tr>
      <w:tr>
        <w:trPr/>
        <w:tc>
          <w:tcPr>
            <w:tcW w:w="811" w:type="dxa"/>
            <w:tcBorders/>
            <w:tcMar>
              <w:top w:w="0" w:type="dxa"/>
              <w:left w:w="0" w:type="dxa"/>
              <w:bottom w:w="0" w:type="dxa"/>
              <w:right w:w="0" w:type="dxa"/>
            </w:tcMar>
            <w:vAlign w:val="center"/>
          </w:tcPr>
          <w:p>
            <w:pPr>
              <w:pStyle w:val="TableContents"/>
              <w:bidi w:val="0"/>
              <w:spacing w:before="0" w:after="283"/>
              <w:ind w:left="0" w:right="0" w:firstLine="225"/>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225"/>
              <w:jc w:val="left"/>
              <w:rPr/>
            </w:pPr>
            <w:hyperlink w:anchor="the_company">
              <w:r>
                <w:rPr>
                  <w:rStyle w:val="InternetLink"/>
                  <w:rFonts w:ascii="Times New Roman" w:hAnsi="Times New Roman"/>
                  <w:color w:val="0000FF"/>
                  <w:sz w:val="20"/>
                  <w:u w:val="single"/>
                </w:rPr>
                <w:t>Notes to Unaudited Condensed Consolidated Financial Statements</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6</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2_mda">
              <w:r>
                <w:rPr>
                  <w:rStyle w:val="InternetLink"/>
                  <w:rFonts w:ascii="Times New Roman" w:hAnsi="Times New Roman"/>
                  <w:color w:val="0000FF"/>
                  <w:sz w:val="20"/>
                  <w:u w:val="single"/>
                </w:rPr>
                <w:t>Management’s Discussion and Analysis of Financial Condition and Results of Operations</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20</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3_quantitative_and_qualitative_disc">
              <w:r>
                <w:rPr>
                  <w:rStyle w:val="InternetLink"/>
                  <w:rFonts w:ascii="Times New Roman" w:hAnsi="Times New Roman"/>
                  <w:color w:val="0000FF"/>
                  <w:sz w:val="20"/>
                  <w:u w:val="single"/>
                </w:rPr>
                <w:t>Quantitative and Qualitative Disclosures about Market Risk</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30</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30</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center"/>
              <w:rPr/>
            </w:pPr>
            <w:hyperlink w:anchor="part_ii_other_information">
              <w:r>
                <w:rPr>
                  <w:rStyle w:val="InternetLink"/>
                  <w:rFonts w:ascii="Times New Roman" w:hAnsi="Times New Roman"/>
                  <w:b/>
                  <w:color w:val="0000FF"/>
                  <w:sz w:val="20"/>
                  <w:u w:val="single"/>
                </w:rPr>
                <w:t>PART II</w:t>
              </w:r>
            </w:hyperlink>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30</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30</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
              <w:r>
                <w:rPr>
                  <w:rStyle w:val="InternetLink"/>
                  <w:rFonts w:ascii="Times New Roman" w:hAnsi="Times New Roman"/>
                  <w:color w:val="0000FF"/>
                  <w:sz w:val="20"/>
                  <w:u w:val="single"/>
                </w:rPr>
                <w:t>Unregistered Sales of Equity Securities and Use of Proceeds</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30</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
              <w:r>
                <w:rPr>
                  <w:rStyle w:val="InternetLink"/>
                  <w:rFonts w:ascii="Times New Roman" w:hAnsi="Times New Roman"/>
                  <w:color w:val="0000FF"/>
                  <w:sz w:val="20"/>
                  <w:u w:val="single"/>
                </w:rPr>
                <w:t>Defaults Upon Senior Securities</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31</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31</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31</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31</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77"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32</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 w:name="part_i"/>
      <w:bookmarkEnd w:id="4"/>
      <w:r>
        <w:rPr>
          <w:rFonts w:ascii="Times New Roman" w:hAnsi="Times New Roman"/>
          <w:b/>
          <w:color w:val="000000"/>
          <w:sz w:val="20"/>
        </w:rPr>
        <w:t>PART I</w:t>
      </w:r>
    </w:p>
    <w:p>
      <w:pPr>
        <w:pStyle w:val="TextBody"/>
        <w:bidi w:val="0"/>
        <w:spacing w:before="200" w:after="283"/>
        <w:jc w:val="left"/>
        <w:rPr>
          <w:rFonts w:ascii="Times New Roman" w:hAnsi="Times New Roman"/>
          <w:sz w:val="20"/>
        </w:rPr>
      </w:pPr>
      <w:bookmarkStart w:id="5" w:name="item_1_financial_statements"/>
      <w:bookmarkEnd w:id="5"/>
      <w:r>
        <w:rPr>
          <w:rFonts w:ascii="Times New Roman" w:hAnsi="Times New Roman"/>
          <w:b/>
          <w:color w:val="000000"/>
          <w:sz w:val="20"/>
        </w:rPr>
        <w:t xml:space="preserve">Item 1. </w:t>
      </w:r>
      <w:r>
        <w:rPr>
          <w:rFonts w:ascii="Times New Roman" w:hAnsi="Times New Roman"/>
          <w:b/>
          <w:color w:val="000000"/>
          <w:sz w:val="20"/>
          <w:u w:val="single"/>
        </w:rPr>
        <w:t>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bookmarkStart w:id="6" w:name="condensed_consolidated_balance_sheets"/>
      <w:bookmarkEnd w:id="6"/>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millions,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9970" w:type="dxa"/>
        <w:jc w:val="left"/>
        <w:tblInd w:w="0" w:type="dxa"/>
        <w:tblLayout w:type="fixed"/>
        <w:tblCellMar>
          <w:top w:w="28" w:type="dxa"/>
          <w:left w:w="28" w:type="dxa"/>
          <w:bottom w:w="28" w:type="dxa"/>
          <w:right w:w="28" w:type="dxa"/>
        </w:tblCellMar>
      </w:tblPr>
      <w:tblGrid>
        <w:gridCol w:w="6431"/>
        <w:gridCol w:w="146"/>
        <w:gridCol w:w="278"/>
        <w:gridCol w:w="727"/>
        <w:gridCol w:w="146"/>
        <w:gridCol w:w="146"/>
        <w:gridCol w:w="360"/>
        <w:gridCol w:w="945"/>
        <w:gridCol w:w="791"/>
      </w:tblGrid>
      <w:tr>
        <w:trPr/>
        <w:tc>
          <w:tcPr>
            <w:tcW w:w="6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6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2,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1, 2026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18"/>
              </w:rPr>
              <w:t>Receivables, net of allowance of $1.2</w:t>
            </w:r>
            <w:r>
              <w:rPr>
                <w:rFonts w:ascii="Times New Roman" w:hAnsi="Times New Roman"/>
                <w:color w:val="000000"/>
                <w:sz w:val="20"/>
              </w:rPr>
              <w:t> </w:t>
            </w:r>
            <w:r>
              <w:rPr>
                <w:rFonts w:ascii="Times New Roman" w:hAnsi="Times New Roman"/>
                <w:color w:val="000000"/>
                <w:sz w:val="18"/>
              </w:rPr>
              <w:t>and $1.1,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3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138.1</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18"/>
              </w:rPr>
              <w:t>Property and equipment, net of accumulated depreciation of $11.3</w:t>
            </w:r>
            <w:r>
              <w:rPr>
                <w:rFonts w:ascii="Times New Roman" w:hAnsi="Times New Roman"/>
                <w:color w:val="000000"/>
                <w:sz w:val="20"/>
              </w:rPr>
              <w:t> </w:t>
            </w:r>
            <w:r>
              <w:rPr>
                <w:rFonts w:ascii="Times New Roman" w:hAnsi="Times New Roman"/>
                <w:color w:val="000000"/>
                <w:sz w:val="18"/>
              </w:rPr>
              <w:t xml:space="preserve">and $8.4, </w:t>
              <w:br/>
              <w:t>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18"/>
              </w:rPr>
              <w:t>Intangible assets, net of accumulated amortization of $102.1</w:t>
            </w:r>
            <w:r>
              <w:rPr>
                <w:rFonts w:ascii="Times New Roman" w:hAnsi="Times New Roman"/>
                <w:color w:val="000000"/>
                <w:sz w:val="20"/>
              </w:rPr>
              <w:t> </w:t>
            </w:r>
            <w:r>
              <w:rPr>
                <w:rFonts w:ascii="Times New Roman" w:hAnsi="Times New Roman"/>
                <w:color w:val="000000"/>
                <w:sz w:val="18"/>
              </w:rPr>
              <w:t>and $86.1,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Debt issuance costs,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3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352.5</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490.6</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Amounts due to ESA Parties,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Payable under the TRA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payroll and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3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62.1</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Payable under the TRA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Long-term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3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3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NCM, Inc.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18"/>
              </w:rPr>
              <w:t>Preferred stock, $0.01</w:t>
            </w:r>
            <w:r>
              <w:rPr>
                <w:rFonts w:ascii="Times New Roman" w:hAnsi="Times New Roman"/>
                <w:color w:val="000000"/>
                <w:sz w:val="20"/>
              </w:rPr>
              <w:t> </w:t>
            </w:r>
            <w:r>
              <w:rPr>
                <w:rFonts w:ascii="Times New Roman" w:hAnsi="Times New Roman"/>
                <w:color w:val="000000"/>
                <w:sz w:val="18"/>
              </w:rPr>
              <w:t>par value; 10,000,000</w:t>
            </w:r>
            <w:r>
              <w:rPr>
                <w:rFonts w:ascii="Times New Roman" w:hAnsi="Times New Roman"/>
                <w:color w:val="000000"/>
                <w:sz w:val="20"/>
              </w:rPr>
              <w:t> </w:t>
            </w:r>
            <w:r>
              <w:rPr>
                <w:rFonts w:ascii="Times New Roman" w:hAnsi="Times New Roman"/>
                <w:color w:val="000000"/>
                <w:sz w:val="18"/>
              </w:rPr>
              <w:t>shares authorized, 50</w:t>
            </w:r>
            <w:r>
              <w:rPr>
                <w:rFonts w:ascii="Times New Roman" w:hAnsi="Times New Roman"/>
                <w:color w:val="000000"/>
                <w:sz w:val="20"/>
              </w:rPr>
              <w:t> </w:t>
            </w:r>
            <w:r>
              <w:rPr>
                <w:rFonts w:ascii="Times New Roman" w:hAnsi="Times New Roman"/>
                <w:color w:val="000000"/>
                <w:sz w:val="18"/>
              </w:rPr>
              <w:t>issued</w:t>
              <w:br/>
              <w:t>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18"/>
              </w:rPr>
              <w:t>Common stock, $0.01</w:t>
            </w:r>
            <w:r>
              <w:rPr>
                <w:rFonts w:ascii="Times New Roman" w:hAnsi="Times New Roman"/>
                <w:color w:val="000000"/>
                <w:sz w:val="20"/>
              </w:rPr>
              <w:t> </w:t>
            </w:r>
            <w:r>
              <w:rPr>
                <w:rFonts w:ascii="Times New Roman" w:hAnsi="Times New Roman"/>
                <w:color w:val="000000"/>
                <w:sz w:val="18"/>
              </w:rPr>
              <w:t>par value; 260,000,000</w:t>
            </w:r>
            <w:r>
              <w:rPr>
                <w:rFonts w:ascii="Times New Roman" w:hAnsi="Times New Roman"/>
                <w:color w:val="000000"/>
                <w:sz w:val="20"/>
              </w:rPr>
              <w:t> </w:t>
            </w:r>
            <w:r>
              <w:rPr>
                <w:rFonts w:ascii="Times New Roman" w:hAnsi="Times New Roman"/>
                <w:color w:val="000000"/>
                <w:sz w:val="18"/>
              </w:rPr>
              <w:t>shares authorized, 93,995,883</w:t>
            </w:r>
            <w:r>
              <w:rPr>
                <w:rFonts w:ascii="Times New Roman" w:hAnsi="Times New Roman"/>
                <w:color w:val="000000"/>
                <w:sz w:val="20"/>
              </w:rPr>
              <w:t> </w:t>
            </w:r>
            <w:r>
              <w:rPr>
                <w:rFonts w:ascii="Times New Roman" w:hAnsi="Times New Roman"/>
                <w:color w:val="000000"/>
                <w:sz w:val="18"/>
              </w:rPr>
              <w:t xml:space="preserve">and </w:t>
              <w:br/>
              <w:t>   93,353,604</w:t>
            </w:r>
            <w:r>
              <w:rPr>
                <w:rFonts w:ascii="Times New Roman" w:hAnsi="Times New Roman"/>
                <w:color w:val="000000"/>
                <w:sz w:val="20"/>
              </w:rPr>
              <w:t> </w:t>
            </w:r>
            <w:r>
              <w:rPr>
                <w:rFonts w:ascii="Times New Roman" w:hAnsi="Times New Roman"/>
                <w:color w:val="000000"/>
                <w:sz w:val="18"/>
              </w:rPr>
              <w:t>issued and outstanding,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Additional paid 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3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NCM, Inc.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3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375.4</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490.6</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NATIONAL CINEMEDIA, INC. AND SUBSIDIARIES</w:t>
      </w:r>
    </w:p>
    <w:p>
      <w:pPr>
        <w:pStyle w:val="TextBody"/>
        <w:bidi w:val="0"/>
        <w:jc w:val="center"/>
        <w:rPr>
          <w:rFonts w:ascii="Times New Roman" w:hAnsi="Times New Roman"/>
          <w:b/>
          <w:color w:val="000000"/>
          <w:sz w:val="18"/>
        </w:rPr>
      </w:pPr>
      <w:bookmarkStart w:id="7" w:name="condensed_consolidated_statements_opera"/>
      <w:bookmarkEnd w:id="7"/>
      <w:r>
        <w:rPr>
          <w:rFonts w:ascii="Times New Roman" w:hAnsi="Times New Roman"/>
          <w:b/>
          <w:color w:val="000000"/>
          <w:sz w:val="18"/>
        </w:rPr>
        <w:t>CONDENSED CONSOLIDATED STATEMENTS OF OPERATIONS</w:t>
      </w:r>
    </w:p>
    <w:p>
      <w:pPr>
        <w:pStyle w:val="TextBody"/>
        <w:bidi w:val="0"/>
        <w:jc w:val="center"/>
        <w:rPr>
          <w:rFonts w:ascii="Times New Roman" w:hAnsi="Times New Roman"/>
          <w:b/>
          <w:color w:val="000000"/>
          <w:sz w:val="18"/>
        </w:rPr>
      </w:pPr>
      <w:r>
        <w:rPr>
          <w:rFonts w:ascii="Times New Roman" w:hAnsi="Times New Roman"/>
          <w:b/>
          <w:color w:val="000000"/>
          <w:sz w:val="18"/>
        </w:rPr>
        <w:t>(In millions, except share and per share data)</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524"/>
        <w:gridCol w:w="146"/>
        <w:gridCol w:w="211"/>
        <w:gridCol w:w="1036"/>
        <w:gridCol w:w="166"/>
        <w:gridCol w:w="146"/>
        <w:gridCol w:w="211"/>
        <w:gridCol w:w="1036"/>
        <w:gridCol w:w="166"/>
        <w:gridCol w:w="146"/>
        <w:gridCol w:w="211"/>
        <w:gridCol w:w="1036"/>
        <w:gridCol w:w="166"/>
        <w:gridCol w:w="146"/>
        <w:gridCol w:w="211"/>
        <w:gridCol w:w="1036"/>
        <w:gridCol w:w="611"/>
      </w:tblGrid>
      <w:tr>
        <w:trPr/>
        <w:tc>
          <w:tcPr>
            <w:tcW w:w="3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2,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26,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2,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26, 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(including revenue from related parties</w:t>
              <w:br/>
              <w:t>    of $0.0, $0.0, $0.4 and $0.0,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Network operating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Theater exhibition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and marketing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Administrative and 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NON-OPERATING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on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(Gain) loss on re-measurement of the payable </w:t>
              <w:br/>
              <w:t>   under the tax receivable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non-operating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Less: Net loss attributable to </w:t>
              <w:br/>
              <w:t>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NCM,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COMPREHENSIVE LOSS ATTRIBUTABLE </w:t>
              <w:br/>
              <w:t>   TO NCM,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FFFFFF"/>
                <w:sz w:val="20"/>
              </w:rPr>
            </w:pPr>
            <w:r>
              <w:rPr>
                <w:rFonts w:ascii="Times New Roman" w:hAnsi="Times New Roman"/>
                <w:color w:val="FFFFFF"/>
                <w:sz w:val="20"/>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17" w:type="dxa"/>
            <w:gridSpan w:val="4"/>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NCM, INC. COMMON SHARE:</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17"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93,696,124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93,978,031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93,452,698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94,681,546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93,696,124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93,978,031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93,452,698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94,681,546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NATIONAL CINEMEDIA, INC. AND SUBSIDIARIES</w:t>
      </w:r>
    </w:p>
    <w:p>
      <w:pPr>
        <w:pStyle w:val="TextBody"/>
        <w:bidi w:val="0"/>
        <w:jc w:val="center"/>
        <w:rPr>
          <w:rFonts w:ascii="Times New Roman" w:hAnsi="Times New Roman"/>
          <w:b/>
          <w:color w:val="000000"/>
          <w:sz w:val="18"/>
        </w:rPr>
      </w:pPr>
      <w:bookmarkStart w:id="8" w:name="condense_statements_of_cash_flows"/>
      <w:bookmarkEnd w:id="8"/>
      <w:r>
        <w:rPr>
          <w:rFonts w:ascii="Times New Roman" w:hAnsi="Times New Roman"/>
          <w:b/>
          <w:color w:val="000000"/>
          <w:sz w:val="18"/>
        </w:rPr>
        <w:t>CONDENSED CONSOLIDATED STATEMENTS OF CASH FLOWS</w:t>
      </w:r>
    </w:p>
    <w:p>
      <w:pPr>
        <w:pStyle w:val="TextBody"/>
        <w:bidi w:val="0"/>
        <w:jc w:val="center"/>
        <w:rPr>
          <w:rFonts w:ascii="Times New Roman" w:hAnsi="Times New Roman"/>
          <w:sz w:val="20"/>
        </w:rPr>
      </w:pPr>
      <w:r>
        <w:rPr>
          <w:rFonts w:ascii="Times New Roman" w:hAnsi="Times New Roman"/>
          <w:b/>
          <w:color w:val="000000"/>
          <w:sz w:val="18"/>
        </w:rPr>
        <w:t>(In millions)</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left"/>
        <w:rPr/>
      </w:pPr>
      <w:r>
        <w:rPr/>
        <w:t> </w:t>
      </w:r>
    </w:p>
    <w:tbl>
      <w:tblPr>
        <w:tblW w:w="9570" w:type="dxa"/>
        <w:jc w:val="left"/>
        <w:tblInd w:w="0" w:type="dxa"/>
        <w:tblLayout w:type="fixed"/>
        <w:tblCellMar>
          <w:top w:w="28" w:type="dxa"/>
          <w:left w:w="28" w:type="dxa"/>
          <w:bottom w:w="28" w:type="dxa"/>
          <w:right w:w="28" w:type="dxa"/>
        </w:tblCellMar>
      </w:tblPr>
      <w:tblGrid>
        <w:gridCol w:w="5971"/>
        <w:gridCol w:w="146"/>
        <w:gridCol w:w="288"/>
        <w:gridCol w:w="717"/>
        <w:gridCol w:w="166"/>
        <w:gridCol w:w="146"/>
        <w:gridCol w:w="322"/>
        <w:gridCol w:w="803"/>
        <w:gridCol w:w="1011"/>
      </w:tblGrid>
      <w:tr>
        <w:trPr/>
        <w:tc>
          <w:tcPr>
            <w:tcW w:w="5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2,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26, 2025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Consolidated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Adjustments to reconcile consolidated net loss to net cash</w:t>
              <w:br/>
              <w:t>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Non-cash 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 xml:space="preserve">Non-cash (gain) loss on re-measurement of the payable under </w:t>
              <w:br/>
              <w:t>   the tax receivable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Non-cash consideration received for advertising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ESA integration and other encumbered theater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Payments to the ESA Parties under the tax receivable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Receivables,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ESA amounts due to/from,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Purchase of intangible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Proceeds received from equity method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1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2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0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0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Payment of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Purchases of NCM, Inc.'s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Repayment of 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Payment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Repurchase of stock for restricted stock tax withholding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1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2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0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10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NATIONAL CINEMEDIA, INC. AND SUBSIDIARIES</w:t>
      </w:r>
    </w:p>
    <w:p>
      <w:pPr>
        <w:pStyle w:val="TextBody"/>
        <w:bidi w:val="0"/>
        <w:jc w:val="center"/>
        <w:rPr>
          <w:rFonts w:ascii="Times New Roman" w:hAnsi="Times New Roman"/>
          <w:b/>
          <w:color w:val="000000"/>
          <w:sz w:val="18"/>
        </w:rPr>
      </w:pPr>
      <w:bookmarkStart w:id="9" w:name="consolidated_statements_of_cash_flows"/>
      <w:bookmarkEnd w:id="9"/>
      <w:r>
        <w:rPr>
          <w:rFonts w:ascii="Times New Roman" w:hAnsi="Times New Roman"/>
          <w:b/>
          <w:color w:val="000000"/>
          <w:sz w:val="18"/>
        </w:rPr>
        <w:t>CONDENSED CONSOLIDATED STATEMENTS OF CASH FLOWS (CONTINUED)</w:t>
      </w:r>
    </w:p>
    <w:p>
      <w:pPr>
        <w:pStyle w:val="TextBody"/>
        <w:bidi w:val="0"/>
        <w:jc w:val="center"/>
        <w:rPr>
          <w:rFonts w:ascii="Times New Roman" w:hAnsi="Times New Roman"/>
          <w:sz w:val="20"/>
        </w:rPr>
      </w:pPr>
      <w:r>
        <w:rPr>
          <w:rFonts w:ascii="Times New Roman" w:hAnsi="Times New Roman"/>
          <w:b/>
          <w:color w:val="000000"/>
          <w:sz w:val="18"/>
        </w:rPr>
        <w:t>(In millions)</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left"/>
        <w:rPr/>
      </w:pPr>
      <w:r>
        <w:rPr/>
        <w:t> </w:t>
      </w:r>
    </w:p>
    <w:tbl>
      <w:tblPr>
        <w:tblW w:w="9130" w:type="dxa"/>
        <w:jc w:val="left"/>
        <w:tblInd w:w="0" w:type="dxa"/>
        <w:tblLayout w:type="fixed"/>
        <w:tblCellMar>
          <w:top w:w="28" w:type="dxa"/>
          <w:left w:w="28" w:type="dxa"/>
          <w:bottom w:w="28" w:type="dxa"/>
          <w:right w:w="28" w:type="dxa"/>
        </w:tblCellMar>
      </w:tblPr>
      <w:tblGrid>
        <w:gridCol w:w="6171"/>
        <w:gridCol w:w="146"/>
        <w:gridCol w:w="371"/>
        <w:gridCol w:w="634"/>
        <w:gridCol w:w="146"/>
        <w:gridCol w:w="146"/>
        <w:gridCol w:w="415"/>
        <w:gridCol w:w="710"/>
        <w:gridCol w:w="391"/>
      </w:tblGrid>
      <w:tr>
        <w:trPr/>
        <w:tc>
          <w:tcPr>
            <w:tcW w:w="6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2,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26,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non-cash financing and investing activity: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purchases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Increase in dividend equivalent accrual not requiring cash in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method investment obtained in exchange for advertising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NATIONAL CINEMEDIA, INC. AND SUBSIDIARIES</w:t>
      </w:r>
    </w:p>
    <w:p>
      <w:pPr>
        <w:pStyle w:val="TextBody"/>
        <w:bidi w:val="0"/>
        <w:jc w:val="center"/>
        <w:rPr>
          <w:rFonts w:ascii="Times New Roman" w:hAnsi="Times New Roman"/>
          <w:b/>
          <w:color w:val="000000"/>
          <w:sz w:val="18"/>
        </w:rPr>
      </w:pPr>
      <w:bookmarkStart w:id="10" w:name="consolidated_statements_of_equity"/>
      <w:bookmarkEnd w:id="10"/>
      <w:r>
        <w:rPr>
          <w:rFonts w:ascii="Times New Roman" w:hAnsi="Times New Roman"/>
          <w:b/>
          <w:color w:val="000000"/>
          <w:sz w:val="18"/>
        </w:rPr>
        <w:t>CONDENSED CONSOLIDATED STATEMENTS OF EQUITY</w:t>
      </w:r>
    </w:p>
    <w:p>
      <w:pPr>
        <w:pStyle w:val="TextBody"/>
        <w:bidi w:val="0"/>
        <w:jc w:val="center"/>
        <w:rPr>
          <w:rFonts w:ascii="Times New Roman" w:hAnsi="Times New Roman"/>
          <w:b/>
          <w:color w:val="000000"/>
          <w:sz w:val="18"/>
        </w:rPr>
      </w:pPr>
      <w:r>
        <w:rPr>
          <w:rFonts w:ascii="Times New Roman" w:hAnsi="Times New Roman"/>
          <w:b/>
          <w:color w:val="000000"/>
          <w:sz w:val="18"/>
        </w:rPr>
        <w:t>(In millions, except share and per share data)</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70"/>
        <w:gridCol w:w="146"/>
        <w:gridCol w:w="275"/>
        <w:gridCol w:w="686"/>
        <w:gridCol w:w="151"/>
        <w:gridCol w:w="146"/>
        <w:gridCol w:w="146"/>
        <w:gridCol w:w="796"/>
        <w:gridCol w:w="151"/>
        <w:gridCol w:w="146"/>
        <w:gridCol w:w="216"/>
        <w:gridCol w:w="415"/>
        <w:gridCol w:w="146"/>
        <w:gridCol w:w="146"/>
        <w:gridCol w:w="160"/>
        <w:gridCol w:w="381"/>
        <w:gridCol w:w="146"/>
        <w:gridCol w:w="146"/>
        <w:gridCol w:w="216"/>
        <w:gridCol w:w="415"/>
        <w:gridCol w:w="146"/>
        <w:gridCol w:w="146"/>
        <w:gridCol w:w="232"/>
        <w:gridCol w:w="579"/>
        <w:gridCol w:w="151"/>
        <w:gridCol w:w="146"/>
        <w:gridCol w:w="201"/>
        <w:gridCol w:w="505"/>
        <w:gridCol w:w="151"/>
        <w:gridCol w:w="146"/>
        <w:gridCol w:w="278"/>
        <w:gridCol w:w="533"/>
        <w:gridCol w:w="191"/>
      </w:tblGrid>
      <w:tr>
        <w:trPr/>
        <w:tc>
          <w:tcPr>
            <w:tcW w:w="17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NCM, Inc.</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 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Retained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Non-</w:t>
              <w:br/>
              <w:t>controlling</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Consolidated</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Interest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Balance—March 27,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370.8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94,863,471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237.9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Purchases of NCM, Inc.'s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(1,796,726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Comprehensive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Share-based compensation issued,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357,275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Share-based compensation expensed/capitalized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Cash dividends declared of $0.03</w:t>
            </w:r>
            <w:r>
              <w:rPr>
                <w:rFonts w:ascii="Times New Roman" w:hAnsi="Times New Roman"/>
                <w:color w:val="000000"/>
                <w:sz w:val="20"/>
              </w:rPr>
              <w:t> </w:t>
            </w:r>
            <w:r>
              <w:rPr>
                <w:rFonts w:ascii="Times New Roman" w:hAnsi="Times New Roman"/>
                <w:color w:val="000000"/>
                <w:sz w:val="15"/>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Balance—June 26,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350.0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93,424,020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132.7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214.8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Balance—April 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93,566,330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Purchases of NCM, Inc.'s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(62,856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Comprehensive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Share-based compensation issued,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492,409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Share-based compensation expensed/capitalized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Cash dividends declared of $0.03</w:t>
            </w:r>
            <w:r>
              <w:rPr>
                <w:rFonts w:ascii="Times New Roman" w:hAnsi="Times New Roman"/>
                <w:color w:val="000000"/>
                <w:sz w:val="20"/>
              </w:rPr>
              <w:t> </w:t>
            </w:r>
            <w:r>
              <w:rPr>
                <w:rFonts w:ascii="Times New Roman" w:hAnsi="Times New Roman"/>
                <w:color w:val="000000"/>
                <w:sz w:val="15"/>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Balance—July 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334.3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93,995,883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140.5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191.3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70"/>
        <w:gridCol w:w="146"/>
        <w:gridCol w:w="275"/>
        <w:gridCol w:w="686"/>
        <w:gridCol w:w="151"/>
        <w:gridCol w:w="146"/>
        <w:gridCol w:w="146"/>
        <w:gridCol w:w="796"/>
        <w:gridCol w:w="151"/>
        <w:gridCol w:w="146"/>
        <w:gridCol w:w="216"/>
        <w:gridCol w:w="415"/>
        <w:gridCol w:w="146"/>
        <w:gridCol w:w="146"/>
        <w:gridCol w:w="160"/>
        <w:gridCol w:w="381"/>
        <w:gridCol w:w="146"/>
        <w:gridCol w:w="146"/>
        <w:gridCol w:w="216"/>
        <w:gridCol w:w="415"/>
        <w:gridCol w:w="146"/>
        <w:gridCol w:w="146"/>
        <w:gridCol w:w="232"/>
        <w:gridCol w:w="579"/>
        <w:gridCol w:w="151"/>
        <w:gridCol w:w="146"/>
        <w:gridCol w:w="201"/>
        <w:gridCol w:w="505"/>
        <w:gridCol w:w="151"/>
        <w:gridCol w:w="146"/>
        <w:gridCol w:w="278"/>
        <w:gridCol w:w="533"/>
        <w:gridCol w:w="191"/>
      </w:tblGrid>
      <w:tr>
        <w:trPr/>
        <w:tc>
          <w:tcPr>
            <w:tcW w:w="17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NCM, Inc.</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 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Retained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Non-</w:t>
              <w:br/>
              <w:t>controlling</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Consolidated</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Interest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Balance—December 26,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95,755,491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Purchases of NCM, Inc.'s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(3,252,394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Comprehensive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Share-based compensation issued,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920,923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Share-based compensation expensed/capitalized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Cash dividends declared of $0.06</w:t>
            </w:r>
            <w:r>
              <w:rPr>
                <w:rFonts w:ascii="Times New Roman" w:hAnsi="Times New Roman"/>
                <w:color w:val="000000"/>
                <w:sz w:val="20"/>
              </w:rPr>
              <w:t> </w:t>
            </w:r>
            <w:r>
              <w:rPr>
                <w:rFonts w:ascii="Times New Roman" w:hAnsi="Times New Roman"/>
                <w:color w:val="000000"/>
                <w:sz w:val="15"/>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Balance—June 26,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350.0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93,424,020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132.7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214.8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Balance—January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93,353,604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Purchases of NCM, Inc.'s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(272,613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Comprehensive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Share-based compensation issued,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914,892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Share-based compensation expensed/capitalized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Cash dividends declared of $0.06</w:t>
            </w:r>
            <w:r>
              <w:rPr>
                <w:rFonts w:ascii="Times New Roman" w:hAnsi="Times New Roman"/>
                <w:color w:val="000000"/>
                <w:sz w:val="20"/>
              </w:rPr>
              <w:t> </w:t>
            </w:r>
            <w:r>
              <w:rPr>
                <w:rFonts w:ascii="Times New Roman" w:hAnsi="Times New Roman"/>
                <w:color w:val="000000"/>
                <w:sz w:val="15"/>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Balance—July 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334.3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93,995,883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140.5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191.3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b/>
          <w:color w:val="000000"/>
          <w:sz w:val="20"/>
        </w:rPr>
      </w:pPr>
      <w:bookmarkStart w:id="11" w:name="the_company"/>
      <w:bookmarkEnd w:id="11"/>
      <w:r>
        <w:rPr>
          <w:rFonts w:ascii="Times New Roman" w:hAnsi="Times New Roman"/>
          <w:b/>
          <w:color w:val="000000"/>
          <w:sz w:val="20"/>
        </w:rPr>
        <w:t>1. THE COMPANY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Description of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National CineMedia, Inc., a Delaware corporation (“NCM, Inc.”), is a holding company with the sole purpose of becoming a member and sole manager of National CineMedia, LLC (“NCM LLC”), a Delaware limited liability company. NCM, Inc. currently owns 100.0% of NCM LLC. The terms “NCM”, “the Company” or “we” shall, unless the context otherwise requires, be deemed to reference the consolidated entity.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National CineMedia is the largest cinema advertising platform in the U.S. With unparalleled reach and scale, NCM connects brands to sought-after young, diverse audiences through the power of movies and pop culture. A premium video, full-funnel marketing solution for advertisers, NCM enhances advertisers’ ability to measure and drive results. NCM’s </w:t>
      </w:r>
      <w:r>
        <w:rPr>
          <w:rFonts w:ascii="Times New Roman" w:hAnsi="Times New Roman"/>
          <w:i/>
          <w:color w:val="000000"/>
          <w:sz w:val="20"/>
        </w:rPr>
        <w:t>Noovie</w:t>
      </w:r>
      <w:r>
        <w:rPr>
          <w:rFonts w:ascii="Times New Roman" w:hAnsi="Times New Roman"/>
          <w:color w:val="000000"/>
          <w:sz w:val="20"/>
        </w:rPr>
        <w:t xml:space="preserve">® Show is presented exclusively in 44 leading national and regional theater circuits including the only three national chains, Cinemark USA, Inc., a wholly owned subsidiary of Cinemark Holdings, Inc. (“Cinemark”), American Multi-Cinema, Inc., a wholly owned subsidiary of AMC Entertainment, Inc. (“AMC”) and Regal Cinemas, Inc., a wholly owned subsidiary of Cineworld Group plc and Regal Entertainment Group (“Regal”). NCM’s cinema advertising platform consists of more than 17,500 screens in over 1,500 theaters. In November 2025, NCM extended its reach by acquiring Spotlight and the Spotlight Cinema Network, a U.S. cinema advertising company dedicated to serving art house, luxury and dine-in exhibitors. Spotlight and the Spotlight Cinema Network presents the CineLife® Show exclusively in 110 leading national and regional theater circuits consisting of more than 1,200 screens in over 200 theaters. In total, NCM’s cinema advertising platform, inclusive of Spotlight, consists of approximately 22,000 total theater and lobby screens in over 1,750 theaters in 183 Designated Market Areas® (“DMA®”), including 98 of the top 100.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long-term exhibitor service agreements (“ESAs”) with Cinemark and AMC and long-term agreements with certain network affiliates, including Regal, which grant the Company the exclusive right in their respective theaters to sell advertising, subject to limited exceptions. As of July 2, 2026, the weighted average remaining term of the ESAs with Cinemark and AMC was approximately 15.1 years. The network affiliate agreements expire at various dates between August 31, 2026 and July 13, 2033, with our largest affiliate agreement expiring on July 13, 2033. The weighted average remaining term of the ESAs and the network affiliate agreements together is 11.4 years as of July 2, 2026.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Other Developments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31, 2026, the Company introduced a transformation initiative to increase operational efficiencies and allow for the ultimate automation of certain functions (the “2026 Transformation Initiative”). The Company eliminated the positions of approximately 10.0% of its workforce and transitioned the positions of an additional portion of its workforce to an outsourced service provider. The 2026 Transformation Initiative is expected to be completed in the third quarter of 2026. In conjunction with this initiative, the Company reviewed all vendor relationships and is in the process of terminating its relationship with certain vendors, resulting in estimated termination fees of $0.5 million and $3.1 million for the three and six months ended July 2, 2026,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14, 2025, NCM LLC entered into the Membership Interest Purchase Agreement (“MIPA”) with Spotlight Cinema Networks (“Spotlight”), the only U.S. cinema advertising company dedicated to serving art house, luxury and dine-in exhibitors. The acquisition of Spotlight adds high-scale luxury screens and exhibitors that offer unique and engaging customer experiences to our platform, unlocking new advertising and preshow entertainment inventory across theaters nationwide. Spotlight’s exhibitor partners, including Cinépolis Luxury Cinema, Landmark Theatres, Flix Brewhouse and LOOK Dine-In Cinemas, complement NCM’s national theater network and extend NCM’s reach among culturally engaged premium audiences. The addition of Spotlight’s footprint increases NCM’s national market share by more than 6.0% and expands its theater presence by approximately 30.0% in the critical New York and Los Angeles markets. The Company paid $8.2 million of purchase consideration to acquire 100.0% of the ownership of Spotlight. Spotlight was consolidated within the Company's financial statements as of November 15, 2025.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April 17, 2025, the Company and AMC entered into the Second Amended and Restated Exhibitor Services Agreement (the “2025 AMC Agreement”) and a separate termination agreement (the “AMC Termination Agreement”) by and among NCM LLC, NCM, Inc. and AMC. The 2025 AMC Agreement extended the term of the ESA by five years and more closely aligns the program distributed by NCM LLC in AMC theaters to the predominant pre-feature program show structure distributed in the rest of NCM LLC's advertising network and adjusted the consideration paid by NCM LLC. The AMC Termination Agreement waived AMC’s rights under certain agreements entered into at the time of the Company's IPO. The agreements were accounted for in accordance with the lease modification guidance within </w:t>
      </w:r>
      <w:r>
        <w:rPr>
          <w:rFonts w:ascii="Times New Roman" w:hAnsi="Times New Roman"/>
          <w:i/>
          <w:color w:val="000000"/>
          <w:sz w:val="20"/>
        </w:rPr>
        <w:t>Accounting Standards Codification (“ASC”) 842—Leases</w:t>
      </w:r>
      <w:r>
        <w:rPr>
          <w:rFonts w:ascii="Times New Roman" w:hAnsi="Times New Roman"/>
          <w:color w:val="000000"/>
          <w:sz w:val="20"/>
        </w:rPr>
        <w:t xml:space="preserve">, as the amended ESA contains a short-term operating lease of AMC’s screens. The agreements were considered combined as they were entered into contemporaneously by the same parties. As a result of the agreements, in the year ended January 1, 2026, NCM LLC released $24.8 million of the 'Payable under the TRA' and reversed the receivable of $10.6 million from AMC, related to unpaid integration payments and the receivable under the Common Unit Adjustment Agreement within 'Prepaid expenses and other assets' on the Company's unaudited Condensed Consolidated Balance Sheet. NCM will no longer have an obligation to make TRA payments to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AMC, provide common units as a part of the Common Unit Adjustment Agreement or distribute NCM LLC's available cash to AMC, and the Company received the benefits of the revised ESA, including enhancements related to the pre-feature show structure and NCM's exclusive right to advertise in AMC's theaters. The net impact of these reversals was recorded to the 'Intangible Assets, net of amortization' as AMC's forfeiture of this net payable was considered akin to a lease incentive. The reduction in the intangible asset for the ESAs will result in reduced amortization expense, as it is considered akin to lease expense, for the remainder of the contract term. Refer to Note 5—</w:t>
      </w:r>
      <w:r>
        <w:rPr>
          <w:rFonts w:ascii="Times New Roman" w:hAnsi="Times New Roman"/>
          <w:i/>
          <w:color w:val="000000"/>
          <w:sz w:val="20"/>
        </w:rPr>
        <w:t>Intangible Assets</w:t>
      </w:r>
      <w:r>
        <w:rPr>
          <w:rFonts w:ascii="Times New Roman" w:hAnsi="Times New Roman"/>
          <w:color w:val="000000"/>
          <w:sz w:val="20"/>
        </w:rPr>
        <w:t>, Note 8—</w:t>
      </w:r>
      <w:r>
        <w:rPr>
          <w:rFonts w:ascii="Times New Roman" w:hAnsi="Times New Roman"/>
          <w:i/>
          <w:color w:val="000000"/>
          <w:sz w:val="20"/>
        </w:rPr>
        <w:t>Income Taxes</w:t>
      </w:r>
      <w:r>
        <w:rPr>
          <w:rFonts w:ascii="Times New Roman" w:hAnsi="Times New Roman"/>
          <w:color w:val="000000"/>
          <w:sz w:val="20"/>
        </w:rPr>
        <w:t xml:space="preserve"> and Note 9—</w:t>
      </w:r>
      <w:r>
        <w:rPr>
          <w:rFonts w:ascii="Times New Roman" w:hAnsi="Times New Roman"/>
          <w:i/>
          <w:color w:val="000000"/>
          <w:sz w:val="20"/>
        </w:rPr>
        <w:t>Commitments and Contingencies</w:t>
      </w:r>
      <w:r>
        <w:rPr>
          <w:rFonts w:ascii="Times New Roman" w:hAnsi="Times New Roman"/>
          <w:color w:val="000000"/>
          <w:sz w:val="20"/>
        </w:rPr>
        <w:t xml:space="preserve"> and the Company’s Form 8-K filed with the SEC on April 23, 2025 for additional detail surrounding these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24, 2025, NCM LLC, as borrower, entered into a Loan and Security Agreement with U.S. Bank National Association, as lender (the “2025 Credit Facility”). The agreement provided for a $45.0 million senior secured revolving credit facility that matures on January 24, 2028. In connection with entering into the 2025 Credit Facility, NCM LLC repaid in full the $10.0 million balance outstanding and terminated all commitments under its Revolving Credit Facility 2023, and in connection with this termination, paid a prepayment fee equal to 1% of the total commitment. The 2025 Credit Facility has reduced the Company's overall interest expense, extends the maturity date to 2028 and is a cash flow-based revolving loan compared to the asset-based revolving loan of the Revolving Credit Facility 2023. As of July 2, 2026, NCM LLC has an outstanding balance of $12.0 million under the 2025 Credit Facility. Borrowings under the 2025 Credit Facility may be used for, among other things, working capital and other general corporate purposes of the Company and bear interest at a floating rate equal to term SOFR (subject to a floor of zero) plus an applicable margin of 2.00%, which is subject to increase by an additional 2.00% upon the occurrence of an event of default.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prepared the unaudited Condensed Consolidated Financial Statements and related notes of NCM, Inc. in accordance with generally accepted accounting principles (“GAAP”) for interim financial information and the rules and regulations of the Securities and Exchange Commission (“SEC”). Certain information and footnote disclosures typically included in an annual report have been condensed or omitted for this quarterly report. The balance sheet as of January 1, 2026 is derived from the audited financial statements of NCM, Inc. Therefore, the unaudited Condensed Consolidated Financial Statements should be read in conjunction with the audited Consolidated Financial Statements and notes thereto included in the Company’s annual report on Form 10-K filed for the fiscal year ended January 1, 2026. </w:t>
      </w:r>
    </w:p>
    <w:p>
      <w:pPr>
        <w:pStyle w:val="TextBody"/>
        <w:bidi w:val="0"/>
        <w:spacing w:before="120" w:after="283"/>
        <w:jc w:val="left"/>
        <w:rPr>
          <w:rFonts w:ascii="Times New Roman" w:hAnsi="Times New Roman"/>
          <w:sz w:val="20"/>
        </w:rPr>
      </w:pPr>
      <w:r>
        <w:rPr>
          <w:rFonts w:ascii="Times New Roman" w:hAnsi="Times New Roman"/>
          <w:color w:val="000000"/>
          <w:sz w:val="20"/>
        </w:rPr>
        <w:t>In the opinion of management, all adjustments, consisting of only normal recurring adjustments, necessary to present fairly in all material respects the financial position, results of operations and cash flows for all periods presented have been made and all intercompany accounts have been eliminated in consolidation. The Company has reclassified certain historical amounts on the unaudited Condensed Consolidated Balance Sheets, Statements of Operations and Statements of Cash Flows to conform to current period presentation. Historically, the Company’s business has been seasonal and for this and other reasons operating results for interim periods have not been indicative of the Company’s full year results or future performance.</w:t>
      </w:r>
      <w:r>
        <w:rPr>
          <w:rFonts w:ascii="Times New Roman" w:hAnsi="Times New Roman"/>
          <w:color w:val="EE2724"/>
          <w:sz w:val="20"/>
        </w:rPr>
        <w:t xml:space="preserve"> </w:t>
      </w:r>
      <w:r>
        <w:rPr>
          <w:rFonts w:ascii="Times New Roman" w:hAnsi="Times New Roman"/>
          <w:color w:val="000000"/>
          <w:sz w:val="20"/>
        </w:rPr>
        <w:t>As a result of the related party agreements discussed in Note 6—</w:t>
      </w:r>
      <w:r>
        <w:rPr>
          <w:rFonts w:ascii="Times New Roman" w:hAnsi="Times New Roman"/>
          <w:i/>
          <w:color w:val="000000"/>
          <w:sz w:val="20"/>
        </w:rPr>
        <w:t>Related Party Transactions</w:t>
      </w:r>
      <w:r>
        <w:rPr>
          <w:rFonts w:ascii="Times New Roman" w:hAnsi="Times New Roman"/>
          <w:color w:val="000000"/>
          <w:sz w:val="20"/>
        </w:rPr>
        <w:t>, the operating results as presented are not necessarily indicative of the results that might have occurred if all agreements were with non-related third parties.</w:t>
      </w:r>
      <w:r>
        <w:rPr>
          <w:rFonts w:ascii="Times New Roman" w:hAnsi="Times New Roman"/>
          <w:color w:val="EE2724"/>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Estimates</w:t>
      </w:r>
      <w:r>
        <w:rPr>
          <w:rFonts w:ascii="Times New Roman" w:hAnsi="Times New Roman"/>
          <w:color w:val="000000"/>
          <w:sz w:val="20"/>
        </w:rPr>
        <w:t>—The preparation of the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include those related to undiscounted cash flows utilized in assessing whether there are impairment indicators for the Company's intangible assets, the reserve for uncollectible accounts receivable, share-based compensation and income taxes. Actual results could differ from estimates.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annual financial statements included in its Form 10-K, filed for the fiscal year ended January 1, 2026, contain a complete discussion of the Company’s significant accounting policies. The following is additional information related to the Company’s accounting policies.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 Recognition</w:t>
      </w:r>
      <w:r>
        <w:rPr>
          <w:rFonts w:ascii="Times New Roman" w:hAnsi="Times New Roman"/>
          <w:color w:val="000000"/>
          <w:sz w:val="20"/>
        </w:rPr>
        <w:t xml:space="preserve">—The Company derives revenue principally from the sale of advertising to national, regional and local businesses in </w:t>
      </w:r>
      <w:r>
        <w:rPr>
          <w:rFonts w:ascii="Times New Roman" w:hAnsi="Times New Roman"/>
          <w:i/>
          <w:color w:val="000000"/>
          <w:sz w:val="20"/>
        </w:rPr>
        <w:t>Noovie</w:t>
      </w:r>
      <w:r>
        <w:rPr>
          <w:rFonts w:ascii="Times New Roman" w:hAnsi="Times New Roman"/>
          <w:color w:val="000000"/>
          <w:sz w:val="20"/>
        </w:rPr>
        <w:t xml:space="preserve">®, our cinema advertising and entertainment show seen on movie screens within the NCM Network across the U.S., and the CineLife® Show seen within the Spotlight Cinema Network, as well as on our lobby entertainment network (“LEN”), a series of strategically-placed screens located in movie theater lobbies, as well as other forms of advertising, promotions and experiences in theater lobbies. In addition, the Company sells data and digital advertising, including through the </w:t>
      </w:r>
      <w:r>
        <w:rPr>
          <w:rFonts w:ascii="Times New Roman" w:hAnsi="Times New Roman"/>
          <w:i/>
          <w:color w:val="000000"/>
          <w:sz w:val="20"/>
        </w:rPr>
        <w:t>NCMx</w:t>
      </w:r>
      <w:r>
        <w:rPr>
          <w:rFonts w:ascii="Times New Roman" w:hAnsi="Times New Roman"/>
          <w:color w:val="000000"/>
          <w:sz w:val="20"/>
        </w:rPr>
        <w:t xml:space="preserve"> suite of products, </w:t>
      </w:r>
      <w:r>
        <w:rPr>
          <w:rFonts w:ascii="Times New Roman" w:hAnsi="Times New Roman"/>
          <w:i/>
          <w:color w:val="000000"/>
          <w:sz w:val="20"/>
        </w:rPr>
        <w:t>NCM Boost℠</w:t>
      </w:r>
      <w:r>
        <w:rPr>
          <w:rFonts w:ascii="Times New Roman" w:hAnsi="Times New Roman"/>
          <w:color w:val="000000"/>
          <w:sz w:val="20"/>
        </w:rPr>
        <w:t xml:space="preserve">, </w:t>
      </w:r>
      <w:r>
        <w:rPr>
          <w:rFonts w:ascii="Times New Roman" w:hAnsi="Times New Roman"/>
          <w:i/>
          <w:color w:val="000000"/>
          <w:sz w:val="20"/>
        </w:rPr>
        <w:t>Boomerang℠</w:t>
      </w:r>
      <w:r>
        <w:rPr>
          <w:rFonts w:ascii="Times New Roman" w:hAnsi="Times New Roman"/>
          <w:color w:val="000000"/>
          <w:sz w:val="20"/>
        </w:rPr>
        <w:t xml:space="preserve">, </w:t>
      </w:r>
      <w:r>
        <w:rPr>
          <w:rFonts w:ascii="Times New Roman" w:hAnsi="Times New Roman"/>
          <w:i/>
          <w:color w:val="000000"/>
          <w:sz w:val="20"/>
        </w:rPr>
        <w:t>Bullseye℠</w:t>
      </w:r>
      <w:r>
        <w:rPr>
          <w:rFonts w:ascii="Times New Roman" w:hAnsi="Times New Roman"/>
          <w:color w:val="000000"/>
          <w:sz w:val="20"/>
        </w:rPr>
        <w:t xml:space="preserve"> and </w:t>
      </w:r>
      <w:r>
        <w:rPr>
          <w:rFonts w:ascii="Times New Roman" w:hAnsi="Times New Roman"/>
          <w:i/>
          <w:color w:val="000000"/>
          <w:sz w:val="20"/>
        </w:rPr>
        <w:t>Blueprint℠</w:t>
      </w:r>
      <w:r>
        <w:rPr>
          <w:rFonts w:ascii="Times New Roman" w:hAnsi="Times New Roman"/>
          <w:color w:val="000000"/>
          <w:sz w:val="20"/>
        </w:rPr>
        <w:t>, as well as advertising in a variety of complementary out-of-home venues. The Company also has a long-term agreement to exhibit the advertising of the ESA Parties’ beverage suppliers. Revenue is recognized over time as the customer receives the benefits provided by NCM LLC’s advertising services and the Company has the right to payment for performance to date. The Company considers the terms of each arrangement to determine the appropriate accounting treatment.</w:t>
      </w:r>
    </w:p>
    <w:p>
      <w:pPr>
        <w:pStyle w:val="TextBody"/>
        <w:bidi w:val="0"/>
        <w:spacing w:before="120" w:after="283"/>
        <w:jc w:val="left"/>
        <w:rPr>
          <w:rFonts w:ascii="Times New Roman" w:hAnsi="Times New Roman"/>
          <w:sz w:val="20"/>
        </w:rPr>
      </w:pPr>
      <w:r>
        <w:rPr>
          <w:rFonts w:ascii="Times New Roman" w:hAnsi="Times New Roman"/>
          <w:b/>
          <w:i/>
          <w:color w:val="000000"/>
          <w:sz w:val="20"/>
        </w:rPr>
        <w:t>Concentration of Credit Risk and Significant Customers</w:t>
      </w:r>
      <w:r>
        <w:rPr>
          <w:rFonts w:ascii="Times New Roman" w:hAnsi="Times New Roman"/>
          <w:color w:val="000000"/>
          <w:sz w:val="20"/>
        </w:rPr>
        <w:t xml:space="preserve">—The risk of credit loss related to the Company’s trade receivables and unbilled receivables balances is accounted for through the allowance for credit losses, a contra asset account which reduces the net receivables balance. The allowance for credit losses balance is determined by pooling the Company’s receivables with similar risk characteristics, specifically by type of customer (national or local/regional) and then age of receivable and applying historical write off percentages to these pools in order to determine the amount of expected credit losses as of the balance sheet date. National receivables are with large advertising agencies with strong reputations in the advertising industry and clients with stable financial positions and good credit ratings, represent larger receivables balances per customer and have significantly lower historical and expected credit loss patterns. Local and regional receivables are with smaller companies, sometimes with less credit history, represent smaller receivable balances per customer and have higher historical and expected credit loss patterns. The Company has smaller contracts with many local clients that are not individually significant. The Company also considers current economic conditions and trends to determine whether adjustments to historical loss rates are necessary. The Company also reserves for specific receivable balances that it expects to write off based on known concerns regarding the financial health of the customer. Receivables are written off when management determines amounts are uncollectible.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had one agency through which it sourced advertising revenue that accounted for 11.3% of the Company’s gross outstanding receivable balance as of July 2, 2026, and had no agencies through which it sourced advertising revenue that accounted for more than 10% of the Company's gross outstanding receivable balance as of January 1, 2026. During the three and six months ended July 2, 2026, and the three and six months ended June 26, 2025, the Company had no customers that accounted for more than 10.0% of the Company's revenue. </w:t>
      </w:r>
    </w:p>
    <w:p>
      <w:pPr>
        <w:pStyle w:val="TextBody"/>
        <w:bidi w:val="0"/>
        <w:spacing w:before="120" w:after="283"/>
        <w:jc w:val="left"/>
        <w:rPr>
          <w:rFonts w:ascii="Times New Roman" w:hAnsi="Times New Roman"/>
          <w:sz w:val="20"/>
        </w:rPr>
      </w:pPr>
      <w:r>
        <w:rPr>
          <w:rFonts w:ascii="Times New Roman" w:hAnsi="Times New Roman"/>
          <w:b/>
          <w:i/>
          <w:color w:val="000000"/>
          <w:sz w:val="20"/>
        </w:rPr>
        <w:t>Long-lived Assets</w:t>
      </w:r>
      <w:r>
        <w:rPr>
          <w:rFonts w:ascii="Times New Roman" w:hAnsi="Times New Roman"/>
          <w:color w:val="000000"/>
          <w:sz w:val="20"/>
        </w:rPr>
        <w:t xml:space="preserve">—The Company assesses impairment of long-lived assets pursuant to </w:t>
      </w:r>
      <w:r>
        <w:rPr>
          <w:rFonts w:ascii="Times New Roman" w:hAnsi="Times New Roman"/>
          <w:i/>
          <w:color w:val="000000"/>
          <w:sz w:val="20"/>
        </w:rPr>
        <w:t>ASC 360</w:t>
      </w:r>
      <w:r>
        <w:rPr>
          <w:rFonts w:ascii="Times New Roman" w:hAnsi="Times New Roman"/>
          <w:color w:val="000000"/>
          <w:sz w:val="20"/>
        </w:rPr>
        <w:t>—</w:t>
      </w:r>
      <w:r>
        <w:rPr>
          <w:rFonts w:ascii="Times New Roman" w:hAnsi="Times New Roman"/>
          <w:i/>
          <w:color w:val="000000"/>
          <w:sz w:val="20"/>
        </w:rPr>
        <w:t>Property, Plant and Equipment</w:t>
      </w:r>
      <w:r>
        <w:rPr>
          <w:rFonts w:ascii="Times New Roman" w:hAnsi="Times New Roman"/>
          <w:color w:val="000000"/>
          <w:sz w:val="20"/>
        </w:rPr>
        <w:t>. This includes determining whether certain triggering events have occurred that could affect the value of an asset. The Company recorded $0.2 million, $0.0 million, $0.2 million and $0.0 million in writeoffs related to long-lived assets during the three months ended July 2, 2026 and June 26, 2025, or the six months ended July 2, 2026 and June 26, 2025, respectively.</w:t>
      </w:r>
    </w:p>
    <w:p>
      <w:pPr>
        <w:pStyle w:val="TextBody"/>
        <w:bidi w:val="0"/>
        <w:spacing w:before="120" w:after="283"/>
        <w:jc w:val="left"/>
        <w:rPr>
          <w:rFonts w:ascii="Times New Roman" w:hAnsi="Times New Roman"/>
          <w:sz w:val="20"/>
        </w:rPr>
      </w:pPr>
      <w:r>
        <w:rPr>
          <w:rFonts w:ascii="Times New Roman" w:hAnsi="Times New Roman"/>
          <w:b/>
          <w:i/>
          <w:color w:val="000000"/>
          <w:sz w:val="20"/>
        </w:rPr>
        <w:t>Share-Based Compensation</w:t>
      </w:r>
      <w:r>
        <w:rPr>
          <w:rFonts w:ascii="Times New Roman" w:hAnsi="Times New Roman"/>
          <w:color w:val="000000"/>
          <w:sz w:val="20"/>
        </w:rPr>
        <w:t xml:space="preserve">—The Company has issued stock options and restricted stock units to certain employees and its independent directors. The restricted stock unit and option grants for Company management vest upon the achievement of Company performance measures, market conditions and/or service conditions, while non-management grants vest only upon the achievement of service conditions. Compensation expense of restricted stock units that vest upon the achievement of Company performance measures is based on management’s financial projections and the probability of achieving the projections, which require considerable judgment. A cumulative adjustment is recorded to share-based compensation expense if management changes its estimate of the number of restricted stock units expected to vest in a specific period. Ultimately, the Company adjusts the expense recognized to reflect the actual vested shares following the resolution of the performance conditions. Compensation expense of restricted stock units and options that vest upon achievement of certain market conditions is based on an estimate of the fair value of the granted restricted stock units or options on the grant date, which requires considerable judgment. The fair value of the granted restricted stock units or options is expensed over an estimated derived service period, which also requires considerable judgment. In accordance with </w:t>
      </w:r>
      <w:r>
        <w:rPr>
          <w:rFonts w:ascii="Times New Roman" w:hAnsi="Times New Roman"/>
          <w:i/>
          <w:color w:val="000000"/>
          <w:sz w:val="20"/>
        </w:rPr>
        <w:t>ASC</w:t>
      </w:r>
      <w:r>
        <w:rPr>
          <w:rFonts w:ascii="Times New Roman" w:hAnsi="Times New Roman"/>
          <w:color w:val="000000"/>
          <w:sz w:val="20"/>
        </w:rPr>
        <w:t xml:space="preserve"> </w:t>
      </w:r>
      <w:r>
        <w:rPr>
          <w:rFonts w:ascii="Times New Roman" w:hAnsi="Times New Roman"/>
          <w:i/>
          <w:color w:val="000000"/>
          <w:sz w:val="20"/>
        </w:rPr>
        <w:t>718—Stock Compensation</w:t>
      </w:r>
      <w:r>
        <w:rPr>
          <w:rFonts w:ascii="Times New Roman" w:hAnsi="Times New Roman"/>
          <w:color w:val="000000"/>
          <w:sz w:val="20"/>
        </w:rPr>
        <w:t>, the Company does not adjust the expense recognized to reflect the actual vested shares or options following the resolution of the market condition. Dividends are accrued when declared on unvested restricted stock units that are expected to vest and are only paid with respect to shares that actually vest. During the three and six months ended July 2, 2026 and June 26, 2025, 0.1 million, 1.2 million, 1.5 million and 1.5 million restricted stock units were granted, respectively. During the three and six months ended July 2, 2026 and June 26, 2025, 0.5 million, 0.4 million, 0.9 million and 1.0 million restricted stock units vested, respectively. Additionally, the Company recorded $2.4 million, $2.9 million, $4.0 million and $5.6 million in share-based compensation expense during the three and six months ended July 2, 2026 and June 26, 2025, respectively, within ‘Network operating costs,’ ‘Selling and marketing costs’ and ‘Administrative and other costs’ within the unaudited Condensed Consolidated Statements of Operations or have been capitalized within ‘Property and equipment, net’ within the unaudited Condensed Consolidated Balance Sheets. Certain awards were modified resulting in incremental share-based compensation expense of $0.0 million, $0.4 million, $0.0 million and $0.4 million during the three and six months ended July 2, 2026 and June 26, 2025, respectively.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Share Repurchase Program</w:t>
      </w:r>
      <w:r>
        <w:rPr>
          <w:rFonts w:ascii="Times New Roman" w:hAnsi="Times New Roman"/>
          <w:color w:val="000000"/>
          <w:sz w:val="20"/>
        </w:rPr>
        <w:t xml:space="preserve">—On March 18, 2024, the Board of Directors of the Company approved a stock repurchase program under which the Company is authorized to use assets of the Company to repurchase up to $100.0 million of shares of the Company’s Common Stock, exclusive of any fees, commissions or other expenses related to such repurchases, from time to time over a period of three years. Shares may be repurchased under the program through open market purchases, block trades, or accelerated or other structured share repurchase programs. There were 0.1 million, 1.8 million, 0.3 million and 3.3 million shares repurchased on the open market during the three and six months ended July 2, 2026 and June 26, 2025, respectively. As the Company elected to retire the shares, in accordance with </w:t>
      </w:r>
      <w:r>
        <w:rPr>
          <w:rFonts w:ascii="Times New Roman" w:hAnsi="Times New Roman"/>
          <w:i/>
          <w:color w:val="000000"/>
          <w:sz w:val="20"/>
        </w:rPr>
        <w:t>ASC 505 —Equity</w:t>
      </w:r>
      <w:r>
        <w:rPr>
          <w:rFonts w:ascii="Times New Roman" w:hAnsi="Times New Roman"/>
          <w:color w:val="000000"/>
          <w:sz w:val="20"/>
        </w:rPr>
        <w:t>, upon their retirement, any excess over par value paid, inclusive of direct costs, was recorded as a reduction to retained earnings of $0.2 million, $9.9 million, $0.8 million and $18.8 million for the three and six months ended July 2, 2026 and June 26, 2025, respectively. As of July 2, 2026, 6.9 million shares have been repurchased on the open market since the program's inception.</w:t>
      </w:r>
    </w:p>
    <w:p>
      <w:pPr>
        <w:pStyle w:val="TextBody"/>
        <w:bidi w:val="0"/>
        <w:spacing w:before="120" w:after="120"/>
        <w:jc w:val="left"/>
        <w:rPr>
          <w:rFonts w:ascii="Times New Roman" w:hAnsi="Times New Roman"/>
          <w:sz w:val="20"/>
        </w:rPr>
      </w:pPr>
      <w:r>
        <w:rPr>
          <w:rFonts w:ascii="Times New Roman" w:hAnsi="Times New Roman"/>
          <w:b/>
          <w:i/>
          <w:color w:val="000000"/>
          <w:sz w:val="20"/>
        </w:rPr>
        <w:t>Segment Reporting</w:t>
      </w:r>
      <w:r>
        <w:rPr>
          <w:rFonts w:ascii="Times New Roman" w:hAnsi="Times New Roman"/>
          <w:color w:val="000000"/>
          <w:sz w:val="20"/>
        </w:rPr>
        <w:t xml:space="preserve">—Advertising is the principal business activity of the Company and is the Company’s only operating and reportable segment under the requirements of </w:t>
      </w:r>
      <w:r>
        <w:rPr>
          <w:rFonts w:ascii="Times New Roman" w:hAnsi="Times New Roman"/>
          <w:i/>
          <w:color w:val="000000"/>
          <w:sz w:val="20"/>
        </w:rPr>
        <w:t>ASC 280</w:t>
      </w:r>
      <w:r>
        <w:rPr>
          <w:rFonts w:ascii="Times New Roman" w:hAnsi="Times New Roman"/>
          <w:color w:val="000000"/>
          <w:sz w:val="20"/>
        </w:rPr>
        <w:t>—</w:t>
      </w:r>
      <w:r>
        <w:rPr>
          <w:rFonts w:ascii="Times New Roman" w:hAnsi="Times New Roman"/>
          <w:i/>
          <w:color w:val="000000"/>
          <w:sz w:val="20"/>
        </w:rPr>
        <w:t>Segment Reporting</w:t>
      </w:r>
      <w:r>
        <w:rPr>
          <w:rFonts w:ascii="Times New Roman" w:hAnsi="Times New Roman"/>
          <w:color w:val="000000"/>
          <w:sz w:val="20"/>
        </w:rPr>
        <w:t>. The Company’s Chief Executive Officer is the chief operating decision maker who reviews financial information on a consolidated basis for purposes of allocating resources and evaluating financial performance. The accounting policies of the one operating and reportable segment are the same as those described in the summary of significant accounting policies included in the Company's Form 10-K filed for the fiscal year ended January 1, 2026. All segment revenues relate to services performed within the United States. The Company’s segment assets are generated and domiciled within the United States.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chief operating decision maker assesses performance for the one operating and reportable segment and decides how to allocate resources using consolidated net loss, as presented on the unaudited Condensed Consolidated Statements of Operations as ‘Consolidated net loss,’ among other measures. Consolidated net loss is presented herein as the primary measure as it most closely aligns with US GAAP. The chief operating decision maker uses consolidated net loss to decide whether to utilize profits to invest in the Company or to recommend actions to the Board of Directors such as stock repurchases or future dividends. Consolidated net loss is also utilized to monitor actual results as compared to budgeted expectations to assess the performance of the one operating and reportable segment and in establishing management’s compensation. The Company’s significant segment expenses are consistent with the operating expense financial statement line items as presented within the unaudited Condensed Consolidated Statements of Operations. The Company’s other segment items are consistent with the non-operating income and expense financial statement line items as presented within the unaudited Condensed Consolidated Statements of Operations.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measure of segment assets used to allocate resources is total assets as reported on the unaudited Condensed Consolidated Balance Sheets, inclusive of cash and cash equivalents as well as accounts receivable as reported on the unaudited Condensed Consolidated Balance Sheets as ‘Cash and cash equivalents’ and ‘Receivables, net of allowance,’ respectively.</w:t>
      </w:r>
    </w:p>
    <w:p>
      <w:pPr>
        <w:pStyle w:val="TextBody"/>
        <w:bidi w:val="0"/>
        <w:spacing w:before="0" w:after="120"/>
        <w:jc w:val="left"/>
        <w:rPr>
          <w:rFonts w:ascii="Times New Roman" w:hAnsi="Times New Roman"/>
          <w:sz w:val="20"/>
        </w:rPr>
      </w:pPr>
      <w:r>
        <w:rPr>
          <w:rFonts w:ascii="Times New Roman" w:hAnsi="Times New Roman"/>
          <w:b/>
          <w:i/>
          <w:color w:val="000000"/>
          <w:sz w:val="20"/>
        </w:rPr>
        <w:t>Capital Expenditures</w:t>
      </w:r>
      <w:r>
        <w:rPr>
          <w:rFonts w:ascii="Times New Roman" w:hAnsi="Times New Roman"/>
          <w:color w:val="000000"/>
          <w:sz w:val="20"/>
        </w:rPr>
        <w:t>—Capital expenditures include digital applications being developed primarily by the Company’s programmers and outside consultants, capitalized software development or upgrades for the Company’s Digital Content Software, audience targeting and data management systems, cinema advertising management system, equipment required for the Company’s Customer Experience Center and content production and post-production facilities, office leasehold improvements, desktop equipment for use by employees, and in certain cases, the costs necessary to install equipment at or digitize all or a portion of a network affiliate’s theaters when they are added to the Company’s network. Capital expenditures, for the three and six months ended July 2, 2026 and June 26, 2025, were $0.7 million, $1.7 million, $1.0 million and $2.4 million, respectively.</w:t>
      </w:r>
    </w:p>
    <w:p>
      <w:pPr>
        <w:pStyle w:val="TextBody"/>
        <w:bidi w:val="0"/>
        <w:spacing w:before="0" w:after="120"/>
        <w:jc w:val="left"/>
        <w:rPr>
          <w:rFonts w:ascii="Times New Roman" w:hAnsi="Times New Roman"/>
          <w:sz w:val="20"/>
        </w:rPr>
      </w:pPr>
      <w:r>
        <w:rPr>
          <w:rFonts w:ascii="Times New Roman" w:hAnsi="Times New Roman"/>
          <w:b/>
          <w:i/>
          <w:color w:val="000000"/>
          <w:sz w:val="20"/>
        </w:rPr>
        <w:t>Consolidation</w:t>
      </w:r>
      <w:r>
        <w:rPr>
          <w:rFonts w:ascii="Times New Roman" w:hAnsi="Times New Roman"/>
          <w:color w:val="000000"/>
          <w:sz w:val="20"/>
        </w:rPr>
        <w:t xml:space="preserve">—NCM, Inc. consolidates the accounts of NCM LLC, a variable interest entity wherein NCM, Inc. is the primary beneficiary, under the provisions of </w:t>
      </w:r>
      <w:r>
        <w:rPr>
          <w:rFonts w:ascii="Times New Roman" w:hAnsi="Times New Roman"/>
          <w:i/>
          <w:color w:val="000000"/>
          <w:sz w:val="20"/>
        </w:rPr>
        <w:t>ASC 810</w:t>
      </w:r>
      <w:r>
        <w:rPr>
          <w:rFonts w:ascii="Times New Roman" w:hAnsi="Times New Roman"/>
          <w:color w:val="000000"/>
          <w:sz w:val="20"/>
        </w:rPr>
        <w:t>—</w:t>
      </w:r>
      <w:r>
        <w:rPr>
          <w:rFonts w:ascii="Times New Roman" w:hAnsi="Times New Roman"/>
          <w:i/>
          <w:color w:val="000000"/>
          <w:sz w:val="20"/>
        </w:rPr>
        <w:t>Consolidation</w:t>
      </w:r>
      <w:r>
        <w:rPr>
          <w:rFonts w:ascii="Times New Roman" w:hAnsi="Times New Roman"/>
          <w:color w:val="000000"/>
          <w:sz w:val="20"/>
        </w:rPr>
        <w:t xml:space="preserve">. Upon NCM LLC’s emergence from bankruptcy, it was determined that NCM, Inc. holds the current rights that give it power to direct activities of NCM LLC that most significantly impact NCM LLC’s economic performance and that NCM, Inc. has the rights to receive the significant benefits or the obligations to absorb potentially significant losses, resulting in NCM, Inc. having a controlling financial interest in NCM LLC. As a result, NCM, Inc. was deemed to be the primary beneficiary of NCM LLC and the Company has consolidated NCM LLC under the variable interest entity provisions of </w:t>
      </w:r>
      <w:r>
        <w:rPr>
          <w:rFonts w:ascii="Times New Roman" w:hAnsi="Times New Roman"/>
          <w:i/>
          <w:color w:val="000000"/>
          <w:sz w:val="20"/>
        </w:rPr>
        <w:t>ASC 810</w:t>
      </w:r>
      <w:r>
        <w:rPr>
          <w:rFonts w:ascii="Times New Roman" w:hAnsi="Times New Roman"/>
          <w:color w:val="000000"/>
          <w:sz w:val="20"/>
        </w:rPr>
        <w:t>—</w:t>
      </w:r>
      <w:r>
        <w:rPr>
          <w:rFonts w:ascii="Times New Roman" w:hAnsi="Times New Roman"/>
          <w:i/>
          <w:color w:val="000000"/>
          <w:sz w:val="20"/>
        </w:rPr>
        <w:t xml:space="preserve">Consolidation. </w:t>
      </w:r>
      <w:r>
        <w:rPr>
          <w:rFonts w:ascii="Times New Roman" w:hAnsi="Times New Roman"/>
          <w:color w:val="000000"/>
          <w:sz w:val="20"/>
        </w:rPr>
        <w:t>There were no changes in NCM, Inc.’s equity resulting from net income attributable to NCM, Inc. and transfers to or from noncontrolling interests for the three and six months ended July 2, 2026 and June 26, 2025.</w:t>
      </w:r>
    </w:p>
    <w:p>
      <w:pPr>
        <w:pStyle w:val="TextBody"/>
        <w:bidi w:val="0"/>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did not adopt any accounting pronouncements during the three and six months ended July 2,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2024, the Financial Accounting Standards Board (“FASB”) issued Accounting Standards Update No. 2024-03, Expense Disaggregation Disclosures (“ASU 2024-03”), which expands the disclosures about a public business entity’s expenses and addresses requests from investors for more detailed information about the types of expenses in commonly presented expense captions. Under the new guidance, entities must disclose additional information about certain costs and expenses on an annual and interim basis to enable investors to develop more decision-useful financial analyses. This guidance is effective for issuances relating to periods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beginning on and after December 15, 2026. The Company is still evaluating the expected impact this will have on the Company’s Consolidated Financial Statements, but does not believe this will have a material impact on the Company’s Consolidated Financial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2025, the FASB issued Accounting Standards Update No. 2025-06, Targeted Improvements to the Accounting for Internal-Use Software (“ASU 2025-06”), which modernizes the accounting for internally developed software costs. Under the new guidance, the accounting will better align with how software is developed and eliminates the stage-based rules by establishing a principles-based framework consistent with modern software development practices. This guidance is effective for issuances on and after December 15, 2027. The Company is still evaluating the expected impact this will have on the Company’s Consolidated Financial Statements, but does not believe this will have a material impact on the Company’s Consolidated Financial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considered all other recently issued accounting pronouncements and does not believe the adoption of such pronouncements will have a material impact on its unaudited Condensed Consolidated Financial Statements or notes thereto.</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 REVENUE FROM CONTRACTS WITH CUSTOMERS AND ACCOUNTS RECEIVABLE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derives revenue principally from the sale of advertising to national, regional and local businesses in the </w:t>
      </w:r>
      <w:r>
        <w:rPr>
          <w:rFonts w:ascii="Times New Roman" w:hAnsi="Times New Roman"/>
          <w:i/>
          <w:color w:val="000000"/>
          <w:sz w:val="20"/>
        </w:rPr>
        <w:t xml:space="preserve">Noovie® </w:t>
      </w:r>
      <w:r>
        <w:rPr>
          <w:rFonts w:ascii="Times New Roman" w:hAnsi="Times New Roman"/>
          <w:color w:val="000000"/>
          <w:sz w:val="20"/>
        </w:rPr>
        <w:t xml:space="preserve">show, the Company’s cinema advertising and entertainment pre-show seen on movie screens within the NCM Network, and the CineLife® Show seen within the Spotlight Cinema Network. The Company also sells advertising through the LEN, a series of strategically placed screens located in movie theater lobbies, as well as other forms of advertising and promotions in theater lobbies. In addition, the Company sells data and digital advertising through the </w:t>
      </w:r>
      <w:r>
        <w:rPr>
          <w:rFonts w:ascii="Times New Roman" w:hAnsi="Times New Roman"/>
          <w:i/>
          <w:color w:val="000000"/>
          <w:sz w:val="20"/>
        </w:rPr>
        <w:t>NCMx</w:t>
      </w:r>
      <w:r>
        <w:rPr>
          <w:rFonts w:ascii="Times New Roman" w:hAnsi="Times New Roman"/>
          <w:color w:val="000000"/>
          <w:sz w:val="20"/>
        </w:rPr>
        <w:t xml:space="preserve"> suite of products, </w:t>
      </w:r>
      <w:r>
        <w:rPr>
          <w:rFonts w:ascii="Times New Roman" w:hAnsi="Times New Roman"/>
          <w:i/>
          <w:color w:val="000000"/>
          <w:sz w:val="20"/>
        </w:rPr>
        <w:t>NCM Boost℠</w:t>
      </w:r>
      <w:r>
        <w:rPr>
          <w:rFonts w:ascii="Times New Roman" w:hAnsi="Times New Roman"/>
          <w:color w:val="000000"/>
          <w:sz w:val="20"/>
        </w:rPr>
        <w:t xml:space="preserve">, </w:t>
      </w:r>
      <w:r>
        <w:rPr>
          <w:rFonts w:ascii="Times New Roman" w:hAnsi="Times New Roman"/>
          <w:i/>
          <w:color w:val="000000"/>
          <w:sz w:val="20"/>
        </w:rPr>
        <w:t>Boomerang℠</w:t>
      </w:r>
      <w:r>
        <w:rPr>
          <w:rFonts w:ascii="Times New Roman" w:hAnsi="Times New Roman"/>
          <w:color w:val="000000"/>
          <w:sz w:val="20"/>
        </w:rPr>
        <w:t xml:space="preserve">, </w:t>
      </w:r>
      <w:r>
        <w:rPr>
          <w:rFonts w:ascii="Times New Roman" w:hAnsi="Times New Roman"/>
          <w:i/>
          <w:color w:val="000000"/>
          <w:sz w:val="20"/>
        </w:rPr>
        <w:t>Bullseye℠</w:t>
      </w:r>
      <w:r>
        <w:rPr>
          <w:rFonts w:ascii="Times New Roman" w:hAnsi="Times New Roman"/>
          <w:color w:val="000000"/>
          <w:sz w:val="20"/>
        </w:rPr>
        <w:t xml:space="preserve"> and </w:t>
      </w:r>
      <w:r>
        <w:rPr>
          <w:rFonts w:ascii="Times New Roman" w:hAnsi="Times New Roman"/>
          <w:i/>
          <w:color w:val="000000"/>
          <w:sz w:val="20"/>
        </w:rPr>
        <w:t>Blueprint℠</w:t>
      </w:r>
      <w:r>
        <w:rPr>
          <w:rFonts w:ascii="Times New Roman" w:hAnsi="Times New Roman"/>
          <w:color w:val="000000"/>
          <w:sz w:val="20"/>
        </w:rPr>
        <w:t>, as well as advertising in a variety of complementary out-of-home venues. The Company also has a long-term agreement to exhibit up to 90 seconds of advertising to satisfy the ESA Parties’ on-screen advertising commitments under their beverage concessionaire agreements at contractual rates outlined within the ESAs.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makes contractual guarantees to deliver a specified number of impressions to view the customers’ advertising. If the contracted number of impressions are not delivered, the Company will run additional advertising to deliver the contracted impressions at a later date. The deferred portion of the revenue associated with undelivered impressions is referred to as a make-good provision. The Company defers the revenue associated with the make-good provision until the advertising airs to the audience specified in the advertising contract or the make-good period expires.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has two significant customer contracts with a term in excess of one year that are noncancellable as of July 2, 2026. The remaining performance obligation under these contracts is $3.0 million as of July 2, 2026 and represents commitments for future advertising services for which work has not been performed and revenues are to be recorded in future periods. The Company expects to recognize all of its remaining performance obligation under these contracts within the next two years. Agreements with a duration of less than one year or a duration of longer than one year that are cancellable are not considered within unsatisfied performance obligations as the Company elected to use the practical expedient in </w:t>
      </w:r>
      <w:r>
        <w:rPr>
          <w:rFonts w:ascii="Times New Roman" w:hAnsi="Times New Roman"/>
          <w:i/>
          <w:color w:val="000000"/>
          <w:sz w:val="20"/>
        </w:rPr>
        <w:t>ASC 606-10-50-14</w:t>
      </w:r>
      <w:r>
        <w:rPr>
          <w:rFonts w:ascii="Times New Roman" w:hAnsi="Times New Roman"/>
          <w:color w:val="000000"/>
          <w:sz w:val="20"/>
        </w:rPr>
        <w:t xml:space="preserve"> for those contracts.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Disaggregation of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disaggregates revenue into the categories of national; local and regional and beverage concessionaire based upon a combination of multiple factors including the type of customer, the products included within a contract and the geographic scope. This method of disaggregation is in alignment with how revenue is reviewed by management and discussed with and historically disclosed to investors.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revenue from contracts with customers for the three and six months ended July 2, 2026 and June 26, 2025 (in millions):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60"/>
        <w:gridCol w:w="146"/>
        <w:gridCol w:w="311"/>
        <w:gridCol w:w="687"/>
        <w:gridCol w:w="146"/>
        <w:gridCol w:w="146"/>
        <w:gridCol w:w="347"/>
        <w:gridCol w:w="769"/>
        <w:gridCol w:w="146"/>
        <w:gridCol w:w="146"/>
        <w:gridCol w:w="311"/>
        <w:gridCol w:w="687"/>
        <w:gridCol w:w="146"/>
        <w:gridCol w:w="146"/>
        <w:gridCol w:w="347"/>
        <w:gridCol w:w="769"/>
        <w:gridCol w:w="395"/>
      </w:tblGrid>
      <w:tr>
        <w:trPr/>
        <w:tc>
          <w:tcPr>
            <w:tcW w:w="45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45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2,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26,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2,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26, 2025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National advertising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Local and regional advertising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ESA advertising revenue from beverage concessionaire </w:t>
              <w:br/>
              <w:t>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Deferred Revenue and Unbilled Accounts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deferred revenue balance increases upon issuance of invoices to customers and decreases upon delivery of services and the resulting recognition of revenue. Revenue recognized in the six months ended July 2, 2026 that was included within the ‘Deferred revenue’ balance as of January 1, 2026, was $9.3 million. Revenue recognized in the six months ended June 26, 2025 that was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included within the ‘Deferred revenue’ balance as of December 26, 2024, was $16.8 million. Unbilled accounts receivable is classified as a current asset as it is expected to be billed within the next twelve months. As of July 2, 2026 and January 1, 2026, the Company had $3.6 million and $4.2 million in unbilled accounts receivable, respectively, within ‘Receivables, net of allowance’ within the unaudited Condensed Consolidated Balance Sheets.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Allowance for Credit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allowance for credit losses balance is determined separately for each pool of the Company’s receivables with similar risk characteristics. The Company has determined that the use of two pools, national customers and local/regional customers, is appropriate. The changes within the allowance for credit losses balances for the six months ended July 2, 2026 and June 26, 2025, respectively, were as follows (in millions):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22"/>
        <w:gridCol w:w="146"/>
        <w:gridCol w:w="567"/>
        <w:gridCol w:w="1136"/>
        <w:gridCol w:w="166"/>
        <w:gridCol w:w="146"/>
        <w:gridCol w:w="684"/>
        <w:gridCol w:w="1175"/>
        <w:gridCol w:w="146"/>
        <w:gridCol w:w="146"/>
        <w:gridCol w:w="567"/>
        <w:gridCol w:w="1136"/>
        <w:gridCol w:w="166"/>
        <w:gridCol w:w="146"/>
        <w:gridCol w:w="619"/>
        <w:gridCol w:w="1240"/>
        <w:gridCol w:w="397"/>
      </w:tblGrid>
      <w:tr>
        <w:trPr/>
        <w:tc>
          <w:tcPr>
            <w:tcW w:w="1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1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2,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26, 2025</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 for National Customer Receivables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 for Local/ Regional Customer Receivables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 for National Customer Receivables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 for Local/ Regional Customer Receivables</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bad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Write-offs,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bookmarkStart w:id="12" w:name="section12"/>
      <w:bookmarkEnd w:id="12"/>
      <w:r>
        <w:rPr>
          <w:rFonts w:ascii="Times New Roman" w:hAnsi="Times New Roman"/>
          <w:b/>
          <w:color w:val="000000"/>
          <w:sz w:val="20"/>
        </w:rPr>
        <w:t>3.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loss per share is computed on the basis of the weighted average number of shares of common stock outstanding. Diluted loss per share is computed on the basis of the weighted average number of shares of common stock outstanding plus the effect of potentially dilutive common stock options, restricted stock and restricted stock units using the treasury stock method. The components of basic and diluted loss per NCM, Inc. share are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24"/>
        <w:gridCol w:w="146"/>
        <w:gridCol w:w="211"/>
        <w:gridCol w:w="1036"/>
        <w:gridCol w:w="166"/>
        <w:gridCol w:w="146"/>
        <w:gridCol w:w="211"/>
        <w:gridCol w:w="1036"/>
        <w:gridCol w:w="166"/>
        <w:gridCol w:w="146"/>
        <w:gridCol w:w="211"/>
        <w:gridCol w:w="1036"/>
        <w:gridCol w:w="166"/>
        <w:gridCol w:w="146"/>
        <w:gridCol w:w="211"/>
        <w:gridCol w:w="1036"/>
        <w:gridCol w:w="411"/>
      </w:tblGrid>
      <w:tr>
        <w:trPr/>
        <w:tc>
          <w:tcPr>
            <w:tcW w:w="3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2,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26,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2,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26,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NCM, Inc. (in millions)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93,696,124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93,978,031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93,452,698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94,681,546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Add: Dilutive effect of stock options, restricted stock </w:t>
              <w:br/>
              <w:t>   and exchangeable membership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93,696,124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93,978,031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93,452,698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94,681,546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per NCM, Inc.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exchangeable NCM LLC common units outstanding for the three and six months ended July 2, 2026. The effect of the 214 and 1,739 weighted average exchangeable NCM LLC common units held by AMC, for the three and six months ended June 26, 2025, respectively, have been excluded from the calculation of diluted weighted average shares and loss per NCM, Inc. share as they were anti-dilutive. NCM LLC common units do not participate in dividends paid on NCM, Inc.'s common stock. In addition, there were 7,445,640, 6,334,462, 7,445,640, and 6,334,462 stock options and non-vested restricted stock units outstanding for the three and six months ended July 2, 2026 and June 26, 2025, respectively, which were excluded from the calculation as they were anti-dilutive. The Company’s non-vested (restricted) shares do not meet the definition of a participating security as the dividends will not be paid if the shares do not vest.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4. BUSINESS COMBINATION</w:t>
      </w:r>
    </w:p>
    <w:p>
      <w:pPr>
        <w:pStyle w:val="TextBody"/>
        <w:bidi w:val="0"/>
        <w:spacing w:before="12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Acquisition of Spotlight Cinema Networks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14, 2025, NCM LLC entered into the MIPA with Spotlight, a niche cinema advertising company, whereby the Company acquired 100.0% of Spotlight in exchange for cash consideration as outlined below. The acquisition of Spotlight adds high-scale luxury screens and exhibitors that offer unique and engaging customer experiences to the Company’s platform, unlocking new advertising and preshow entertainment inventory.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following table summarizes the consideration transferred to acquire Spotlight </w:t>
      </w:r>
      <w:r>
        <w:rPr>
          <w:rFonts w:ascii="Times New Roman" w:hAnsi="Times New Roman"/>
          <w:i/>
          <w:color w:val="000000"/>
          <w:sz w:val="20"/>
        </w:rPr>
        <w:t>(in millions)</w:t>
      </w:r>
      <w:r>
        <w:rPr>
          <w:rFonts w:ascii="Times New Roman" w:hAnsi="Times New Roman"/>
          <w:color w:val="000000"/>
          <w:sz w:val="20"/>
        </w:rPr>
        <w: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left"/>
        <w:rPr/>
      </w:pPr>
      <w:r>
        <w:rPr/>
        <w:t> </w:t>
      </w:r>
    </w:p>
    <w:tbl>
      <w:tblPr>
        <w:tblW w:w="4880" w:type="dxa"/>
        <w:jc w:val="left"/>
        <w:tblInd w:w="0" w:type="dxa"/>
        <w:tblLayout w:type="fixed"/>
        <w:tblCellMar>
          <w:top w:w="28" w:type="dxa"/>
          <w:left w:w="28" w:type="dxa"/>
          <w:bottom w:w="28" w:type="dxa"/>
          <w:right w:w="28" w:type="dxa"/>
        </w:tblCellMar>
      </w:tblPr>
      <w:tblGrid>
        <w:gridCol w:w="3691"/>
        <w:gridCol w:w="146"/>
        <w:gridCol w:w="211"/>
        <w:gridCol w:w="421"/>
        <w:gridCol w:w="41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Fair Value of consideration transferred: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Expected working capital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contingent consideration was placed in an escrow account as of the acquisition date and will be released over the next three years as the required contract renewals are obtained for specified exhibitor agreements with upcoming expiration dates or as the exhibitors remain on the Spotlight Cinema Network for specified time periods. The fair value of the consideration and contingently returnable consideration are calculated utilizing the present value of payments by exhibitor probability weighted based on the respective estimated likelihood of renewal. The undiscounted maximum amount of contingent consideration is $1.6 million. Each period, the Company will revalue the contingently returnable consideration to its fair value and record the related changes in the Consolidated Statement of Income. During the three and six months ended July 2, 2026, the Company recorded a $0.1 million and $0.1 million increase, respectively, in the contingently returnable consideration. Changes in the contingently returnable consideration result from changes in assumptions regarding probabilities of successful achievement of exhibitor renewals, the estimated timing in which renewals are achieved and the discount rate used to estimate the fair value of the asset.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acquisition of Spotlight Cinema Networks, the Company entered into transition agreements with various employees, transitional independent contractor agreements and a transition services agreement with one of the sellers. The expense related to these agreements is recognized as the underlying services are performed. For the three and six months ended July 2, 2026, $0.0 million and $0.1 million was included within ‘Network operating costs,’ $0.0 million and $0.0 million was included within ‘Selling and marketing costs’ and $0.1 million and $0.2 million was included within ‘Administrative and other costs,’ respectively, as presented on the unaudited Condensed Consolidated Statements of Operations based upon the nature of the work being performed.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fair value of Spotlight and provisional fair values of the assets acquired and liabilities assumed as of the acquisition date (in millions). The provisional allocation of the purchase price was based upon a preliminary valuation, and the Company's estimates and assumptions are subject to change as valuations are finalized within the measurement period, which cannot extend beyond one year from the acquisition date.</w:t>
      </w:r>
    </w:p>
    <w:p>
      <w:pPr>
        <w:pStyle w:val="TextBody"/>
        <w:bidi w:val="0"/>
        <w:spacing w:before="120" w:after="283"/>
        <w:jc w:val="left"/>
        <w:rPr/>
      </w:pPr>
      <w:r>
        <w:rPr/>
        <w:t> </w:t>
      </w:r>
    </w:p>
    <w:tbl>
      <w:tblPr>
        <w:tblW w:w="5125" w:type="dxa"/>
        <w:jc w:val="left"/>
        <w:tblInd w:w="0" w:type="dxa"/>
        <w:tblLayout w:type="fixed"/>
        <w:tblCellMar>
          <w:top w:w="28" w:type="dxa"/>
          <w:left w:w="28" w:type="dxa"/>
          <w:bottom w:w="28" w:type="dxa"/>
          <w:right w:w="28" w:type="dxa"/>
        </w:tblCellMar>
      </w:tblPr>
      <w:tblGrid>
        <w:gridCol w:w="3711"/>
        <w:gridCol w:w="146"/>
        <w:gridCol w:w="211"/>
        <w:gridCol w:w="466"/>
        <w:gridCol w:w="591"/>
      </w:tblGrid>
      <w:tr>
        <w:trPr/>
        <w:tc>
          <w:tcPr>
            <w:tcW w:w="3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Receivables, net </w:t>
            </w:r>
            <w:r>
              <w:rPr>
                <w:rFonts w:ascii="Times New Roman" w:hAnsi="Times New Roman"/>
                <w:i/>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value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Goodwill </w:t>
            </w:r>
            <w:r>
              <w:rPr>
                <w:rFonts w:ascii="Times New Roman" w:hAnsi="Times New Roman"/>
                <w:i/>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liabilities assumed: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assumed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(1)</w:t>
      </w:r>
    </w:p>
    <w:tbl>
      <w:tblPr>
        <w:tblW w:w="10205" w:type="dxa"/>
        <w:jc w:val="left"/>
        <w:tblInd w:w="0" w:type="dxa"/>
        <w:tblLayout w:type="fixed"/>
        <w:tblCellMar>
          <w:top w:w="28" w:type="dxa"/>
          <w:left w:w="28" w:type="dxa"/>
          <w:bottom w:w="28" w:type="dxa"/>
          <w:right w:w="28" w:type="dxa"/>
        </w:tblCellMar>
      </w:tblPr>
      <w:tblGrid>
        <w:gridCol w:w="1543"/>
        <w:gridCol w:w="2498"/>
        <w:gridCol w:w="2431"/>
        <w:gridCol w:w="3733"/>
      </w:tblGrid>
      <w:tr>
        <w:trPr/>
        <w:tc>
          <w:tcPr>
            <w:tcW w:w="1543" w:type="dxa"/>
            <w:tcBorders/>
            <w:vAlign w:val="center"/>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3733" w:type="dxa"/>
            <w:tcBorders/>
            <w:vAlign w:val="center"/>
          </w:tcPr>
          <w:p>
            <w:pPr>
              <w:pStyle w:val="TableContents"/>
              <w:bidi w:val="0"/>
              <w:spacing w:before="0" w:after="283"/>
              <w:jc w:val="left"/>
              <w:rPr>
                <w:sz w:val="4"/>
                <w:szCs w:val="4"/>
              </w:rPr>
            </w:pPr>
            <w:r>
              <w:rPr>
                <w:sz w:val="4"/>
                <w:szCs w:val="4"/>
              </w:rPr>
            </w:r>
          </w:p>
        </w:tc>
      </w:tr>
      <w:tr>
        <w:trPr/>
        <w:tc>
          <w:tcPr>
            <w:tcW w:w="1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Receivables acquired:</w:t>
            </w:r>
          </w:p>
        </w:tc>
        <w:tc>
          <w:tcPr>
            <w:tcW w:w="2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of trade receivables acquired:</w:t>
            </w:r>
          </w:p>
        </w:tc>
        <w:tc>
          <w:tcPr>
            <w:tcW w:w="2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 value of receivables acquired:</w:t>
            </w:r>
          </w:p>
        </w:tc>
        <w:tc>
          <w:tcPr>
            <w:tcW w:w="3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of contractual cash flows not expected to be collected:</w:t>
            </w:r>
          </w:p>
        </w:tc>
      </w:tr>
      <w:tr>
        <w:trPr/>
        <w:tc>
          <w:tcPr>
            <w:tcW w:w="15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w:t>
            </w:r>
          </w:p>
        </w:tc>
        <w:tc>
          <w:tcPr>
            <w:tcW w:w="2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4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r>
    </w:tbl>
    <w:p>
      <w:pPr>
        <w:pStyle w:val="TextBody"/>
        <w:bidi w:val="0"/>
        <w:jc w:val="left"/>
        <w:rPr>
          <w:rFonts w:ascii="Times New Roman" w:hAnsi="Times New Roman"/>
          <w:sz w:val="20"/>
        </w:rPr>
      </w:pPr>
      <w:r>
        <w:rPr>
          <w:rFonts w:ascii="Times New Roman" w:hAnsi="Times New Roman"/>
          <w:i/>
          <w:color w:val="000000"/>
          <w:sz w:val="20"/>
        </w:rPr>
        <w:t>(2)</w:t>
      </w:r>
      <w:r>
        <w:rPr>
          <w:rFonts w:ascii="Times New Roman" w:hAnsi="Times New Roman"/>
          <w:color w:val="000000"/>
          <w:sz w:val="20"/>
        </w:rPr>
        <w:t xml:space="preserve"> The Goodwill balance recognized of $0.6 million is primarily related to the value of the assembled workforce which does not qualify for separate recognition as an intangible asset. </w:t>
      </w:r>
    </w:p>
    <w:p>
      <w:pPr>
        <w:pStyle w:val="TextBody"/>
        <w:bidi w:val="0"/>
        <w:jc w:val="left"/>
        <w:rPr>
          <w:rFonts w:ascii="Times New Roman" w:hAnsi="Times New Roman"/>
          <w:sz w:val="20"/>
        </w:rPr>
      </w:pPr>
      <w:r>
        <w:rPr>
          <w:rFonts w:ascii="Times New Roman" w:hAnsi="Times New Roman"/>
          <w:i/>
          <w:color w:val="000000"/>
          <w:sz w:val="20"/>
        </w:rPr>
        <w:t>(3)</w:t>
      </w:r>
      <w:r>
        <w:rPr>
          <w:rFonts w:ascii="Times New Roman" w:hAnsi="Times New Roman"/>
          <w:color w:val="000000"/>
          <w:sz w:val="20"/>
        </w:rPr>
        <w:t xml:space="preserve"> Includes a working capital adjustment recorded during the three months ended July 2, 2026 that decreased accounts receivable, net by $0.1 million and increased goodwill by $0.1 million.</w:t>
      </w:r>
    </w:p>
    <w:p>
      <w:pPr>
        <w:pStyle w:val="TextBody"/>
        <w:bidi w:val="0"/>
        <w:spacing w:before="120" w:after="283"/>
        <w:jc w:val="left"/>
        <w:rPr>
          <w:rFonts w:ascii="Times New Roman" w:hAnsi="Times New Roman"/>
          <w:sz w:val="20"/>
        </w:rPr>
      </w:pPr>
      <w:r>
        <w:rPr>
          <w:rFonts w:ascii="Times New Roman" w:hAnsi="Times New Roman"/>
          <w:color w:val="000000"/>
          <w:sz w:val="20"/>
        </w:rPr>
        <w:t>The acquired business contributed revenues of $2.4 million and $4.0</w:t>
      </w:r>
      <w:r>
        <w:rPr>
          <w:rFonts w:ascii="Times New Roman" w:hAnsi="Times New Roman"/>
          <w:color w:val="FF0000"/>
          <w:sz w:val="20"/>
        </w:rPr>
        <w:t xml:space="preserve"> </w:t>
      </w:r>
      <w:r>
        <w:rPr>
          <w:rFonts w:ascii="Times New Roman" w:hAnsi="Times New Roman"/>
          <w:color w:val="000000"/>
          <w:sz w:val="20"/>
        </w:rPr>
        <w:t xml:space="preserve">million and net income of $0.6 million and net loss of $0.0 million to the Company for the three and six months ended July 2, 2026, respectively. </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Pro Forma Financial Information (Unaudited) - Spotlight Cinema Network</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represents the pro forma Consolidated Statement of Operations as if the Spotlight acquisition had been included in the consolidated results of the Company for the entire period for the three and six months ended June 26, 2025.</w:t>
      </w:r>
    </w:p>
    <w:tbl>
      <w:tblPr>
        <w:tblW w:w="4525" w:type="dxa"/>
        <w:jc w:val="left"/>
        <w:tblInd w:w="0" w:type="dxa"/>
        <w:tblLayout w:type="fixed"/>
        <w:tblCellMar>
          <w:top w:w="28" w:type="dxa"/>
          <w:left w:w="28" w:type="dxa"/>
          <w:bottom w:w="28" w:type="dxa"/>
          <w:right w:w="28" w:type="dxa"/>
        </w:tblCellMar>
      </w:tblPr>
      <w:tblGrid>
        <w:gridCol w:w="841"/>
        <w:gridCol w:w="146"/>
        <w:gridCol w:w="459"/>
        <w:gridCol w:w="1146"/>
        <w:gridCol w:w="166"/>
        <w:gridCol w:w="146"/>
        <w:gridCol w:w="403"/>
        <w:gridCol w:w="1007"/>
        <w:gridCol w:w="211"/>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26,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26,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13" w:name="section14"/>
      <w:bookmarkEnd w:id="13"/>
      <w:r>
        <w:rPr>
          <w:rFonts w:ascii="Times New Roman" w:hAnsi="Times New Roman"/>
          <w:b/>
          <w:color w:val="000000"/>
          <w:sz w:val="20"/>
        </w:rPr>
        <w:t>5. INTANGIBLE ASSETS</w:t>
      </w:r>
    </w:p>
    <w:p>
      <w:pPr>
        <w:pStyle w:val="TextBody"/>
        <w:bidi w:val="0"/>
        <w:spacing w:before="120" w:after="283"/>
        <w:jc w:val="left"/>
        <w:rPr>
          <w:rFonts w:ascii="Times New Roman" w:hAnsi="Times New Roman"/>
          <w:sz w:val="20"/>
        </w:rPr>
      </w:pPr>
      <w:r>
        <w:rPr>
          <w:rFonts w:ascii="Times New Roman" w:hAnsi="Times New Roman"/>
          <w:color w:val="000000"/>
          <w:sz w:val="20"/>
        </w:rPr>
        <w:t>The Company’s intangible assets consist of contractual rights to provide its services within the theaters under the ESAs and network affiliates agreements, customer relationships developed and maintained by the Company’s sales force, trademarks held and used by the Company, noncompete agreements acquired and datasets acquired and used by the Company. The intangible assets are stated at their estimated fair values upon the reconsolidation of NCM LLC on August 7, 2023</w:t>
      </w:r>
      <w:r>
        <w:rPr>
          <w:rFonts w:ascii="Times New Roman" w:hAnsi="Times New Roman"/>
          <w:i/>
          <w:color w:val="000000"/>
          <w:sz w:val="20"/>
        </w:rPr>
        <w:t>,</w:t>
      </w:r>
      <w:r>
        <w:rPr>
          <w:rFonts w:ascii="Times New Roman" w:hAnsi="Times New Roman"/>
          <w:color w:val="000000"/>
          <w:sz w:val="20"/>
        </w:rPr>
        <w:t xml:space="preserve"> net of accumulated amortization. Subsequently acquired intangible assets are recorded at cost, or in the case of acquisitions, their estimated fair value. The Company records amortization using the straight-line method over the contractual life of the intangibles, corresponding to the term of the ESAs, the average renewable term of the contract with the network affiliates, industry standard lives for customer relationships and trademarks, the contract length for noncompete agreements and for the datasets, the shorter of the use rights outlined in the contract under which they were acquired and the estimated rate of obsolescence of the datasets' usefulness. In accordance with </w:t>
      </w:r>
      <w:r>
        <w:rPr>
          <w:rFonts w:ascii="Times New Roman" w:hAnsi="Times New Roman"/>
          <w:i/>
          <w:color w:val="000000"/>
          <w:sz w:val="20"/>
        </w:rPr>
        <w:t>ASC 360</w:t>
      </w:r>
      <w:r>
        <w:rPr>
          <w:rFonts w:ascii="Times New Roman" w:hAnsi="Times New Roman"/>
          <w:color w:val="000000"/>
          <w:sz w:val="20"/>
        </w:rPr>
        <w:t>—</w:t>
      </w:r>
      <w:r>
        <w:rPr>
          <w:rFonts w:ascii="Times New Roman" w:hAnsi="Times New Roman"/>
          <w:i/>
          <w:color w:val="000000"/>
          <w:sz w:val="20"/>
        </w:rPr>
        <w:t>Property, Plant and Equipment,</w:t>
      </w:r>
      <w:r>
        <w:rPr>
          <w:rFonts w:ascii="Times New Roman" w:hAnsi="Times New Roman"/>
          <w:color w:val="000000"/>
          <w:sz w:val="20"/>
        </w:rPr>
        <w:t xml:space="preserve"> the Company continuously monitors the performance of the underlying assets for potential triggering events suggesting an impairment review should be performed.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Upon entering into the 2025 AMC Agreement, the Company determined that there was a triggering event for the Company’s intangible asset group, including the amount related to AMC, under </w:t>
      </w:r>
      <w:r>
        <w:rPr>
          <w:rFonts w:ascii="Times New Roman" w:hAnsi="Times New Roman"/>
          <w:i/>
          <w:color w:val="000000"/>
          <w:sz w:val="20"/>
        </w:rPr>
        <w:t>ASC 360—Impairment and Disposal of Long-Lived Assets</w:t>
      </w:r>
      <w:r>
        <w:rPr>
          <w:rFonts w:ascii="Times New Roman" w:hAnsi="Times New Roman"/>
          <w:color w:val="000000"/>
          <w:sz w:val="20"/>
        </w:rPr>
        <w:t xml:space="preserve"> during the quarter ended June 26, 2025. Management estimated future undiscounted cash flows, including the impacts of the new fee structure under the 2025 AMC Agreement, which has been adjusted to be based on the attendance, the operating screens and the revenue generated by the Company through the advertising displayed in AMC's theaters beginning on July 1, 2025, and the increase in the useful life due to the five year extension. The estimated future cash flows calculated within the analysis were well in excess of the net book value of the Company’s intangible assets and no impairment was recorded in the quarter ended June 26, 2025. Such analysis required management to make estimates and assumptions based on historical data and consideration of future market conditions. Actual results may differ from the estimates and assumptions used, or conditions may change, which could result in impairment charges in the future.</w:t>
      </w:r>
    </w:p>
    <w:p>
      <w:pPr>
        <w:pStyle w:val="TextBody"/>
        <w:bidi w:val="0"/>
        <w:spacing w:before="120" w:after="283"/>
        <w:jc w:val="left"/>
        <w:rPr>
          <w:rFonts w:ascii="Times New Roman" w:hAnsi="Times New Roman"/>
          <w:sz w:val="20"/>
        </w:rPr>
      </w:pPr>
      <w:r>
        <w:rPr>
          <w:rFonts w:ascii="Times New Roman" w:hAnsi="Times New Roman"/>
          <w:b/>
          <w:i/>
          <w:color w:val="000000"/>
          <w:sz w:val="20"/>
        </w:rPr>
        <w:t>Common Unit Adjustments</w:t>
      </w:r>
      <w:r>
        <w:rPr>
          <w:rFonts w:ascii="Times New Roman" w:hAnsi="Times New Roman"/>
          <w:color w:val="000000"/>
          <w:sz w:val="20"/>
        </w:rPr>
        <w:t xml:space="preserve">—In accordance with NCM LLC’s Common Unit Adjustment Agreement, on an annual basis NCM LLC determines the amount of common membership units to be issued to or returned by AMC (through April 17, 2025) and Cinemark based on theater additions, new builds or dispositions during the previous year. In addition, NCM LLC’s Common Unit Adjustment Agreement requires that a Common Unit Adjustment occur for either AMC (through April 17, 2025) or Cinemark if its acquisition or disposition of theaters, in a single transaction or cumulatively since the most recent Common Unit Adjustment, results in an attendance increase or decrease in excess of two percent of the annual total attendance at the prior adjustment date. In the event that an adjustment is negative and either AMC or Cinemark did not have sufficient common membership units to return, the adjustment is satisfied in cash in an amount calculated pursuant to NCM LLC’s Common Unit Adjustment Agreement. Upon the issuance of common membership units, the Company records an addition to the intangible asset related to AMC and Cinemark’s respective ESAs equal to the fair market value of NCM, Inc.’s publicly traded stock as of the date on which the common membership units were issued. NCM LLC common membership units are fully convertible into NCM, Inc.’s common stock. Subsequent to April 17, 2025 and in accordance with the AMC Termination Agreement, AMC is no longer a party to the Common Unit Adjustment Agreement and will no longer receive NCM LLC Common Units.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quarter ended April 2, 2026, in accordance with the Common Unit Adjustment Agreement, NCM LLC calculated a reduction of common membership units for Cinemark. As Cinemark held no membership units, the Company received cash of $0.5 million and a corresponding reduction of the intangible asset during the six months ended July 2, 2026 to settle the negative common membership unit adjustment.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first quarter of 2025, in accordance with the Common Unit Adjustment Agreement, NCM LLC calculated a reduction of common membership units for AMC and Cinemark to be settled on April 2, 2025. Cinemark, who held no membership units, remitted cash to settle the negative common membership unit adjustment. In connection with the Common Unit Adjustment Agreement and the AMC Termination Agreement, AMC returned all of its units and was forgiven any remaining negative common unit adjustment. These transactions resulted in a reduction of the intangible asset of $0.1 million during the year ended January 1, 2026.</w:t>
      </w:r>
    </w:p>
    <w:p>
      <w:pPr>
        <w:pStyle w:val="TextBody"/>
        <w:bidi w:val="0"/>
        <w:spacing w:before="120" w:after="283"/>
        <w:jc w:val="left"/>
        <w:rPr>
          <w:rFonts w:ascii="Times New Roman" w:hAnsi="Times New Roman"/>
          <w:sz w:val="20"/>
        </w:rPr>
      </w:pPr>
      <w:r>
        <w:rPr>
          <w:rFonts w:ascii="Times New Roman" w:hAnsi="Times New Roman"/>
          <w:b/>
          <w:i/>
          <w:color w:val="000000"/>
          <w:sz w:val="20"/>
        </w:rPr>
        <w:t>Integration Payments and Other Encumbered Theater Payments</w:t>
      </w:r>
      <w:r>
        <w:rPr>
          <w:rFonts w:ascii="Times New Roman" w:hAnsi="Times New Roman"/>
          <w:color w:val="000000"/>
          <w:sz w:val="20"/>
        </w:rPr>
        <w:t xml:space="preserve">—If an existing on-screen advertising agreement with an alternative provider is in place with respect to any acquired theaters (“Encumbered Theaters”), the applicable ESA party, AMC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(through April 17, 2025) or Cinemark, may elect to receive common membership units related to those Encumbered Theaters in connection with the Common Unit Adjustment. If the ESA party makes this election, then they are required to make payments on a quarterly basis in arrears in accordance with certain run-out provisions pursuant to the ESAs (“integration payments”). Integration payments were calculated based upon the advertising cash flow that the Company would have generated if it had exclusive access to sell advertising in the theaters with pre-existing advertising agreements. The ESAs with AMC and Cinemark additionally entitle NCM LLC to payments related to their on-screen advertising commitments under their beverage concessionaire agreements for Encumbered Theaters. The encumbered beverage payments are also accounted for as a reduction to the intangible asset related to the ESAs. Given that the Carmike Cinemas, Inc. (“Carmike”) theaters acquired by AMC are subject to an existing on-screen advertising agreement with an alternative provider, AMC made integration payments and encumbered beverage payments to NCM LLC prior to the 2025 AMC Agreement. Upon the effectiveness of the 2025 AMC Agreement, and assuming the opt out provision is not exercised, AMC is no longer required to make integration payments, and the $10.6 million in accrued integration payments owed by AMC was forgiven. The Company recorded the forgiveness of the receivable as an increase to the ESA Party intangible asset, during the quarter ended June 26, 2025, in accordance with the lease modification guidance outlined in </w:t>
      </w:r>
      <w:r>
        <w:rPr>
          <w:rFonts w:ascii="Times New Roman" w:hAnsi="Times New Roman"/>
          <w:i/>
          <w:color w:val="000000"/>
          <w:sz w:val="20"/>
        </w:rPr>
        <w:t>ASC 842</w:t>
      </w:r>
      <w:r>
        <w:rPr>
          <w:rFonts w:ascii="Times New Roman" w:hAnsi="Times New Roman"/>
          <w:color w:val="000000"/>
          <w:sz w:val="20"/>
        </w:rPr>
        <w:t>—Leases. Prior to the effectiveness of the 2025 AMC Agreement, during the three and six months ended June 26, 2025, the Company recorded a reduction to net intangible assets of $0.3 million and 0.6 million, respectively, and AMC and Cinemark paid a total of $0.2 million and $0.6 million, respectively, in integration and Encumbered Theater payments. No reduction to net intangible assets was recorded and no payments were received during the three and six months ended July 2,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Company's intangible assets, accumulated amortization and weighted average remaining lives as of July 2, 2026: </w:t>
      </w:r>
    </w:p>
    <w:tbl>
      <w:tblPr>
        <w:tblW w:w="8998" w:type="dxa"/>
        <w:jc w:val="left"/>
        <w:tblInd w:w="0" w:type="dxa"/>
        <w:tblLayout w:type="fixed"/>
        <w:tblCellMar>
          <w:top w:w="28" w:type="dxa"/>
          <w:left w:w="28" w:type="dxa"/>
          <w:bottom w:w="28" w:type="dxa"/>
          <w:right w:w="28" w:type="dxa"/>
        </w:tblCellMar>
      </w:tblPr>
      <w:tblGrid>
        <w:gridCol w:w="3391"/>
        <w:gridCol w:w="146"/>
        <w:gridCol w:w="886"/>
        <w:gridCol w:w="146"/>
        <w:gridCol w:w="211"/>
        <w:gridCol w:w="571"/>
        <w:gridCol w:w="146"/>
        <w:gridCol w:w="146"/>
        <w:gridCol w:w="517"/>
        <w:gridCol w:w="1553"/>
        <w:gridCol w:w="166"/>
        <w:gridCol w:w="146"/>
        <w:gridCol w:w="211"/>
        <w:gridCol w:w="571"/>
        <w:gridCol w:w="1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0"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July 2,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subject to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ESA Party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Network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Customer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Trademark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Datasets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Spotlight Exhibitors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Noncompetition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Trade Name - Spotlight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Company's intangible assets, accumulated amortization and weighted average remaining lives as of January 1, 2026: </w:t>
      </w:r>
    </w:p>
    <w:tbl>
      <w:tblPr>
        <w:tblW w:w="8998" w:type="dxa"/>
        <w:jc w:val="left"/>
        <w:tblInd w:w="0" w:type="dxa"/>
        <w:tblLayout w:type="fixed"/>
        <w:tblCellMar>
          <w:top w:w="28" w:type="dxa"/>
          <w:left w:w="28" w:type="dxa"/>
          <w:bottom w:w="28" w:type="dxa"/>
          <w:right w:w="28" w:type="dxa"/>
        </w:tblCellMar>
      </w:tblPr>
      <w:tblGrid>
        <w:gridCol w:w="3391"/>
        <w:gridCol w:w="146"/>
        <w:gridCol w:w="886"/>
        <w:gridCol w:w="146"/>
        <w:gridCol w:w="211"/>
        <w:gridCol w:w="571"/>
        <w:gridCol w:w="146"/>
        <w:gridCol w:w="146"/>
        <w:gridCol w:w="591"/>
        <w:gridCol w:w="1479"/>
        <w:gridCol w:w="166"/>
        <w:gridCol w:w="146"/>
        <w:gridCol w:w="211"/>
        <w:gridCol w:w="571"/>
        <w:gridCol w:w="1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0"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January 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subject to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ESA Party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Network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Customer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Trademark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Datasets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Spotlight Exhibitors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Noncompetition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Trade Name - Spotlight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20"/>
        </w:rPr>
        <w:t>The estimated aggregate amortization expense for the remainder of fiscal 2026 is $16.1 million, $32.1 million for fiscal year 2027, $31.7 million for fiscal year 2028, $</w:t>
      </w:r>
      <w:r>
        <w:rPr>
          <w:rFonts w:ascii="Times New Roman" w:hAnsi="Times New Roman"/>
          <w:color w:val="000000"/>
          <w:sz w:val="19"/>
        </w:rPr>
        <w:t>26.7</w:t>
      </w:r>
      <w:r>
        <w:rPr>
          <w:rFonts w:ascii="Times New Roman" w:hAnsi="Times New Roman"/>
          <w:color w:val="000000"/>
          <w:sz w:val="20"/>
        </w:rPr>
        <w:t xml:space="preserve"> </w:t>
      </w:r>
      <w:r>
        <w:rPr>
          <w:rFonts w:ascii="Times New Roman" w:hAnsi="Times New Roman"/>
          <w:color w:val="000000"/>
          <w:sz w:val="19"/>
        </w:rPr>
        <w:t>million</w:t>
      </w:r>
      <w:r>
        <w:rPr>
          <w:rFonts w:ascii="Times New Roman" w:hAnsi="Times New Roman"/>
          <w:color w:val="000000"/>
          <w:sz w:val="20"/>
        </w:rPr>
        <w:t xml:space="preserve"> for fiscal year 2029 and $19.2 million for fiscal year 2030.</w:t>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14" w:name="section15"/>
      <w:bookmarkEnd w:id="14"/>
      <w:r>
        <w:rPr>
          <w:rFonts w:ascii="Times New Roman" w:hAnsi="Times New Roman"/>
          <w:b/>
          <w:color w:val="000000"/>
          <w:sz w:val="20"/>
        </w:rPr>
        <w:t>6. RELATED PARTY TRANSACTIONS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AC JV, LLC Transactions</w:t>
      </w:r>
      <w:r>
        <w:rPr>
          <w:rFonts w:ascii="Times New Roman" w:hAnsi="Times New Roman"/>
          <w:color w:val="000000"/>
          <w:sz w:val="20"/>
        </w:rPr>
        <w:t xml:space="preserve">—In December 2013, NCM LLC sold its Fathom Events business to a newly formed limited liability company, AC JV, LLC, owned 32% each by AMC, Cinemark and Regal and 4% by NCM LLC. The Company accounts for its investment in AC JV, LLC under the equity method of accounting in accordance with </w:t>
      </w:r>
      <w:r>
        <w:rPr>
          <w:rFonts w:ascii="Times New Roman" w:hAnsi="Times New Roman"/>
          <w:i/>
          <w:color w:val="000000"/>
          <w:sz w:val="20"/>
        </w:rPr>
        <w:t>ASC 323-30, Investments—Equity Method and Joint Ventures</w:t>
      </w:r>
      <w:r>
        <w:rPr>
          <w:rFonts w:ascii="Times New Roman" w:hAnsi="Times New Roman"/>
          <w:color w:val="000000"/>
          <w:sz w:val="20"/>
        </w:rPr>
        <w:t xml:space="preserve"> (“</w:t>
      </w:r>
      <w:r>
        <w:rPr>
          <w:rFonts w:ascii="Times New Roman" w:hAnsi="Times New Roman"/>
          <w:i/>
          <w:color w:val="000000"/>
          <w:sz w:val="20"/>
        </w:rPr>
        <w:t>ASC</w:t>
      </w:r>
      <w:r>
        <w:rPr>
          <w:rFonts w:ascii="Times New Roman" w:hAnsi="Times New Roman"/>
          <w:color w:val="000000"/>
          <w:sz w:val="20"/>
        </w:rPr>
        <w:t xml:space="preserve"> </w:t>
      </w:r>
      <w:r>
        <w:rPr>
          <w:rFonts w:ascii="Times New Roman" w:hAnsi="Times New Roman"/>
          <w:i/>
          <w:color w:val="000000"/>
          <w:sz w:val="20"/>
        </w:rPr>
        <w:t>323-30</w:t>
      </w:r>
      <w:r>
        <w:rPr>
          <w:rFonts w:ascii="Times New Roman" w:hAnsi="Times New Roman"/>
          <w:color w:val="000000"/>
          <w:sz w:val="20"/>
        </w:rPr>
        <w:t xml:space="preserve">”) because AC JV, LLC is a limited liability company with the characteristics of a limited partnership and </w:t>
      </w:r>
      <w:r>
        <w:rPr>
          <w:rFonts w:ascii="Times New Roman" w:hAnsi="Times New Roman"/>
          <w:i/>
          <w:color w:val="000000"/>
          <w:sz w:val="20"/>
        </w:rPr>
        <w:t>ASC 323-30</w:t>
      </w:r>
      <w:r>
        <w:rPr>
          <w:rFonts w:ascii="Times New Roman" w:hAnsi="Times New Roman"/>
          <w:color w:val="000000"/>
          <w:sz w:val="20"/>
        </w:rPr>
        <w:t xml:space="preserve"> requires the use of equity method accounting unless the Company’s interest is so minor that it would have virtually no influence over partnership operating and financial policies. Although NCM LLC does not have a representative on AC JV, LLC’s Board of Directors or any voting, consent or blocking rights with respect to the governance or operations of AC JV, LLC, the Company concluded that its interest was more than minor under the accounting guidance. The Company’s investment in AC JV, LLC was $1.1 million and $0.8 million as of July 2, 2026 and January 1, 2026, respectively. During the three and six months ended July 2, 2026 and June 26, 2025, NCM LLC received cash and accrued distributions from AC JV, LLC of $0.1 million, $0.3 million, $0.3 million and $0.3 million, respectively. Equity in earnings from AC JV, LLC were $0.4 million, $0.2 million, $0.6 million and $0.3 million, for the three and six months ended July 2, 2026 and June 26, 2025, respectively, and are included in “Other non-operating income, net” in the unaudited Condensed Consolidated Statements of Operations.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Mercurius Media Capital LP. Transactions—</w:t>
      </w:r>
      <w:r>
        <w:rPr>
          <w:rFonts w:ascii="Times New Roman" w:hAnsi="Times New Roman"/>
          <w:color w:val="000000"/>
          <w:sz w:val="20"/>
        </w:rPr>
        <w:t xml:space="preserve">In January 2025, the Company entered into an agreement with Mercurius Media Capital LP. (“MMC LP”) whereby NCM will provide advertising services in exchange for ownership interests in the limited partnership. The ownership interests received are part of a fund with annual installments. The ownership of each installment of the fund is determined at the completion of each year. During the six months ended April 2, 2026, the Company determined its ownership of the 2025 fund, 10.6%, reached an interest that will require the Company to account for the investment in the 2025 fund of MMC LP in accordance with </w:t>
      </w:r>
      <w:r>
        <w:rPr>
          <w:rFonts w:ascii="Times New Roman" w:hAnsi="Times New Roman"/>
          <w:i/>
          <w:color w:val="000000"/>
          <w:sz w:val="20"/>
        </w:rPr>
        <w:t>ASC 323-30</w:t>
      </w:r>
      <w:r>
        <w:rPr>
          <w:rFonts w:ascii="Times New Roman" w:hAnsi="Times New Roman"/>
          <w:color w:val="000000"/>
          <w:sz w:val="20"/>
        </w:rPr>
        <w:t xml:space="preserve">. The Company’s equity method investment in the 2025 fund of MMC LP was $1.8 million and $1.7 million as of July 2, 2026 and January 1, 2026, respectively. The Company elected, in accordance with </w:t>
      </w:r>
      <w:r>
        <w:rPr>
          <w:rFonts w:ascii="Times New Roman" w:hAnsi="Times New Roman"/>
          <w:i/>
          <w:color w:val="000000"/>
          <w:sz w:val="20"/>
        </w:rPr>
        <w:t>ASC 323</w:t>
      </w:r>
      <w:r>
        <w:rPr>
          <w:rFonts w:ascii="Times New Roman" w:hAnsi="Times New Roman"/>
          <w:color w:val="000000"/>
          <w:sz w:val="20"/>
        </w:rPr>
        <w:t xml:space="preserve">, to record all activity on a one quarter lag due to the timing of the availability of necessary reporting from MMC LP. Equity in earnings from MMC LP were $0.1 million and $0.1 million for the three and six months ended July 2, 2026,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cost method investment in the 2026 fund of MMC LP was $0.3 million and $0.0 million as of July 2, 2026 and January 1, 2026, respectively. The Company recognized revenue related to the advertising services provided in exchange for equity interests in the cost method investment related to the 2026 fund of $0.0 million and $0.3 million for the three and six months ended July 2, 2026, respectively.</w:t>
      </w:r>
    </w:p>
    <w:p>
      <w:pPr>
        <w:pStyle w:val="TextBody"/>
        <w:bidi w:val="0"/>
        <w:spacing w:before="120" w:after="283"/>
        <w:jc w:val="left"/>
        <w:rPr>
          <w:rFonts w:ascii="Times New Roman" w:hAnsi="Times New Roman"/>
          <w:sz w:val="20"/>
        </w:rPr>
      </w:pPr>
      <w:r>
        <w:rPr>
          <w:rFonts w:ascii="Times New Roman" w:hAnsi="Times New Roman"/>
          <w:b/>
          <w:i/>
          <w:color w:val="000000"/>
          <w:sz w:val="20"/>
        </w:rPr>
        <w:t>Looking Glass Media—</w:t>
      </w:r>
      <w:r>
        <w:rPr>
          <w:rFonts w:ascii="Times New Roman" w:hAnsi="Times New Roman"/>
          <w:color w:val="000000"/>
          <w:sz w:val="20"/>
        </w:rPr>
        <w:t xml:space="preserve">As part of the acquisition of Spotlight, the Company acquired a 25.0% ownership of Looking Glass Media, a local sales organization specializing in cinema advertising. Looking Glass Media sells local advertising on Spotlight's behalf. The Company recognized revenue of $0.0 and $0.1 million in the three and six months ended July 2, 2026. This revenue represents the portion of the proceeds collected by Looking Glass Media remitted to Spotlight for delivering the respective ads on the Spotlight Cinema Network. As of July 2, 2026 and January 1, 2026, respectively, NCM had an accounts receivable balance with Looking Glass Media of $0.2 million and $0.3 million included within “Receivables, net of allowance” on the unaudited Condensed Consolidated Balance Sheets. </w:t>
      </w:r>
    </w:p>
    <w:p>
      <w:pPr>
        <w:pStyle w:val="TextBody"/>
        <w:bidi w:val="0"/>
        <w:spacing w:before="120" w:after="283"/>
        <w:jc w:val="left"/>
        <w:rPr>
          <w:rFonts w:ascii="Times New Roman" w:hAnsi="Times New Roman"/>
          <w:b/>
          <w:color w:val="000000"/>
          <w:sz w:val="20"/>
        </w:rPr>
      </w:pPr>
      <w:bookmarkStart w:id="15" w:name="section16"/>
      <w:bookmarkEnd w:id="15"/>
      <w:r>
        <w:rPr>
          <w:rFonts w:ascii="Times New Roman" w:hAnsi="Times New Roman"/>
          <w:b/>
          <w:color w:val="000000"/>
          <w:sz w:val="20"/>
        </w:rPr>
        <w:t>7. BORROWINGS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total outstanding debt, as of July 2, 2026 and January 1, 2026, and the significant terms of its borrowing arrangements (in millions):</w:t>
      </w:r>
    </w:p>
    <w:p>
      <w:pPr>
        <w:pStyle w:val="TextBody"/>
        <w:bidi w:val="0"/>
        <w:jc w:val="left"/>
        <w:rPr/>
      </w:pPr>
      <w:r>
        <w:rPr/>
        <w:t> </w:t>
      </w:r>
    </w:p>
    <w:tbl>
      <w:tblPr>
        <w:tblW w:w="9603" w:type="dxa"/>
        <w:jc w:val="left"/>
        <w:tblInd w:w="0" w:type="dxa"/>
        <w:tblLayout w:type="fixed"/>
        <w:tblCellMar>
          <w:top w:w="28" w:type="dxa"/>
          <w:left w:w="28" w:type="dxa"/>
          <w:bottom w:w="28" w:type="dxa"/>
          <w:right w:w="28" w:type="dxa"/>
        </w:tblCellMar>
      </w:tblPr>
      <w:tblGrid>
        <w:gridCol w:w="3191"/>
        <w:gridCol w:w="146"/>
        <w:gridCol w:w="313"/>
        <w:gridCol w:w="692"/>
        <w:gridCol w:w="178"/>
        <w:gridCol w:w="178"/>
        <w:gridCol w:w="406"/>
        <w:gridCol w:w="899"/>
        <w:gridCol w:w="146"/>
        <w:gridCol w:w="146"/>
        <w:gridCol w:w="1501"/>
        <w:gridCol w:w="146"/>
        <w:gridCol w:w="367"/>
        <w:gridCol w:w="683"/>
        <w:gridCol w:w="611"/>
      </w:tblGrid>
      <w:tr>
        <w:trPr/>
        <w:tc>
          <w:tcPr>
            <w:tcW w:w="3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 Balance as of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Borrowings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2, 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Rate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24,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i/>
                <w:color w:val="000000"/>
                <w:sz w:val="20"/>
              </w:rPr>
            </w:pPr>
            <w:r>
              <w:rPr>
                <w:rFonts w:ascii="Times New Roman" w:hAnsi="Times New Roman"/>
                <w:i/>
                <w:color w:val="000000"/>
                <w:sz w:val="20"/>
              </w:rPr>
              <w:t>)</w:t>
            </w:r>
          </w:p>
        </w:tc>
      </w:tr>
      <w:tr>
        <w:trPr/>
        <w:tc>
          <w:tcPr>
            <w:tcW w:w="31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borrowings,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Carrying value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idi w:val="0"/>
        <w:jc w:val="left"/>
        <w:rPr/>
      </w:pPr>
      <w:r>
        <w:rPr/>
        <w:t> </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interest rates on the 2025 Credit Facility are described below.</w:t>
      </w:r>
    </w:p>
    <w:p>
      <w:pPr>
        <w:pStyle w:val="TextBody"/>
        <w:bidi w:val="0"/>
        <w:spacing w:before="120" w:after="283"/>
        <w:jc w:val="left"/>
        <w:rPr>
          <w:rFonts w:ascii="Times New Roman" w:hAnsi="Times New Roman"/>
          <w:sz w:val="20"/>
        </w:rPr>
      </w:pPr>
      <w:r>
        <w:rPr>
          <w:rFonts w:ascii="Times New Roman" w:hAnsi="Times New Roman"/>
          <w:b/>
          <w:i/>
          <w:color w:val="000000"/>
          <w:sz w:val="20"/>
        </w:rPr>
        <w:t>Debt Agreement</w:t>
      </w:r>
      <w:r>
        <w:rPr>
          <w:rFonts w:ascii="Times New Roman" w:hAnsi="Times New Roman"/>
          <w:color w:val="000000"/>
          <w:sz w:val="20"/>
        </w:rPr>
        <w:t>—On January 24, 2025, NCM LLC, as borrower, entered into a Loan and Security Agreement with U.S. Bank National Association, as lender. The agreement provides for a $45.0 million senior secured revolving credit facility that matures on January 24, 2028. As of July 2, 2026, NCM LLC had an outstanding balance of $12.0 million under the 2025 Credit Facility. Upon execution of the 2025 Credit Facility, NCM LLC recorded $0.9 million of debt issuance costs. As of July 2, 2026, NCM LLC's maximum availability under the $45.0 million 2025 Credit Facility was $32.4 million, net of letters of credit of $0.6 million and the outstanding balance of $12.0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Borrowings under the 2025 Credit Facility may be used for, among other things, working capital and other general corporate purposes of the Company and bear interest at a floating rate equal to term SOFR (subject to a floor of zero) plus an applicable margin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of 2.00%, which is subject to increase by an additional 2.00% upon the occurrence of an event of default. A commitment fee of 0.25% is payable quarterly in arrears based on the average daily amount of the undrawn portion of the commitments under the 2025 Credit Facility for the preceding quarter. The 2025 Credit Facility has a $5.0 million sublimit for the issuance of letters of credit. Fees are payable on outstanding letters of credit at a per annum rate equal to 2.00%, plus certain customary fees payable in connection with the issuance, amendment, renewal and extension of letters of credit and the processing of drawings thereunder.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of NCM LLC’s future subsidiaries (collectively, the “Guarantors”) are required to guarantee the repayment of NCM LLC’s obligations under the 2025 Credit Facility. The obligations of NCM LLC and any such Guarantors with respect to the 2025 Credit Facility are and will be secured by a pledge of substantially all assets of NCM LLC and each of the Guarantors, including, without limitation, accounts receivables, deposit accounts, intellectual property, investment property, inventory, equipment and equity interests in their respective subsidiaries.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2025 Credit Facility contains affirmative and negative covenants customary for financings of this type, with which NCM LLC was in compliance at July 2, 2026, including limitations on NCM LLC’s and its subsidiaries ability to incur additional debt, grant or permit additional liens, make investments and acquisitions, merge or consolidate with others, dispose of assets, pay dividends and distributions, make equity repurchases, pay subordinated indebtedness and enter into affiliate transactions. In addition, the 2025 Credit Facility contains financial covenants requiring NCM LLC to maintain a maximum leverage ratio of no greater than 2.25 to 1.00 and a minimum fixed charge coverage ratio of no less than 1.50 to 1.00, each measured on a quarterly basis. The 2025 Credit Facility also includes events of default customary for facilities of this type and upon the occurrence of such events of default, subject to customary cure rights, all outstanding loans under the 2025 Credit Facility may be accelerated and/or the Company’s commitments terminated. The 2025 Credit Facility also contains representations, warranties, and events of defaults customary for this type of facility. As of July 2, 2026, NCM LLC’s fixed charge coverage ratio was 10.8 to 1.0 (versus the required ratio of greater than 1.5 to 1.0) and NCM LLC's maximum leverage ratio was 0.39 to 1.0 (versus the required ratio of less than 2.25 to 1.0).</w:t>
      </w:r>
    </w:p>
    <w:p>
      <w:pPr>
        <w:pStyle w:val="TextBody"/>
        <w:bidi w:val="0"/>
        <w:spacing w:before="120" w:after="283"/>
        <w:jc w:val="left"/>
        <w:rPr>
          <w:rFonts w:ascii="Times New Roman" w:hAnsi="Times New Roman"/>
          <w:b/>
          <w:color w:val="000000"/>
          <w:sz w:val="20"/>
        </w:rPr>
      </w:pPr>
      <w:bookmarkStart w:id="16" w:name="section17"/>
      <w:bookmarkEnd w:id="16"/>
      <w:r>
        <w:rPr>
          <w:rFonts w:ascii="Times New Roman" w:hAnsi="Times New Roman"/>
          <w:b/>
          <w:color w:val="000000"/>
          <w:sz w:val="20"/>
        </w:rPr>
        <w:t>8. INCOME TAXES</w:t>
      </w:r>
    </w:p>
    <w:p>
      <w:pPr>
        <w:pStyle w:val="TextBody"/>
        <w:bidi w:val="0"/>
        <w:spacing w:before="120" w:after="283"/>
        <w:jc w:val="left"/>
        <w:rPr>
          <w:rFonts w:ascii="Times New Roman" w:hAnsi="Times New Roman"/>
          <w:sz w:val="20"/>
        </w:rPr>
      </w:pPr>
      <w:r>
        <w:rPr>
          <w:rFonts w:ascii="Times New Roman" w:hAnsi="Times New Roman"/>
          <w:b/>
          <w:i/>
          <w:color w:val="000000"/>
          <w:sz w:val="20"/>
        </w:rPr>
        <w:t>Changes in the Company’s Effective Tax Rate</w:t>
      </w:r>
      <w:r>
        <w:rPr>
          <w:rFonts w:ascii="Times New Roman" w:hAnsi="Times New Roman"/>
          <w:color w:val="000000"/>
          <w:sz w:val="20"/>
        </w:rPr>
        <w:t xml:space="preserve">—The Company recorded income tax expense of $0.0 million for the three and six months ended July 2, 2026 and for the three and six months ended June 26, 2025 resulting in an effective tax rate of 0.0% for these periods. The Company held a full valuation allowance on its net deferred tax assets as of January 1, 2026 following the determination it was more-likely-than-not that the Company will not be able to realize the benefit of those assets. The Company maintained a full valuation allowance as of July 2, 2026, resulting in deferred tax expense of $0.0 million for the three months and six months ended July 2, 2026 and the Company’s effective tax rate of 0.0%. </w:t>
      </w:r>
    </w:p>
    <w:p>
      <w:pPr>
        <w:pStyle w:val="TextBody"/>
        <w:bidi w:val="0"/>
        <w:spacing w:before="120" w:after="283"/>
        <w:jc w:val="left"/>
        <w:rPr>
          <w:rFonts w:ascii="Times New Roman" w:hAnsi="Times New Roman"/>
          <w:b/>
          <w:color w:val="000000"/>
          <w:sz w:val="20"/>
        </w:rPr>
      </w:pPr>
      <w:bookmarkStart w:id="17" w:name="section18"/>
      <w:bookmarkEnd w:id="17"/>
      <w:r>
        <w:rPr>
          <w:rFonts w:ascii="Times New Roman" w:hAnsi="Times New Roman"/>
          <w:b/>
          <w:color w:val="000000"/>
          <w:sz w:val="20"/>
        </w:rPr>
        <w:t>9. COMMITMENTS AND CONTINGENCIES</w:t>
      </w:r>
    </w:p>
    <w:p>
      <w:pPr>
        <w:pStyle w:val="TextBody"/>
        <w:bidi w:val="0"/>
        <w:spacing w:before="120" w:after="283"/>
        <w:jc w:val="left"/>
        <w:rPr>
          <w:rFonts w:ascii="Times New Roman" w:hAnsi="Times New Roman"/>
          <w:sz w:val="20"/>
        </w:rPr>
      </w:pPr>
      <w:r>
        <w:rPr>
          <w:rFonts w:ascii="Times New Roman" w:hAnsi="Times New Roman"/>
          <w:b/>
          <w:i/>
          <w:color w:val="000000"/>
          <w:sz w:val="20"/>
        </w:rPr>
        <w:t>Legal Actions</w:t>
      </w:r>
      <w:r>
        <w:rPr>
          <w:rFonts w:ascii="Times New Roman" w:hAnsi="Times New Roman"/>
          <w:color w:val="000000"/>
          <w:sz w:val="20"/>
        </w:rPr>
        <w:t>—The Company is subject to claims and legal actions in the ordinary course of business. The Company believes such claims will not have a material adverse effect individually or in the aggregate on its financial position, results of operations or cash flows.</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Commitments</w:t>
      </w:r>
      <w:r>
        <w:rPr>
          <w:rFonts w:ascii="Times New Roman" w:hAnsi="Times New Roman"/>
          <w:color w:val="000000"/>
          <w:sz w:val="20"/>
        </w:rPr>
        <w:t>—</w:t>
      </w:r>
      <w:r>
        <w:rPr>
          <w:rFonts w:ascii="Times New Roman" w:hAnsi="Times New Roman"/>
          <w:b/>
          <w:i/>
          <w:color w:val="000000"/>
          <w:sz w:val="20"/>
        </w:rPr>
        <w:t>Facilities</w:t>
      </w:r>
      <w:r>
        <w:rPr>
          <w:rFonts w:ascii="Times New Roman" w:hAnsi="Times New Roman"/>
          <w:color w:val="000000"/>
          <w:sz w:val="20"/>
        </w:rPr>
        <w:t xml:space="preserve">—The Company has entered into operating lease agreements for its corporate headquarters and other regional offices. The Company has right-of-use (“ROU”) assets of $8.2 million and short-term and long-term lease liabilities of $1.5 million and $8.4 million, respectively, on the balance sheet as of July 2, 2026, for all material leases with terms longer than twelve months. As of January 1, 2026, the Company had ROU assets of $8.8 million and short-term and long-term lease liabilities of $1.5 million and $9.3 million, respectively, for all material leases with terms longer than twelve months. These balances are included within ‘Other assets’, ‘Other current liabilities’ and ‘Long-term lease liabilities’, respectively, on the unaudited Condensed Consolidated Balance Sheets. As of July 2, 2026, the Company had a weighted average remaining lease term of 7.2 years on these leases. When measuring the ROU assets and lease liabilities recorded, the Company utilized its incremental borrowing rate in order to determine the present value of the lease payments as the leases do not provide an implicit rate. The Company used the rate of interest that it would have paid to borrow on a collateralized basis over a similar term for an amount equal to the lease payments in a similar economic environment. As of July 2, 2026, the Company’s weighted average annual discount rate used to establish the ROU assets and lease liabilities was 3.6%.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8, 2025, the Company entered into a lease modification with the landlord for the Company's headquarter office space in Centennial, Colorado. The commencement of the new leased asset and the termination of the current leased asset are contingent upon landlord-controlled construction and the associated timing of completion is uncertain as of July 2, 2026. Once complete, the Company will lease the new premises for a term of 11 years and will vacate the current premises prior to the original end date of June 2028.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and six months ended July 2, 2026 and June 26, 2025, the Company recognized the following components of total lease cost (in millions). These costs are presented within ‘Selling and marketing costs’ and ‘Administrative and other costs’ within the unaudited Condensed Consolidated Statements of Operations depending upon the nature of the use of the facility.</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7263" w:type="dxa"/>
        <w:jc w:val="left"/>
        <w:tblInd w:w="0" w:type="dxa"/>
        <w:tblLayout w:type="fixed"/>
        <w:tblCellMar>
          <w:top w:w="28" w:type="dxa"/>
          <w:left w:w="28" w:type="dxa"/>
          <w:bottom w:w="28" w:type="dxa"/>
          <w:right w:w="28" w:type="dxa"/>
        </w:tblCellMar>
      </w:tblPr>
      <w:tblGrid>
        <w:gridCol w:w="1756"/>
        <w:gridCol w:w="146"/>
        <w:gridCol w:w="370"/>
        <w:gridCol w:w="635"/>
        <w:gridCol w:w="163"/>
        <w:gridCol w:w="163"/>
        <w:gridCol w:w="414"/>
        <w:gridCol w:w="711"/>
        <w:gridCol w:w="146"/>
        <w:gridCol w:w="146"/>
        <w:gridCol w:w="371"/>
        <w:gridCol w:w="634"/>
        <w:gridCol w:w="146"/>
        <w:gridCol w:w="146"/>
        <w:gridCol w:w="415"/>
        <w:gridCol w:w="710"/>
        <w:gridCol w:w="19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2, 2026</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26,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2,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26,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made total lease payments of $0.5 million, $0.5 million, $1.0 million, and $1.0 million during the three and six months ended July 2, 2026 and June 26, 2025, respectively. These payments are included within cash flows from operating activities within the unaudited Condensed Consolidated Statements of Cash Flows. </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Commitments</w:t>
      </w:r>
      <w:r>
        <w:rPr>
          <w:rFonts w:ascii="Times New Roman" w:hAnsi="Times New Roman"/>
          <w:color w:val="000000"/>
          <w:sz w:val="20"/>
        </w:rPr>
        <w:t>—</w:t>
      </w:r>
      <w:r>
        <w:rPr>
          <w:rFonts w:ascii="Times New Roman" w:hAnsi="Times New Roman"/>
          <w:b/>
          <w:i/>
          <w:color w:val="000000"/>
          <w:sz w:val="20"/>
        </w:rPr>
        <w:t>ESAs and Affiliate Agreements</w:t>
      </w:r>
      <w:r>
        <w:rPr>
          <w:rFonts w:ascii="Times New Roman" w:hAnsi="Times New Roman"/>
          <w:color w:val="000000"/>
          <w:sz w:val="20"/>
        </w:rPr>
        <w:t>—The Company has entered into long-term ESAs and multi-year agreements with third-party theater circuits. The ESAs and network affiliate agreements grant NCM LLC exclusive rights in their theaters to sell advertising, subject to limited exceptions. The Company recognized the intangibles upon the reconsolidation of NCM LLC on August 7, 2023. Additions to the intangible assets may be recognized upon issuance of membership units to Cinemark in accordance with NCM LLC’s Common Unit Adjustment Agreement and upfront cash payments to the affiliates for the contractual rights to provide the Company’s services within their theaters as further discussed within Note 5—</w:t>
      </w:r>
      <w:r>
        <w:rPr>
          <w:rFonts w:ascii="Times New Roman" w:hAnsi="Times New Roman"/>
          <w:i/>
          <w:color w:val="000000"/>
          <w:sz w:val="20"/>
        </w:rPr>
        <w:t>Intangible Assets</w:t>
      </w:r>
      <w:r>
        <w:rPr>
          <w:rFonts w:ascii="Times New Roman" w:hAnsi="Times New Roman"/>
          <w:color w:val="000000"/>
          <w:sz w:val="20"/>
        </w:rPr>
        <w:t xml:space="preserve">. These ESAs and network affiliate agreements are considered leases under </w:t>
      </w:r>
      <w:r>
        <w:rPr>
          <w:rFonts w:ascii="Times New Roman" w:hAnsi="Times New Roman"/>
          <w:i/>
          <w:color w:val="000000"/>
          <w:sz w:val="20"/>
        </w:rPr>
        <w:t>ASC 842</w:t>
      </w:r>
      <w:r>
        <w:rPr>
          <w:rFonts w:ascii="Times New Roman" w:hAnsi="Times New Roman"/>
          <w:color w:val="000000"/>
          <w:sz w:val="20"/>
        </w:rPr>
        <w:t>—</w:t>
      </w:r>
      <w:r>
        <w:rPr>
          <w:rFonts w:ascii="Times New Roman" w:hAnsi="Times New Roman"/>
          <w:i/>
          <w:color w:val="000000"/>
          <w:sz w:val="20"/>
        </w:rPr>
        <w:t xml:space="preserve">Leases </w:t>
      </w:r>
      <w:r>
        <w:rPr>
          <w:rFonts w:ascii="Times New Roman" w:hAnsi="Times New Roman"/>
          <w:color w:val="000000"/>
          <w:sz w:val="20"/>
        </w:rPr>
        <w:t>(“</w:t>
      </w:r>
      <w:r>
        <w:rPr>
          <w:rFonts w:ascii="Times New Roman" w:hAnsi="Times New Roman"/>
          <w:i/>
          <w:color w:val="000000"/>
          <w:sz w:val="20"/>
        </w:rPr>
        <w:t>ASC</w:t>
      </w:r>
      <w:r>
        <w:rPr>
          <w:rFonts w:ascii="Times New Roman" w:hAnsi="Times New Roman"/>
          <w:color w:val="000000"/>
          <w:sz w:val="20"/>
        </w:rPr>
        <w:t xml:space="preserve"> </w:t>
      </w:r>
      <w:r>
        <w:rPr>
          <w:rFonts w:ascii="Times New Roman" w:hAnsi="Times New Roman"/>
          <w:i/>
          <w:color w:val="000000"/>
          <w:sz w:val="20"/>
        </w:rPr>
        <w:t>842</w:t>
      </w:r>
      <w:r>
        <w:rPr>
          <w:rFonts w:ascii="Times New Roman" w:hAnsi="Times New Roman"/>
          <w:color w:val="000000"/>
          <w:sz w:val="20"/>
        </w:rPr>
        <w:t xml:space="preserve">”) once the asset is identified and the period of control is determined upon the scheduling of the showtimes by the exhibitors, typically one week prior to the showtime. As such, the leases are considered short-term in nature, specifically less than one month. Under </w:t>
      </w:r>
      <w:r>
        <w:rPr>
          <w:rFonts w:ascii="Times New Roman" w:hAnsi="Times New Roman"/>
          <w:i/>
          <w:color w:val="000000"/>
          <w:sz w:val="20"/>
        </w:rPr>
        <w:t>ASC</w:t>
      </w:r>
      <w:r>
        <w:rPr>
          <w:rFonts w:ascii="Times New Roman" w:hAnsi="Times New Roman"/>
          <w:color w:val="000000"/>
          <w:sz w:val="20"/>
        </w:rPr>
        <w:t xml:space="preserve"> </w:t>
      </w:r>
      <w:r>
        <w:rPr>
          <w:rFonts w:ascii="Times New Roman" w:hAnsi="Times New Roman"/>
          <w:i/>
          <w:color w:val="000000"/>
          <w:sz w:val="20"/>
        </w:rPr>
        <w:t>842</w:t>
      </w:r>
      <w:r>
        <w:rPr>
          <w:rFonts w:ascii="Times New Roman" w:hAnsi="Times New Roman"/>
          <w:color w:val="000000"/>
          <w:sz w:val="20"/>
        </w:rPr>
        <w:t xml:space="preserve">, leases with terms of less than one month are exempt from the majority of the accounting and disclosure requirements, including disclosure of short-term lease expense. No ROU assets or lease liabilities were recognized for these agreements and no change to the balance sheet presentation of the intangible assets was necessary. However, the amortization of these intangible assets is considered lease expense and is presented within ‘Amortization expense’ within the unaudited Condensed Consolidated Statements of Operations. The Company recorded $4.3 million, $4.6 million, $8.6 million, and $10.4 million in amortization of these intangible assets in the three and six months ended July 2, 2026 and June 26, 2025,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consideration for NCM LLC’s access to the ESA Parties’ and network affiliate's theater attendees for on-screen advertising and use of lobbies and other space within the exhibitors’ theaters for the LEN and lobby promotions, the ESA Parties and network affiliates receive payments based either upon number of attendees (pre or post-showtime), a revenue share, a fee per screen or digital screen or a combination, including a minimum revenue guarantee per attendee. Many of these agreements contain increases annually or every five years to the respective fee structures or guaranteed minimums, either per patron, per theater and/or per digital screen in a range from 2% to 8% depending upon the underlying agreement. The theater access fee paid in the aggregate to Cinemark cannot be less than 12% of NCM LLC’s aggregate advertising revenue (as defined in the ESA), or it will be adjusted upward to reach this minimum payment. As of July 2, 2026 and January 1, 2026, the Company had no liabilities recorded for the minimum payment, as the theater access fee was in excess of the minimum. The Company does not owe any theater access fees or revenue share when the theaters are not displaying the Company's pre-show or when the Company does not have access to the theaters. The digital screen fee is calculated based upon average screens in use during each month. As part of the AMC 2025 Agreement, the Company will modernize certain lobbies within AMC's theaters, which will require the Company to expend refurbishment costs in connection with equipment upgrades.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the network affiliate agreements entered into in the ordinary course of business under which the Company sells advertising for display in various network affiliate theater chains, the Company has agreed to certain minimum revenue guarantees on a per attendee basis. If a network affiliate achieves the attendance set forth in their respective agreement, the Company has guaranteed minimum revenue for the network affiliate per attendee if the amount paid under the revenue share arrangement is less than the guaranteed amount. As of July 2, 2026, the maximum potential amount of future payments the Company could be required to make pursuant to the minimum revenue guarantees is $282.4 million over the remaining terms of the network affiliate agreements, contingent upon the achievement of network affiliate minimum attendance thresholds. These minimum guarantees apply to various affiliate agreements ranging in term from two years to fifteen years, prior to any renewal periods of which some are at the option of the Company. The Company accrued $0.7 million and $1.1 million related to affiliate agreements with guaranteed minimums in excess of the revenue share agreement as of July 2, 2026 and January 1, 2026, respectively, within ‘Accounts payable’ in the unaudited Condensed Consolidated Balance Sheet. As the guaranteed minimums are based upon agreed upon minimum attendance or affiliate revenue levels, the Company will not incur minimum revenue share fees if the minimum theater attendance or revenue levels are not met by the affiliate.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10.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current assets and liabilities are estimated to approximate their fair value due to the short-term nature of these balances. Fair value is the price that would be received from selling an asset or paid to transfer a liability in an orderly transaction between market participants at the measurement date. Fair value is estimated by applying the following hierarchy, which prioritizes the inputs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used to measure fair value into three levels and bases the categorization within the hierarchy upon the lowest level of input that is available and significant to the fair value measurement:</w:t>
      </w:r>
    </w:p>
    <w:p>
      <w:pPr>
        <w:pStyle w:val="TextBody"/>
        <w:bidi w:val="0"/>
        <w:spacing w:before="120" w:after="283"/>
        <w:jc w:val="left"/>
        <w:rPr>
          <w:rFonts w:ascii="Times New Roman" w:hAnsi="Times New Roman"/>
          <w:sz w:val="20"/>
        </w:rPr>
      </w:pPr>
      <w:r>
        <w:rPr>
          <w:rFonts w:ascii="Times New Roman" w:hAnsi="Times New Roman"/>
          <w:i/>
          <w:color w:val="000000"/>
          <w:sz w:val="20"/>
        </w:rPr>
        <w:t>Level 1</w:t>
      </w:r>
      <w:r>
        <w:rPr>
          <w:rFonts w:ascii="Times New Roman" w:hAnsi="Times New Roman"/>
          <w:color w:val="000000"/>
          <w:sz w:val="20"/>
        </w:rPr>
        <w:t>—Quoted prices in active markets for identical assets or liabilities.</w:t>
      </w:r>
    </w:p>
    <w:p>
      <w:pPr>
        <w:pStyle w:val="TextBody"/>
        <w:bidi w:val="0"/>
        <w:spacing w:before="120" w:after="283"/>
        <w:jc w:val="left"/>
        <w:rPr>
          <w:rFonts w:ascii="Times New Roman" w:hAnsi="Times New Roman"/>
          <w:sz w:val="20"/>
        </w:rPr>
      </w:pPr>
      <w:r>
        <w:rPr>
          <w:rFonts w:ascii="Times New Roman" w:hAnsi="Times New Roman"/>
          <w:i/>
          <w:color w:val="000000"/>
          <w:sz w:val="20"/>
        </w:rPr>
        <w:t>Level 2</w:t>
      </w:r>
      <w:r>
        <w:rPr>
          <w:rFonts w:ascii="Times New Roman" w:hAnsi="Times New Roman"/>
          <w:color w:val="000000"/>
          <w:sz w:val="20"/>
        </w:rPr>
        <w:t>—Observable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pStyle w:val="TextBody"/>
        <w:bidi w:val="0"/>
        <w:spacing w:before="120" w:after="283"/>
        <w:jc w:val="left"/>
        <w:rPr>
          <w:rFonts w:ascii="Times New Roman" w:hAnsi="Times New Roman"/>
          <w:sz w:val="20"/>
        </w:rPr>
      </w:pPr>
      <w:r>
        <w:rPr>
          <w:rFonts w:ascii="Times New Roman" w:hAnsi="Times New Roman"/>
          <w:i/>
          <w:color w:val="000000"/>
          <w:sz w:val="20"/>
        </w:rPr>
        <w:t>Level 3</w:t>
      </w:r>
      <w:r>
        <w:rPr>
          <w:rFonts w:ascii="Times New Roman" w:hAnsi="Times New Roman"/>
          <w:color w:val="000000"/>
          <w:sz w:val="20"/>
        </w:rPr>
        <w:t>—Inputs that are generally unobservable and typically reflect management’s estimate of assumptions that market participants would use in pricing the asset or liability.</w:t>
      </w:r>
    </w:p>
    <w:p>
      <w:pPr>
        <w:pStyle w:val="TextBody"/>
        <w:bidi w:val="0"/>
        <w:spacing w:before="120" w:after="283"/>
        <w:jc w:val="left"/>
        <w:rPr>
          <w:rFonts w:ascii="Times New Roman" w:hAnsi="Times New Roman"/>
          <w:sz w:val="20"/>
        </w:rPr>
      </w:pPr>
      <w:r>
        <w:rPr>
          <w:rFonts w:ascii="Times New Roman" w:hAnsi="Times New Roman"/>
          <w:b/>
          <w:i/>
          <w:color w:val="000000"/>
          <w:sz w:val="20"/>
        </w:rPr>
        <w:t>Non-Recurring Measurements</w:t>
      </w:r>
      <w:r>
        <w:rPr>
          <w:rFonts w:ascii="Times New Roman" w:hAnsi="Times New Roman"/>
          <w:color w:val="000000"/>
          <w:sz w:val="20"/>
        </w:rPr>
        <w:t>—Certain assets are measured at fair value on a non-recurring basis. These assets are not measured at fair value on an ongoing basis but are subject to fair value adjustments in certain circumstances. These assets include long-lived assets, intangible assets, other investments, notes receivable and borrowings.</w:t>
      </w:r>
    </w:p>
    <w:p>
      <w:pPr>
        <w:pStyle w:val="TextBody"/>
        <w:bidi w:val="0"/>
        <w:spacing w:before="120" w:after="283"/>
        <w:jc w:val="left"/>
        <w:rPr>
          <w:rFonts w:ascii="Times New Roman" w:hAnsi="Times New Roman"/>
          <w:sz w:val="20"/>
        </w:rPr>
      </w:pPr>
      <w:r>
        <w:rPr>
          <w:rFonts w:ascii="Times New Roman" w:hAnsi="Times New Roman"/>
          <w:i/>
          <w:color w:val="000000"/>
          <w:sz w:val="20"/>
        </w:rPr>
        <w:t>Long-Lived Assets, Intangible Assets and Other Investments</w:t>
      </w:r>
      <w:r>
        <w:rPr>
          <w:rFonts w:ascii="Times New Roman" w:hAnsi="Times New Roman"/>
          <w:color w:val="000000"/>
          <w:sz w:val="20"/>
        </w:rPr>
        <w:t xml:space="preserve">—The Company regularly reviews long-lived assets (primarily property and equipment), intangible assets and investments accounted for under the cost or equity method for impairment whenever certain qualitative factors, events or changes in circumstances indicate that the carrying amounts of the assets may not be fully recoverable. When the estimated fair value is determined to be lower than the carrying value of the asset, an impairment charge is recorded to write the asset down to its estimated fair value.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investments consisted of the following (in millions):</w:t>
      </w:r>
    </w:p>
    <w:p>
      <w:pPr>
        <w:pStyle w:val="TextBody"/>
        <w:bidi w:val="0"/>
        <w:jc w:val="left"/>
        <w:rPr/>
      </w:pPr>
      <w:r>
        <w:rPr/>
        <w:t> </w:t>
      </w:r>
    </w:p>
    <w:tbl>
      <w:tblPr>
        <w:tblW w:w="6215" w:type="dxa"/>
        <w:jc w:val="left"/>
        <w:tblInd w:w="0" w:type="dxa"/>
        <w:tblLayout w:type="fixed"/>
        <w:tblCellMar>
          <w:top w:w="28" w:type="dxa"/>
          <w:left w:w="28" w:type="dxa"/>
          <w:bottom w:w="28" w:type="dxa"/>
          <w:right w:w="28" w:type="dxa"/>
        </w:tblCellMar>
      </w:tblPr>
      <w:tblGrid>
        <w:gridCol w:w="3076"/>
        <w:gridCol w:w="146"/>
        <w:gridCol w:w="371"/>
        <w:gridCol w:w="634"/>
        <w:gridCol w:w="146"/>
        <w:gridCol w:w="146"/>
        <w:gridCol w:w="480"/>
        <w:gridCol w:w="825"/>
        <w:gridCol w:w="39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2,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 AC JV,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 MMC LP - 2025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investment in AC JV, LLC was initially valued using comparative market multiples. The investment in MMC LP was initially valued at the fair value of the services provided or to be provided in exchange for the investment. The other investments were also recorded based upon the fair value of the services provided or to be provided in exchange for the investment. As the inputs to the determination of fair value are based upon non-identical assets and use significant unobservable inputs, they have been classified as Level 3 in the fair value hierarchy. The increase in Other investments is due to the advertising services performed in exchange for equity in various companies during the six months ended July 2, 2026. During the six months ended July 2, 2026 and June 26, 2025, no observable price changes or impairments have been recorded as a result of the Company’s qualitative assessment of identified events or changes in the circumstances of the remaining investments. </w:t>
      </w:r>
    </w:p>
    <w:p>
      <w:pPr>
        <w:pStyle w:val="TextBody"/>
        <w:bidi w:val="0"/>
        <w:spacing w:before="120" w:after="283"/>
        <w:jc w:val="left"/>
        <w:rPr>
          <w:rFonts w:ascii="Times New Roman" w:hAnsi="Times New Roman"/>
          <w:sz w:val="20"/>
        </w:rPr>
      </w:pPr>
      <w:r>
        <w:rPr>
          <w:rFonts w:ascii="Times New Roman" w:hAnsi="Times New Roman"/>
          <w:i/>
          <w:color w:val="000000"/>
          <w:sz w:val="20"/>
        </w:rPr>
        <w:t>Borrowings</w:t>
      </w:r>
      <w:r>
        <w:rPr>
          <w:rFonts w:ascii="Times New Roman" w:hAnsi="Times New Roman"/>
          <w:color w:val="000000"/>
          <w:sz w:val="20"/>
        </w:rPr>
        <w:t>—The carrying amount of the Revolving Credit Facility 2023, as of July 2, 2026 and January 1, 2026, was considered a reasonable estimate of fair value due to the respective floating-rate terms.</w:t>
      </w:r>
    </w:p>
    <w:p>
      <w:pPr>
        <w:pStyle w:val="TextBody"/>
        <w:bidi w:val="0"/>
        <w:spacing w:before="120" w:after="283"/>
        <w:jc w:val="left"/>
        <w:rPr>
          <w:rFonts w:ascii="Times New Roman" w:hAnsi="Times New Roman"/>
          <w:sz w:val="20"/>
        </w:rPr>
      </w:pPr>
      <w:r>
        <w:rPr>
          <w:rFonts w:ascii="Times New Roman" w:hAnsi="Times New Roman"/>
          <w:b/>
          <w:i/>
          <w:color w:val="000000"/>
          <w:sz w:val="20"/>
        </w:rPr>
        <w:t>Recurring Measurements</w:t>
      </w:r>
      <w:r>
        <w:rPr>
          <w:rFonts w:ascii="Times New Roman" w:hAnsi="Times New Roman"/>
          <w:color w:val="000000"/>
          <w:sz w:val="20"/>
        </w:rPr>
        <w:t xml:space="preserve">—All current assets and liabilities are estimated to approximate their fair value due to the short-term nature of these balances. The Company had no assets and liabilities measured on a recurring basis pursuant to </w:t>
      </w:r>
      <w:r>
        <w:rPr>
          <w:rFonts w:ascii="Times New Roman" w:hAnsi="Times New Roman"/>
          <w:i/>
          <w:color w:val="000000"/>
          <w:sz w:val="20"/>
        </w:rPr>
        <w:t>ASC 820-10</w:t>
      </w:r>
      <w:r>
        <w:rPr>
          <w:rFonts w:ascii="Times New Roman" w:hAnsi="Times New Roman"/>
          <w:color w:val="000000"/>
          <w:sz w:val="20"/>
        </w:rPr>
        <w:t xml:space="preserve"> </w:t>
      </w:r>
      <w:r>
        <w:rPr>
          <w:rFonts w:ascii="Times New Roman" w:hAnsi="Times New Roman"/>
          <w:i/>
          <w:color w:val="000000"/>
          <w:sz w:val="20"/>
        </w:rPr>
        <w:t>Fair Value Measurements and Disclosures</w:t>
      </w:r>
      <w:r>
        <w:rPr>
          <w:rFonts w:ascii="Times New Roman" w:hAnsi="Times New Roman"/>
          <w:color w:val="000000"/>
          <w:sz w:val="20"/>
        </w:rPr>
        <w:t xml:space="preserve"> as of July 2, 2026 and January 1, 2026</w:t>
      </w:r>
      <w:r>
        <w:rPr>
          <w:rFonts w:ascii="Times New Roman" w:hAnsi="Times New Roman"/>
          <w:i/>
          <w:color w:val="000000"/>
          <w:sz w:val="20"/>
        </w:rPr>
        <w:t>.</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11. SUBSEQUENT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10, 2026, NCM Holdings, LLC, a wholly-owned subsidiary of the Company entered into the Securities Purchase Agreement and Plan of Merger with Captivate Holdings, LLC (“Captivate”) and certain affiliates pursuant to which the Company acquired Captivate (the “Captivate Purchase Agreement”). Captivate is the holding company for Captivate, LLC, the leading operator of digital video elevator and lobby advertising in North America. The acquisition of Captivate expands NCM's advertising capabilities and out of home portfolio to include more than 26,000 digital video screens in the lobbies and elevators of premier buildings enabling brands to target large heightened attention audiences in high traffic environments. NCM expects to realize the full run-rate synergies following the acquisition in the first year. This transaction is aligned with NCM’s strategy to build a market-defining premium video and digital out-of-home advertising platform. The purchase price of the acquisition is $275.0 million in exchange for 100.0% of the ownership of Captivate.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fund the purchase, the Company has entered into a commitment letter (the “Commitment Letter”) with Crestline Management, L.P., Encina Commercial Finance SPV 2, LLC and Encina Commercial Finance SPV 3b, LLC (the “Commitment Parties”). Pursuant to the Commitment Letter, the Commitment Parties and the Company will enter into a term loan and revolving credit facility (the “Captivate Credit Facility”) immediately prior to the closing of the acquisition that will include a $275.0 term loan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and a $25.0 revolving credit facility that matures five years from the execution date. Outstanding loans under the Captivate Credit Facility will bear interest at a margin over a reference rate selected at the option of the borrower. The margin for the Captivate Credit Facility will be 7.00% per annum for SOFR borrowings and 6.00% per annum for base rate borrowings. The transactions contemplated by the Captivate Purchase Agreement and the Commitment Letter are expected to close during the second half of 2026 contingent upon the receipt of required regulatory approvals and satisfaction of other customary closing conditions.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8" w:name="item_2_mda"/>
      <w:bookmarkEnd w:id="18"/>
      <w:r>
        <w:rPr>
          <w:rFonts w:ascii="Times New Roman" w:hAnsi="Times New Roman"/>
          <w:b/>
          <w:color w:val="000000"/>
          <w:sz w:val="20"/>
        </w:rPr>
        <w:t xml:space="preserve">Item 2. </w:t>
      </w:r>
      <w:r>
        <w:rPr>
          <w:rFonts w:ascii="Times New Roman" w:hAnsi="Times New Roman"/>
          <w:b/>
          <w:color w:val="000000"/>
          <w:sz w:val="20"/>
          <w:u w:val="single"/>
        </w:rPr>
        <w:t>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Some of the information in this Quarterly Report on Form 10-Q includes “forward-looking statements” within the meaning of Section 27A of the Securities Act of 1933, as amended, and Section 21E of the Securities Exchange Act of 1934 (the “Exchange Act”), as amended. All statements other than statements of historical facts included in this Form 10-Q, including, without limitation, certain statements under “Management’s Discussion and Analysis of Financial Condition and Results of Operations” may constitute forward-looking statements. In some cases, you can identify these “forward-looking statements” by the specific words, including but not limited to “may,” “should,” “expects,” “plans,” “anticipates,” “believes,” “estimates,” “forecasts,” “predicts,” “potential” or “continue” or the negative of those words and other comparable words. These forward-looking statements involve risks and uncertainties. Our actual results could differ materially from those indicated in these statements as a result of certain factors as more fully discussed under the heading “Risk Factors” in our Quarterly Report on Form 10-Q for the three months ended April 2, 2026 and in our Annual Report on Form 10-K for the Company’s fiscal year ended January 1, 2026. Investors are cautioned not to place undue reliance on any such forward-looking statements, which speak to the information only as of the date they are made. We undertake no obligation to update any forward-looking statement, whether as a result of new information, future events or otherwise, except as required by law. The following discussion and analysis is a supplement to and should be read in conjunction with the unaudited Condensed Consolidated Financial Statements and notes thereto included herein and the audited financial statements and other disclosure included in our Annual Report on Form 10-K for the Company’s fiscal year ended January 1, 2026. In the following discussion and analysis, the term net income refers to net income attributable to the Company.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National CineMedia is the largest cinema advertising platform in the U.S. With unparalleled reach and scale, NCM connects brands to sought-after young, diverse audiences through the power of movies and pop culture. A premium video, full-funnel marketing solution for advertisers, NCM enhances marketers’ ability to measure and drive results. We currently derive revenue principally from the sale of advertising to national, regional and local businesses in The </w:t>
      </w:r>
      <w:r>
        <w:rPr>
          <w:rFonts w:ascii="Times New Roman" w:hAnsi="Times New Roman"/>
          <w:i/>
          <w:color w:val="000000"/>
          <w:sz w:val="20"/>
        </w:rPr>
        <w:t xml:space="preserve">Noovie® </w:t>
      </w:r>
      <w:r>
        <w:rPr>
          <w:rFonts w:ascii="Times New Roman" w:hAnsi="Times New Roman"/>
          <w:color w:val="000000"/>
          <w:sz w:val="20"/>
        </w:rPr>
        <w:t xml:space="preserve">Show, our cinema advertising and entertainment show seen on movie screens across the U.S. within the NCM Network, and the </w:t>
      </w:r>
      <w:r>
        <w:rPr>
          <w:rFonts w:ascii="Times New Roman" w:hAnsi="Times New Roman"/>
          <w:i/>
          <w:color w:val="000000"/>
          <w:sz w:val="20"/>
        </w:rPr>
        <w:t xml:space="preserve">Cinelife® </w:t>
      </w:r>
      <w:r>
        <w:rPr>
          <w:rFonts w:ascii="Times New Roman" w:hAnsi="Times New Roman"/>
          <w:color w:val="000000"/>
          <w:sz w:val="20"/>
        </w:rPr>
        <w:t xml:space="preserve">Show within the Spotlight Cinema Network. We present multiple formats of The </w:t>
      </w:r>
      <w:r>
        <w:rPr>
          <w:rFonts w:ascii="Times New Roman" w:hAnsi="Times New Roman"/>
          <w:i/>
          <w:color w:val="000000"/>
          <w:sz w:val="20"/>
        </w:rPr>
        <w:t xml:space="preserve">Noovie® </w:t>
      </w:r>
      <w:r>
        <w:rPr>
          <w:rFonts w:ascii="Times New Roman" w:hAnsi="Times New Roman"/>
          <w:color w:val="000000"/>
          <w:sz w:val="20"/>
        </w:rPr>
        <w:t xml:space="preserve">Show and </w:t>
      </w:r>
      <w:r>
        <w:rPr>
          <w:rFonts w:ascii="Times New Roman" w:hAnsi="Times New Roman"/>
          <w:i/>
          <w:color w:val="000000"/>
          <w:sz w:val="20"/>
        </w:rPr>
        <w:t xml:space="preserve">Cinelife® </w:t>
      </w:r>
      <w:r>
        <w:rPr>
          <w:rFonts w:ascii="Times New Roman" w:hAnsi="Times New Roman"/>
          <w:color w:val="000000"/>
          <w:sz w:val="20"/>
        </w:rPr>
        <w:t xml:space="preserve">Show depending on the theater circuit in which it runs, with almost all theater circuits including Post-Showtime advertising inventory after the advertised showtime. The movie trailers presented by the theater circuits that run before the feature film are not part of our preshows.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also sell advertising on our lobby entertainment network (“LEN”), a series of strategically placed screens located in movie theater lobbies, as well as other forms of advertising and promotions in theater lobbies. In addition, we sell data and digital advertising through the </w:t>
      </w:r>
      <w:r>
        <w:rPr>
          <w:rFonts w:ascii="Times New Roman" w:hAnsi="Times New Roman"/>
          <w:i/>
          <w:color w:val="000000"/>
          <w:sz w:val="20"/>
        </w:rPr>
        <w:t>NCMx</w:t>
      </w:r>
      <w:r>
        <w:rPr>
          <w:rFonts w:ascii="Times New Roman" w:hAnsi="Times New Roman"/>
          <w:color w:val="000000"/>
          <w:sz w:val="20"/>
        </w:rPr>
        <w:t xml:space="preserve"> suite of products and through our </w:t>
      </w:r>
      <w:r>
        <w:rPr>
          <w:rFonts w:ascii="Times New Roman" w:hAnsi="Times New Roman"/>
          <w:i/>
          <w:color w:val="000000"/>
          <w:sz w:val="20"/>
        </w:rPr>
        <w:t>Noovie</w:t>
      </w:r>
      <w:r>
        <w:rPr>
          <w:rFonts w:ascii="Times New Roman" w:hAnsi="Times New Roman"/>
          <w:color w:val="000000"/>
          <w:sz w:val="20"/>
        </w:rPr>
        <w:t xml:space="preserve"> digital properties. We also sell advertising across a variety of complementary out of home venues. In combination, our multimedia advertising connects brands with audiences across all screens, both in theaters and beyond, before, during and after their moviegoing experience. We have long-term ESAs (approximately 15.1 weighted average years remaining) and multi-year agreements with our network affiliates, which expire at various dates between August 31, 2026 and July 13, 2033, with our largest affiliate agreement expiring on July 13, 2033. The weighted average remaining term of the ESAs and the network affiliate agreements is 11.4 years as of July 2, 2026. The ESAs and network affiliate agreements grant NCM LLC exclusive rights in their theaters to sell advertising, subject to limited exceptions. Our </w:t>
      </w:r>
      <w:r>
        <w:rPr>
          <w:rFonts w:ascii="Times New Roman" w:hAnsi="Times New Roman"/>
          <w:i/>
          <w:color w:val="000000"/>
          <w:sz w:val="20"/>
        </w:rPr>
        <w:t>Noovie</w:t>
      </w:r>
      <w:r>
        <w:rPr>
          <w:rFonts w:ascii="Times New Roman" w:hAnsi="Times New Roman"/>
          <w:color w:val="000000"/>
          <w:sz w:val="20"/>
        </w:rPr>
        <w:t xml:space="preserve"> Show and LEN programming are distributed predominantly via satellite through our proprietary digital content network (“DCN”) and Media Director.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focuses on several measurements that we believe provide us with the necessary ratios and key performance indicators to manage our business, determine how we are performing versus our internal goals and targets, and against the performance of our competitors and other benchmarks in the marketplace in which we operate. We focus on many operating metrics including revenue, Adjusted OIBDA and Adjusted OIBDA margin, as some of our primary measurement metrics. In addition, we monitor our monthly advertising performance measurements, including advertising inventory utilization, advertising pricing (“CPM”), local advertising rate per theater per week, advertising revenue per attendee, as well as significant operating expenses and related trends. We also monitor free cash flow, cash balances, the fixed charge coverage ratio and revolving credit facility availability to ensure financial debt covenant compliance and that there is adequate cash availability to fund our working capital needs, debt obligations and any future dividends declared by our 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operating results may be affected by a variety of internal and external factors and trends described more fully in the section entitled “Risk Factors” in our Annual Report on Form 10-K, filed with the SEC on February 26, 2026, for our fiscal year ended January 1, 2026 and in the Quarterly Report on Form 10-Q filed with the SEC on May 12, 2026 for the quarter ended April 2, 2026.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31, 2026, the Company introduced a transformation initiative to increase operational efficiencies and allow for the ultimate automation of certain functions (“2026 Transformation Initiative”). The Company eliminated the positions of approximately 10.0% of its workforce and transitioned the positions of an additional portion of its workforce to an outsourced service provider. The 2026 Transformation Initiative is expected to be completed in the third quarter of 2026. For the three and six months ended July 2, 2026, the Company recognized severance expense and other incremental personnel costs of $1.7 million and $2.7 million, respectively, related to the eliminated positions and will recognize additional severance and transition costs in the third quarter of 2026 related to transitioning employees to the outsourced service provider. In conjunction with this initiative, the Company reviewed all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vendor relationships and is in the process of terminating its relationship with certain vendors resulting in estimated termination fees of $0.5 million and $3.1 million for the three and six months ended July 2, 2026, respectively. The Company also engaged the services of third-party consultants to assist with the 2026 Transformation Initiative and recorded a charge of $0.5 million and $1.6 million in the three and six months ended July 2, 2026, respectively, related to these services.</w:t>
      </w:r>
    </w:p>
    <w:p>
      <w:pPr>
        <w:pStyle w:val="TextBody"/>
        <w:bidi w:val="0"/>
        <w:spacing w:before="120" w:after="283"/>
        <w:jc w:val="left"/>
        <w:rPr>
          <w:rFonts w:ascii="Times New Roman" w:hAnsi="Times New Roman"/>
          <w:sz w:val="20"/>
        </w:rPr>
      </w:pPr>
      <w:r>
        <w:rPr>
          <w:rFonts w:ascii="Times New Roman" w:hAnsi="Times New Roman"/>
          <w:color w:val="000000"/>
          <w:sz w:val="20"/>
        </w:rPr>
        <w:t>On November 14, 2025, NCM LLC entered into a Membership Interest Purchase Agreement (“MIPA”) with Spotlight Cinema Networks (“Spotlight”), a niche cinema advertising company, whereby the Company acquired 100.0% of Spotlight. The acquisition of Spotlight added high-scale luxury screens and exhibitors that offer unique and engaging customer experiences to the Company’s platform, unlocking new advertising and preshow entertainment inventory. Spotlight’s exhibitor partners, including Cinépolis Luxury Cinema, Landmark Theatres, Flix Brewhouse and LOOK Dine-In Cinemas, complement NCM’s national theater network and extend NCM’s reach among culturally engaged premium audiences. The addition of Spotlight’s footprint increased NCM’s national market share by more than 6.0% and expanded its theater presence by approximately 30.0% in the critical New York and Los Angeles markets. Spotlight was consolidated within the Company's financial statements as of November 15, 2025. Refer to Note 4—</w:t>
      </w:r>
      <w:r>
        <w:rPr>
          <w:rFonts w:ascii="Times New Roman" w:hAnsi="Times New Roman"/>
          <w:i/>
          <w:color w:val="000000"/>
          <w:sz w:val="20"/>
        </w:rPr>
        <w:t>Business Combinations</w:t>
      </w:r>
      <w:r>
        <w:rPr>
          <w:rFonts w:ascii="Times New Roman" w:hAnsi="Times New Roman"/>
          <w:color w:val="000000"/>
          <w:sz w:val="20"/>
        </w:rPr>
        <w:t xml:space="preserve"> for more information regarding the acquisition and consolidation of Spotlight.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April 17, 2025, the Company and AMC, entered into the Second Amended and Restated Exhibitor Services Agreement (the “2025 AMC Agreement”) and a separate termination agreement (the “AMC Termination Agreement”) by and among NCM LLC, NCM, Inc. and AMC. The 2025 AMC Agreement extends the term of the ESA by five years and more closely aligns the program distributed by NCM LLC in AMC theaters to the predominant pre-feature program show structure in the rest of NCM LLC's advertising network and adjusts the consideration paid by NCM LLC. The AMC Termination Agreement waives AMC’s rights under certain agreements entered into at the time of the IPO. The agreements were accounted for in accordance with the lease modification guidance within </w:t>
      </w:r>
      <w:r>
        <w:rPr>
          <w:rFonts w:ascii="Times New Roman" w:hAnsi="Times New Roman"/>
          <w:i/>
          <w:color w:val="000000"/>
          <w:sz w:val="20"/>
        </w:rPr>
        <w:t>ASC 842</w:t>
      </w:r>
      <w:r>
        <w:rPr>
          <w:rFonts w:ascii="Times New Roman" w:hAnsi="Times New Roman"/>
          <w:color w:val="000000"/>
          <w:sz w:val="20"/>
        </w:rPr>
        <w:t>—</w:t>
      </w:r>
      <w:r>
        <w:rPr>
          <w:rFonts w:ascii="Times New Roman" w:hAnsi="Times New Roman"/>
          <w:i/>
          <w:color w:val="000000"/>
          <w:sz w:val="20"/>
        </w:rPr>
        <w:t>Leases</w:t>
      </w:r>
      <w:r>
        <w:rPr>
          <w:rFonts w:ascii="Times New Roman" w:hAnsi="Times New Roman"/>
          <w:color w:val="000000"/>
          <w:sz w:val="20"/>
        </w:rPr>
        <w:t xml:space="preserve"> as the amended ESA contains a short-term operating lease of AMC’s screens. The agreements were considered combined as they were entered into contemporaneously by the same parties. As a result of the agreements, in the year ended January 1, 2026, NCM LLC released $24.8 million of the 'Payable under the TRA' and reversed the receivable of $10.6 million from AMC, related to unpaid integration payments and the receivable under the Common Unit Adjustment Agreement within 'Prepaid expenses and other assets' on the Company's unaudited Condensed Consolidated Balance Sheet. NCM will no longer have an obligation to make TRA payments to AMC, provide common units as a part of the Common Unit Adjustment Agreement or distribute NCM LLC's available cash to AMC and the Company received the benefits of the revised ESA, including enhancements related to the pre-feature show structure and NCM's exclusive right to advertise in AMC's theaters. The net impact of these reversals was recorded to the 'Intangible Assets, net of amortization' as AMC's forfeiture of this net payable was considered akin to a lease incentive. The reduction in the intangible asset for the ESAs and the extension of the term of the ESA will result in reduced amortization expense, as it is considered akin to lease expense, for the remainder of the contract term. Refer to Note 5—</w:t>
      </w:r>
      <w:r>
        <w:rPr>
          <w:rFonts w:ascii="Times New Roman" w:hAnsi="Times New Roman"/>
          <w:i/>
          <w:color w:val="000000"/>
          <w:sz w:val="20"/>
        </w:rPr>
        <w:t>Intangible Assets</w:t>
      </w:r>
      <w:r>
        <w:rPr>
          <w:rFonts w:ascii="Times New Roman" w:hAnsi="Times New Roman"/>
          <w:color w:val="000000"/>
          <w:sz w:val="20"/>
        </w:rPr>
        <w:t>, Note 8—</w:t>
      </w:r>
      <w:r>
        <w:rPr>
          <w:rFonts w:ascii="Times New Roman" w:hAnsi="Times New Roman"/>
          <w:i/>
          <w:color w:val="000000"/>
          <w:sz w:val="20"/>
        </w:rPr>
        <w:t>Income Taxes</w:t>
      </w:r>
      <w:r>
        <w:rPr>
          <w:rFonts w:ascii="Times New Roman" w:hAnsi="Times New Roman"/>
          <w:color w:val="000000"/>
          <w:sz w:val="20"/>
        </w:rPr>
        <w:t>, and Note 9—</w:t>
      </w:r>
      <w:r>
        <w:rPr>
          <w:rFonts w:ascii="Times New Roman" w:hAnsi="Times New Roman"/>
          <w:i/>
          <w:color w:val="000000"/>
          <w:sz w:val="20"/>
        </w:rPr>
        <w:t xml:space="preserve">Commitments and Contingencies </w:t>
      </w:r>
      <w:r>
        <w:rPr>
          <w:rFonts w:ascii="Times New Roman" w:hAnsi="Times New Roman"/>
          <w:color w:val="000000"/>
          <w:sz w:val="20"/>
        </w:rPr>
        <w:t>and the Company’s Form 8-K filed with the SEC on April 23, 2025 for additional detail surrounding these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24, 2025, NCM LLC, as borrower, entered into a Loan and Security Agreement with U.S. Bank National Association, as lender (the “2025 Credit Facility”). The agreement provides for a $45.0 million senior secured revolving credit facility that matures on January 24, 2028. In connection with entering into the 2025 Credit Facility, NCM LLC repaid in full the $10.0 million balance outstanding and terminated all commitments under its Revolving Credit Facility 2023, and in connection with this termination, paid a prepayment fee equal to 1% of the total commitment. The 2025 Credit Facility is expected to result in a meaningful reduction of the Company’s overall interest expense, extends the maturity date to 2028 and is a cash flow-based revolving loan compared to the asset-based revolving loan of the Revolving Credit Facility 2023. As of July 2, 2026, NCM LLC has an outstanding balance of $12.0 million under the 2025 Credit Facility. Borrowings under the 2025 Credit Facility may be used for, among other things, working capital and other general corporate purposes of the Company and bear interest at a floating rate equal to term SOFR (subject to a floor of zero) plus an applicable margin of 2.00%, which is subject to increase by an additional 2.00% upon the occurrence of an event of default.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March 18, 2024, the Board of Directors of the Company approved a stock repurchase program under which the Company is authorized to use assets of the Company to repurchase up to $100.0 million of shares of the Company’s Common Stock, exclusive of any fees, commissions or other expenses related to such repurchases, from time to time over a period of three years. Shares may be repurchased under the program through open market purchases, block trades, or accelerated or other structured share repurchase programs. There were 0.1 million, 1.8 million, 0.3 million and 3.3 million shares repurchased on the open market during the three and six months ended July 2, 2026 and June 26, 2025, respectively. In accordance with </w:t>
      </w:r>
      <w:r>
        <w:rPr>
          <w:rFonts w:ascii="Times New Roman" w:hAnsi="Times New Roman"/>
          <w:i/>
          <w:color w:val="000000"/>
          <w:sz w:val="20"/>
        </w:rPr>
        <w:t>Accounting Standards Codification</w:t>
      </w:r>
      <w:r>
        <w:rPr>
          <w:rFonts w:ascii="Times New Roman" w:hAnsi="Times New Roman"/>
          <w:color w:val="000000"/>
          <w:sz w:val="20"/>
        </w:rPr>
        <w:t xml:space="preserve"> (“</w:t>
      </w:r>
      <w:r>
        <w:rPr>
          <w:rFonts w:ascii="Times New Roman" w:hAnsi="Times New Roman"/>
          <w:i/>
          <w:color w:val="000000"/>
          <w:sz w:val="20"/>
        </w:rPr>
        <w:t>ASC</w:t>
      </w:r>
      <w:r>
        <w:rPr>
          <w:rFonts w:ascii="Times New Roman" w:hAnsi="Times New Roman"/>
          <w:color w:val="000000"/>
          <w:sz w:val="20"/>
        </w:rPr>
        <w:t xml:space="preserve">”) </w:t>
      </w:r>
      <w:r>
        <w:rPr>
          <w:rFonts w:ascii="Times New Roman" w:hAnsi="Times New Roman"/>
          <w:i/>
          <w:color w:val="000000"/>
          <w:sz w:val="20"/>
        </w:rPr>
        <w:t>505 —Equity</w:t>
      </w:r>
      <w:r>
        <w:rPr>
          <w:rFonts w:ascii="Times New Roman" w:hAnsi="Times New Roman"/>
          <w:color w:val="000000"/>
          <w:sz w:val="20"/>
        </w:rPr>
        <w:t>, these shares were retired and any excess over par value paid was recorded as a reduction to retained earnings of $0.2 million, $9.9 million, $0.8 million and $18.8 million for the three and six months ended July 2, 2026 and June 26, 2025, respectively. As of July 2, 2026, 6.9 million shares have been repurchased on the open market since the program's inception.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Summary Historical and Operating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You should read this information with the other information contained in this document, and our unaudited historical financial statements and the notes thereto included elsewhere in this document.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Our Operating Data</w:t>
      </w:r>
      <w:r>
        <w:rPr>
          <w:rFonts w:ascii="Times New Roman" w:hAnsi="Times New Roman"/>
          <w:color w:val="000000"/>
          <w:sz w:val="20"/>
        </w:rPr>
        <w:t>——The following table presents operating data and Adjusted OIBDA (dollars in millions, except share, margin and screen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54"/>
        <w:gridCol w:w="146"/>
        <w:gridCol w:w="211"/>
        <w:gridCol w:w="676"/>
        <w:gridCol w:w="271"/>
        <w:gridCol w:w="146"/>
        <w:gridCol w:w="211"/>
        <w:gridCol w:w="676"/>
        <w:gridCol w:w="271"/>
        <w:gridCol w:w="146"/>
        <w:gridCol w:w="216"/>
        <w:gridCol w:w="585"/>
        <w:gridCol w:w="287"/>
        <w:gridCol w:w="146"/>
        <w:gridCol w:w="216"/>
        <w:gridCol w:w="585"/>
        <w:gridCol w:w="287"/>
        <w:gridCol w:w="146"/>
        <w:gridCol w:w="180"/>
        <w:gridCol w:w="707"/>
        <w:gridCol w:w="287"/>
        <w:gridCol w:w="146"/>
        <w:gridCol w:w="163"/>
        <w:gridCol w:w="708"/>
        <w:gridCol w:w="738"/>
      </w:tblGrid>
      <w:tr>
        <w:trPr/>
        <w:tc>
          <w:tcPr>
            <w:tcW w:w="20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rPr/>
        <w:tc>
          <w:tcPr>
            <w:tcW w:w="20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YTD 2026</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YTD 2025</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2025 to</w:t>
              <w:br/>
              <w:t>Q2 2026</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to</w:t>
              <w:br/>
              <w:t>2026</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Network operating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7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Theater exhibition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7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and marketing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7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Administrative and 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7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7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73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05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Non-operating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7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NCM,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2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2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28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28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NCM, Inc. basic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NCM, Inc. diluted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OIBDA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OIBDA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theater attendance (in millions) </w:t>
            </w:r>
            <w:r>
              <w:rPr>
                <w:rFonts w:ascii="Times New Roman" w:hAnsi="Times New Roman"/>
                <w:i/>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screens </w:t>
            </w:r>
            <w:r>
              <w:rPr>
                <w:rFonts w:ascii="Times New Roman" w:hAnsi="Times New Roman"/>
                <w:i/>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0" w:after="60"/>
        <w:jc w:val="left"/>
        <w:rPr>
          <w:rFonts w:ascii="Times New Roman" w:hAnsi="Times New Roman"/>
          <w:i/>
          <w:color w:val="000000"/>
          <w:sz w:val="20"/>
        </w:rPr>
      </w:pPr>
      <w:r>
        <w:rPr>
          <w:rFonts w:ascii="Times New Roman" w:hAnsi="Times New Roman"/>
          <w:i/>
          <w:color w:val="000000"/>
          <w:sz w:val="20"/>
        </w:rPr>
        <w:t>(1)</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Represents the total attendance within NCM LLC's advertising network, including Spotlight subsequent to November 15, 2025.</w:t>
      </w:r>
    </w:p>
    <w:p>
      <w:pPr>
        <w:pStyle w:val="TextBody"/>
        <w:bidi w:val="0"/>
        <w:spacing w:before="0" w:after="60"/>
        <w:jc w:val="left"/>
        <w:rPr>
          <w:rFonts w:ascii="Times New Roman" w:hAnsi="Times New Roman"/>
          <w:i/>
          <w:color w:val="000000"/>
          <w:sz w:val="20"/>
        </w:rPr>
      </w:pPr>
      <w:r>
        <w:rPr>
          <w:rFonts w:ascii="Times New Roman" w:hAnsi="Times New Roman"/>
          <w:i/>
          <w:color w:val="000000"/>
          <w:sz w:val="20"/>
        </w:rPr>
        <w:t>(2)</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Represents the total screens within NCM LLC's advertising network, including Spotlight subsequent to November 15, 2025.</w:t>
      </w:r>
    </w:p>
    <w:p>
      <w:pPr>
        <w:pStyle w:val="TextBody"/>
        <w:bidi w:val="0"/>
        <w:spacing w:before="60" w:after="120"/>
        <w:jc w:val="left"/>
        <w:rPr>
          <w:rFonts w:ascii="Times New Roman" w:hAnsi="Times New Roman"/>
          <w:sz w:val="20"/>
        </w:rPr>
      </w:pPr>
      <w:r>
        <w:rPr>
          <w:rFonts w:ascii="Times New Roman" w:hAnsi="Times New Roman"/>
          <w:b/>
          <w:color w:val="000000"/>
          <w:sz w:val="20"/>
        </w:rPr>
        <w:t>Non-GAAP Financial Measures</w:t>
      </w:r>
      <w:r>
        <w:rPr>
          <w:rFonts w:ascii="Times New Roman" w:hAnsi="Times New Roman"/>
          <w:color w:val="000000"/>
          <w:sz w:val="20"/>
        </w:rPr>
        <w:t xml:space="preserve"> </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Adjusted OIBDA and Adjusted OIBDA margin are financial measures that are not calculated in accordance with GAAP in the United States. Adjusted OIBDA represents operating income before depreciation and amortization expense adjusted to also exclude non-cash share-based compensation costs, workforce and system transformation costs, satellite transition costs, Spotlight acquisition and integration costs and advisor fees related to involvement in Regal’s Chapter 11 case (the “Cineworld Proceeding”) and NCM LLC's Chapter 11 Case (the “Chapter 11 Case”). Adjusted OIBDA margin is calculated by dividing Adjusted OIBDA by total revenue. Our management uses these non-GAAP financial measures to evaluate operating performance, to forecast future results and as a basis for compensation. The Company believes these are important supplemental measures of operating performance because they eliminate items that have less bearing on its operating performance and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improves their ability to understand the Company’s operating performance and makes it easier to compare the Company’s results with other companies that may have different depreciation and amortization policies, non-cash share-based compensation programs, workforce and system transformation costs, satellite transition costs, Spotlight acquisition and integration costs and advisor fees related to involvement in the Cineworld Proceeding and Chapter 11 Case, interest rates,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share-based payment costs, workforce and system transformation costs, satellite transition costs, Spotlight acquisition and integration costs and advisor fees related to involvement in the Cineworld Proceeding and Chapter 11 Case. Adjusted OIBDA should not be regarded as an alternative to operating income, net income or as indicators of operating performance, nor should it be considered in isolation of, or as substitutes for financial measures prepared in accordance with GAAP. The Company believes that operating income is the most directly comparable GAAP financial measure to Adjusted OIBDA, and operating margin is the most directly comparable GAAP financial measure to Adjusted OIBDA margin. Because not all companies use identical calculations, these non-GAAP presentations may not be comparable to other similarly titled measures of other companies or calculations in the Company’s debt agreement.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reconciles operating loss and operating margin to Adjusted OIBDA and Adjusted OIBDA margin for the periods presented (dollars in millions):</w:t>
      </w:r>
    </w:p>
    <w:tbl>
      <w:tblPr>
        <w:tblW w:w="9823" w:type="dxa"/>
        <w:jc w:val="left"/>
        <w:tblInd w:w="0" w:type="dxa"/>
        <w:tblLayout w:type="fixed"/>
        <w:tblCellMar>
          <w:top w:w="28" w:type="dxa"/>
          <w:left w:w="28" w:type="dxa"/>
          <w:bottom w:w="28" w:type="dxa"/>
          <w:right w:w="28" w:type="dxa"/>
        </w:tblCellMar>
      </w:tblPr>
      <w:tblGrid>
        <w:gridCol w:w="4486"/>
        <w:gridCol w:w="146"/>
        <w:gridCol w:w="211"/>
        <w:gridCol w:w="526"/>
        <w:gridCol w:w="331"/>
        <w:gridCol w:w="146"/>
        <w:gridCol w:w="211"/>
        <w:gridCol w:w="526"/>
        <w:gridCol w:w="331"/>
        <w:gridCol w:w="146"/>
        <w:gridCol w:w="245"/>
        <w:gridCol w:w="610"/>
        <w:gridCol w:w="331"/>
        <w:gridCol w:w="146"/>
        <w:gridCol w:w="245"/>
        <w:gridCol w:w="610"/>
        <w:gridCol w:w="576"/>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YTD 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YTD 2025</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Share-based compensation costs </w:t>
            </w:r>
            <w:r>
              <w:rPr>
                <w:rFonts w:ascii="Times New Roman" w:hAnsi="Times New Roman"/>
                <w:i/>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Workforce and system transformation costs </w:t>
            </w:r>
            <w:r>
              <w:rPr>
                <w:rFonts w:ascii="Times New Roman" w:hAnsi="Times New Roman"/>
                <w:i/>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Satellite transition costs </w:t>
            </w:r>
            <w:r>
              <w:rPr>
                <w:rFonts w:ascii="Times New Roman" w:hAnsi="Times New Roman"/>
                <w:i/>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Spotlight acquisition and integration costs </w:t>
            </w:r>
            <w:r>
              <w:rPr>
                <w:rFonts w:ascii="Times New Roman" w:hAnsi="Times New Roman"/>
                <w:i/>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Advisor fees related to the Cineworld Proceeding and </w:t>
              <w:br/>
              <w:t xml:space="preserve">   Chapter 11 Case </w:t>
            </w:r>
            <w:r>
              <w:rPr>
                <w:rFonts w:ascii="Times New Roman" w:hAnsi="Times New Roman"/>
                <w:i/>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Adjusted OIBDA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Adjusted OIBDA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left"/>
        <w:rPr/>
      </w:pPr>
      <w:r>
        <w:rPr/>
        <w:t> </w:t>
      </w:r>
    </w:p>
    <w:p>
      <w:pPr>
        <w:pStyle w:val="TextBody"/>
        <w:bidi w:val="0"/>
        <w:spacing w:before="0" w:after="60"/>
        <w:jc w:val="left"/>
        <w:rPr>
          <w:rFonts w:ascii="Times New Roman" w:hAnsi="Times New Roman"/>
          <w:i/>
          <w:color w:val="000000"/>
          <w:sz w:val="20"/>
        </w:rPr>
      </w:pPr>
      <w:r>
        <w:rPr>
          <w:rFonts w:ascii="Times New Roman" w:hAnsi="Times New Roman"/>
          <w:i/>
          <w:color w:val="000000"/>
          <w:sz w:val="20"/>
        </w:rPr>
        <w:t>(1)</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Share-based compensation costs are included in 'network operating costs', 'selling and marketing costs' and 'administrative and other costs' in the Company's unaudited Condensed Consolidated Financial Statements.</w:t>
      </w:r>
    </w:p>
    <w:p>
      <w:pPr>
        <w:pStyle w:val="TextBody"/>
        <w:bidi w:val="0"/>
        <w:spacing w:before="0" w:after="60"/>
        <w:jc w:val="left"/>
        <w:rPr>
          <w:rFonts w:ascii="Times New Roman" w:hAnsi="Times New Roman"/>
          <w:i/>
          <w:color w:val="000000"/>
          <w:sz w:val="20"/>
        </w:rPr>
      </w:pPr>
      <w:r>
        <w:rPr>
          <w:rFonts w:ascii="Times New Roman" w:hAnsi="Times New Roman"/>
          <w:i/>
          <w:color w:val="000000"/>
          <w:sz w:val="20"/>
        </w:rPr>
        <w:t>(2)</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Workforce and system transformation costs represent charges incurred in conjunction with the 2026 Transformation Initiative. In 2025, these represent redundancy costs associated with changes to the Company’s workforce, as well as related office relocations, a one-time assessment of the technology surrounding the Company's programmatic offerings and an assessment of operating efficiencies.</w:t>
      </w:r>
    </w:p>
    <w:p>
      <w:pPr>
        <w:pStyle w:val="TextBody"/>
        <w:bidi w:val="0"/>
        <w:spacing w:before="0" w:after="60"/>
        <w:jc w:val="left"/>
        <w:rPr>
          <w:rFonts w:ascii="Times New Roman" w:hAnsi="Times New Roman"/>
          <w:i/>
          <w:color w:val="000000"/>
          <w:sz w:val="20"/>
        </w:rPr>
      </w:pPr>
      <w:r>
        <w:rPr>
          <w:rFonts w:ascii="Times New Roman" w:hAnsi="Times New Roman"/>
          <w:i/>
          <w:color w:val="000000"/>
          <w:sz w:val="20"/>
        </w:rPr>
        <w:t>(3)</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One-time duplicative costs incurred during the transition from satellite to broadband network delivery during 2026.</w:t>
      </w:r>
    </w:p>
    <w:p>
      <w:pPr>
        <w:pStyle w:val="TextBody"/>
        <w:bidi w:val="0"/>
        <w:spacing w:before="0" w:after="60"/>
        <w:jc w:val="left"/>
        <w:rPr>
          <w:rFonts w:ascii="Times New Roman" w:hAnsi="Times New Roman"/>
          <w:i/>
          <w:color w:val="000000"/>
          <w:sz w:val="20"/>
        </w:rPr>
      </w:pPr>
      <w:r>
        <w:rPr>
          <w:rFonts w:ascii="Times New Roman" w:hAnsi="Times New Roman"/>
          <w:i/>
          <w:color w:val="000000"/>
          <w:sz w:val="20"/>
        </w:rPr>
        <w:t>(4)</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Advisor and legal fees incurred in connection with the acquisition of Spotlight in the fourth quarter of 2025, as well as temporary transition costs incurred during the integration of Spotlight into the Company's processes during the first and second quarters of 2026.</w:t>
      </w:r>
    </w:p>
    <w:p>
      <w:pPr>
        <w:pStyle w:val="TextBody"/>
        <w:bidi w:val="0"/>
        <w:spacing w:before="0" w:after="60"/>
        <w:jc w:val="left"/>
        <w:rPr>
          <w:rFonts w:ascii="Times New Roman" w:hAnsi="Times New Roman"/>
          <w:i/>
          <w:color w:val="000000"/>
          <w:sz w:val="20"/>
        </w:rPr>
      </w:pPr>
      <w:r>
        <w:rPr>
          <w:rFonts w:ascii="Times New Roman" w:hAnsi="Times New Roman"/>
          <w:i/>
          <w:color w:val="000000"/>
          <w:sz w:val="20"/>
        </w:rPr>
        <w:t>(5)</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Advisor and legal fees and expenses incurred in connection with the Company’s involvement in the Cineworld Proceeding and Chapter 11 Case and related appeals, as well as insurance and retention related expenses.</w:t>
      </w:r>
    </w:p>
    <w:p>
      <w:pPr>
        <w:pStyle w:val="TextBody"/>
        <w:bidi w:val="0"/>
        <w:spacing w:before="6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operations data for the three months ended July 2, 2026 (second quarter of 2026) and June 26, 2025 (second quarter of 2025) were derived from the unaudited Condensed Consolidated Financial Statements and accounting records of NCM, Inc. and should be read in conjunction with the accompanying notes.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Second Quarter of 2026 and Second Quarter of 2025.</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Revenue. </w:t>
      </w:r>
      <w:r>
        <w:rPr>
          <w:rFonts w:ascii="Times New Roman" w:hAnsi="Times New Roman"/>
          <w:color w:val="000000"/>
          <w:sz w:val="20"/>
        </w:rPr>
        <w:t>Total revenue increased $6.6 million, or 12.7%, from $51.8 million for the second quarter of 2025 to $58.4 million for the second quarter of 2026. The following is a summary of revenue by category (in millions):</w:t>
      </w:r>
    </w:p>
    <w:p>
      <w:pPr>
        <w:pStyle w:val="TextBody"/>
        <w:bidi w:val="0"/>
        <w:jc w:val="left"/>
        <w:rPr/>
      </w:pPr>
      <w:r>
        <w:rPr/>
        <w:t> </w:t>
      </w:r>
    </w:p>
    <w:tbl>
      <w:tblPr>
        <w:tblW w:w="8744" w:type="dxa"/>
        <w:jc w:val="left"/>
        <w:tblInd w:w="0" w:type="dxa"/>
        <w:tblLayout w:type="fixed"/>
        <w:tblCellMar>
          <w:top w:w="28" w:type="dxa"/>
          <w:left w:w="28" w:type="dxa"/>
          <w:bottom w:w="28" w:type="dxa"/>
          <w:right w:w="28" w:type="dxa"/>
        </w:tblCellMar>
      </w:tblPr>
      <w:tblGrid>
        <w:gridCol w:w="3796"/>
        <w:gridCol w:w="146"/>
        <w:gridCol w:w="229"/>
        <w:gridCol w:w="506"/>
        <w:gridCol w:w="146"/>
        <w:gridCol w:w="146"/>
        <w:gridCol w:w="229"/>
        <w:gridCol w:w="506"/>
        <w:gridCol w:w="146"/>
        <w:gridCol w:w="146"/>
        <w:gridCol w:w="309"/>
        <w:gridCol w:w="621"/>
        <w:gridCol w:w="166"/>
        <w:gridCol w:w="146"/>
        <w:gridCol w:w="221"/>
        <w:gridCol w:w="709"/>
        <w:gridCol w:w="576"/>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2025 to</w:t>
              <w:br/>
              <w:t>Q2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2025 to</w:t>
              <w:br/>
              <w:t>Q2 2026</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National advertising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Local and regional advertising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ESA Party advertising revenue from beverage</w:t>
              <w:br/>
              <w:t>   concessionaire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shows data on theater attendance and revenue per attendee for the second quarter of 2026 and 2025: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386" w:type="dxa"/>
        <w:jc w:val="left"/>
        <w:tblInd w:w="0" w:type="dxa"/>
        <w:tblLayout w:type="fixed"/>
        <w:tblCellMar>
          <w:top w:w="28" w:type="dxa"/>
          <w:left w:w="28" w:type="dxa"/>
          <w:bottom w:w="28" w:type="dxa"/>
          <w:right w:w="28" w:type="dxa"/>
        </w:tblCellMar>
      </w:tblPr>
      <w:tblGrid>
        <w:gridCol w:w="4786"/>
        <w:gridCol w:w="146"/>
        <w:gridCol w:w="211"/>
        <w:gridCol w:w="571"/>
        <w:gridCol w:w="146"/>
        <w:gridCol w:w="146"/>
        <w:gridCol w:w="211"/>
        <w:gridCol w:w="571"/>
        <w:gridCol w:w="146"/>
        <w:gridCol w:w="146"/>
        <w:gridCol w:w="221"/>
        <w:gridCol w:w="709"/>
        <w:gridCol w:w="376"/>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2025 to</w:t>
              <w:br/>
              <w:t>Q2 2026</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National advertising revenue per attendee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Local and regional advertising revenue per attendee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advertising revenue (excluding ESA Party beverage</w:t>
              <w:br/>
              <w:t>   revenue) per attendee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 per attendee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theater attendance (in millions) </w:t>
            </w:r>
            <w:r>
              <w:rPr>
                <w:rFonts w:ascii="Times New Roman" w:hAnsi="Times New Roman"/>
                <w:i/>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________________________________________________________</w:t>
      </w:r>
    </w:p>
    <w:p>
      <w:pPr>
        <w:pStyle w:val="TextBody"/>
        <w:bidi w:val="0"/>
        <w:spacing w:before="120" w:after="283"/>
        <w:jc w:val="left"/>
        <w:rPr>
          <w:rFonts w:ascii="Times New Roman" w:hAnsi="Times New Roman"/>
          <w:sz w:val="20"/>
        </w:rPr>
      </w:pPr>
      <w:r>
        <w:rPr>
          <w:rFonts w:ascii="Times New Roman" w:hAnsi="Times New Roman"/>
          <w:i/>
          <w:color w:val="000000"/>
          <w:sz w:val="20"/>
        </w:rPr>
        <w:t>(1)</w:t>
      </w:r>
      <w:r>
        <w:rPr>
          <w:rFonts w:ascii="Times New Roman" w:hAnsi="Times New Roman"/>
          <w:color w:val="000000"/>
          <w:sz w:val="20"/>
        </w:rPr>
        <w:t xml:space="preserve"> Represents the total attendance within NCM LLC’s advertising network, including Spotlight subsequent to November 15, 2025.</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National advertising revenue.</w:t>
      </w:r>
      <w:r>
        <w:rPr>
          <w:rFonts w:ascii="Times New Roman" w:hAnsi="Times New Roman"/>
          <w:color w:val="000000"/>
          <w:sz w:val="20"/>
        </w:rPr>
        <w:t xml:space="preserve"> National advertising revenue increased by $3.7 million, or 9.0%, from $41.2 million for the second quarter of 2025 to $44.9 million for the second quarter of 2026. The increase in national advertising revenue was primarily due to a 19.3% increase in network attendance and an 11.2% increase in CPMs, partially offset by a 7.2% decrease in national advertising utilization, as well as decreased revenue associated with the Courtesy segment of The </w:t>
      </w:r>
      <w:r>
        <w:rPr>
          <w:rFonts w:ascii="Times New Roman" w:hAnsi="Times New Roman"/>
          <w:i/>
          <w:color w:val="000000"/>
          <w:sz w:val="20"/>
        </w:rPr>
        <w:t xml:space="preserve">Noovie® </w:t>
      </w:r>
      <w:r>
        <w:rPr>
          <w:rFonts w:ascii="Times New Roman" w:hAnsi="Times New Roman"/>
          <w:color w:val="000000"/>
          <w:sz w:val="20"/>
        </w:rPr>
        <w:t>Show in the second quarter of 2026, as compared to the second quarter of 2025.</w:t>
      </w:r>
      <w:r>
        <w:rPr>
          <w:rFonts w:ascii="Times New Roman" w:hAnsi="Times New Roman"/>
          <w:color w:val="FF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Local and regional advertising revenue.</w:t>
      </w:r>
      <w:r>
        <w:rPr>
          <w:rFonts w:ascii="Times New Roman" w:hAnsi="Times New Roman"/>
          <w:color w:val="000000"/>
          <w:sz w:val="20"/>
        </w:rPr>
        <w:t xml:space="preserve"> Local and regional advertising revenue increased by $3.1 million, or 48.4%, from $6.4 million for the second quarter of 2025 to $9.5 million for the second quarter of 2026. The increase in local and regional advertising revenue was primarily due to the sale of a higher percentage of premium inventory at higher CPMs, as well as an increase in</w:t>
      </w:r>
      <w:r>
        <w:rPr>
          <w:rFonts w:ascii="Times New Roman" w:hAnsi="Times New Roman"/>
          <w:color w:val="FF0000"/>
          <w:sz w:val="20"/>
        </w:rPr>
        <w:t xml:space="preserve"> </w:t>
      </w:r>
      <w:r>
        <w:rPr>
          <w:rFonts w:ascii="Times New Roman" w:hAnsi="Times New Roman"/>
          <w:color w:val="000000"/>
          <w:sz w:val="20"/>
        </w:rPr>
        <w:t>activity within the retail and apparel, gaming and entertainment categories for the second quarter of 2026, as compared to the second quarter of 2025. These increases were partially offset by a decrease in activity within the government category in the second quarter of 2026, as compared to the second quarter of 2025.</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ESA Party beverage revenue.</w:t>
      </w:r>
      <w:r>
        <w:rPr>
          <w:rFonts w:ascii="Times New Roman" w:hAnsi="Times New Roman"/>
          <w:color w:val="000000"/>
          <w:sz w:val="20"/>
        </w:rPr>
        <w:t xml:space="preserve"> ESA Party beverage revenue decreased by $0.2 million, or 4.8%, from $4.2 million for the second quarter of 2025 to $4.0 million for the second quarter of 2026. The decrease in ESA Party beverage revenue was primarily due to a decrease in the length of the on-screen advertising purchased by an ESA party in accordance with its underlying beverage concessionaire agreement in the second quarter of 2026, as compared to the second quarter of 2025. This decrease was offset by a 12.6% increase in ESA Party attendance in the second quarter of 2026, as compared to the second quarter of 2025.</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Operating expenses. </w:t>
      </w:r>
      <w:r>
        <w:rPr>
          <w:rFonts w:ascii="Times New Roman" w:hAnsi="Times New Roman"/>
          <w:color w:val="000000"/>
          <w:sz w:val="20"/>
        </w:rPr>
        <w:t>Total operating expenses increased $7.4 million, or 11.6%, from $63.8 million for the second quarter of 2025 to $71.2 million for the second quarter of 2026. The following table shows the changes in operating expense for the second quarter of 2026 and the second quarter of 2025 (in millions):</w:t>
      </w:r>
    </w:p>
    <w:p>
      <w:pPr>
        <w:pStyle w:val="TextBody"/>
        <w:bidi w:val="0"/>
        <w:jc w:val="left"/>
        <w:rPr/>
      </w:pPr>
      <w:r>
        <w:rPr/>
        <w:t> </w:t>
      </w:r>
    </w:p>
    <w:tbl>
      <w:tblPr>
        <w:tblW w:w="7544" w:type="dxa"/>
        <w:jc w:val="left"/>
        <w:tblInd w:w="0" w:type="dxa"/>
        <w:tblLayout w:type="fixed"/>
        <w:tblCellMar>
          <w:top w:w="28" w:type="dxa"/>
          <w:left w:w="28" w:type="dxa"/>
          <w:bottom w:w="28" w:type="dxa"/>
          <w:right w:w="28" w:type="dxa"/>
        </w:tblCellMar>
      </w:tblPr>
      <w:tblGrid>
        <w:gridCol w:w="2596"/>
        <w:gridCol w:w="146"/>
        <w:gridCol w:w="229"/>
        <w:gridCol w:w="506"/>
        <w:gridCol w:w="146"/>
        <w:gridCol w:w="146"/>
        <w:gridCol w:w="229"/>
        <w:gridCol w:w="506"/>
        <w:gridCol w:w="146"/>
        <w:gridCol w:w="146"/>
        <w:gridCol w:w="309"/>
        <w:gridCol w:w="621"/>
        <w:gridCol w:w="166"/>
        <w:gridCol w:w="146"/>
        <w:gridCol w:w="221"/>
        <w:gridCol w:w="709"/>
        <w:gridCol w:w="576"/>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2025 to</w:t>
              <w:br/>
              <w:t>Q2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2025 to</w:t>
              <w:br/>
              <w:t>Q2 2026</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Network operating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Theater exhibition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Administrative and 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Network operating costs.</w:t>
      </w:r>
      <w:r>
        <w:rPr>
          <w:rFonts w:ascii="Times New Roman" w:hAnsi="Times New Roman"/>
          <w:color w:val="000000"/>
          <w:sz w:val="20"/>
        </w:rPr>
        <w:t xml:space="preserve"> Network operating costs increased $0.5 million, or 15.6%, from $3.2 million for the second quarter of 2025 to $3.7 million for the second quarter of 2026. The increase was primarily related to a $0.3 million increase in severance, transition and retention related compensation incurred in conjunction with the 2026 Transformation Initiative and a $0.2 million increase in medical costs driven by higher claim activity due in part to transitioning employees to an outsourced service provider in the second quarter of 2026, as compared to the second quarter of 2025.</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Theater exhibition fees.</w:t>
      </w:r>
      <w:r>
        <w:rPr>
          <w:rFonts w:ascii="Times New Roman" w:hAnsi="Times New Roman"/>
          <w:color w:val="000000"/>
          <w:sz w:val="20"/>
        </w:rPr>
        <w:t xml:space="preserve"> Theater exhibition fees increased by $6.7 million, or 21.7%, from $30.9 million for the second quarter of 2025 to $37.6 million for the second quarter of 2026. The increase was primarily related to a $3.8 million increase due to the 19.3% increase in network attendance partially driven by the acquisition of Spotlight, a $1.8 million increase driven by contractual rate increases within and renegotiations of our exhibitor agreements and a $0.9 million increase corresponding to the increase in platinum revenue in the second quarter of 2026, as compared to the second quarter of 2025.</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Selling and marketing costs.</w:t>
      </w:r>
      <w:r>
        <w:rPr>
          <w:rFonts w:ascii="Times New Roman" w:hAnsi="Times New Roman"/>
          <w:color w:val="000000"/>
          <w:sz w:val="20"/>
        </w:rPr>
        <w:t xml:space="preserve"> Selling and marketing costs decreased by $0.2 million, or 2.0%, from $9.8 million for the second quarter of 2025 to $9.6 for the second quarter of 2026. This was primarily due to a $1.3 million decrease in selling related expenses due to the 2026 Transformation Initiative, primarily caused by the cancellation of certain contracts as well as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decreased personnel related costs. These decreases were partially offset by a $0.3 million increase in commission expense driven by the increase in revenue in the second quarter of 2026, as compared to the second quarter of 2025, a $0.3 million increase in medical costs driven by higher claim activity due in part to transitioning employees to an outsourced service provider, a $0.3 million increase in other transition costs incurred in conjunction with the 2026 Transformation Initiative and $0.2 million increase in bad debt expense in the second quarter of 2026, as compared to the second quarter of 2025.</w:t>
      </w:r>
      <w:r>
        <w:rPr>
          <w:rFonts w:ascii="Times New Roman" w:hAnsi="Times New Roman"/>
          <w:color w:val="FF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Administrative and other costs.</w:t>
      </w:r>
      <w:r>
        <w:rPr>
          <w:rFonts w:ascii="Times New Roman" w:hAnsi="Times New Roman"/>
          <w:color w:val="000000"/>
          <w:sz w:val="20"/>
        </w:rPr>
        <w:t xml:space="preserve"> Administrative and other costs increased $0.2 million, or 1.9%, from $10.6 million for the second quarter of 2025 to $10.8 million for the second quarter of 2026. The increase was primarily due to $1.2 million in transition related administrative expenses and severance, transition and retention expenses incurred in conjunction with the 2026 Transformation Initiative and a $0.4 increase in medical costs driven by higher claim activity due in part to transitioning employees to an outsourced service provider. These increases were partially offset by a $0.5 million decrease in personnel related costs due to the 2026 Transformation Initiative, a $0.4 million decrease in stock-based compensation due to the completion of the amortization of the expense associated with the 2024 management equity incentive plan in 2025, a $0.2 million decrease in cloud computing expenses and a $0.1 million decrease in lease expense in the second quarter of 2026, as compared to the second quarter of 2025.</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Depreciation expense.</w:t>
      </w:r>
      <w:r>
        <w:rPr>
          <w:rFonts w:ascii="Times New Roman" w:hAnsi="Times New Roman"/>
          <w:color w:val="000000"/>
          <w:sz w:val="20"/>
        </w:rPr>
        <w:t xml:space="preserve"> Depreciation expense increased $0.4 million, or 36.4%, from $1.1 million for the second quarter of 2025, to $1.5 million for the second quarter of 2026. The increase was primarily due to assets placed in service in late 2025 related to the completion of certain leasehold improvements. </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Amortization expense.</w:t>
      </w:r>
      <w:r>
        <w:rPr>
          <w:rFonts w:ascii="Times New Roman" w:hAnsi="Times New Roman"/>
          <w:color w:val="000000"/>
          <w:sz w:val="20"/>
        </w:rPr>
        <w:t xml:space="preserve"> Amortization expense decreased $0.2 million, or 2.4%, from $8.2 million for the second quarter of 2025 to $8.0 million for the second quarter of 2026. The decrease was due to the reduction in and extension of the useful life of the intangible asset related to the ESA Parties following the 2025 AMC Agreement in the second quarter of 2025 as further discussed in Note 5—</w:t>
      </w:r>
      <w:r>
        <w:rPr>
          <w:rFonts w:ascii="Times New Roman" w:hAnsi="Times New Roman"/>
          <w:i/>
          <w:color w:val="000000"/>
          <w:sz w:val="20"/>
        </w:rPr>
        <w:t>Intangible Assets</w:t>
      </w:r>
      <w:r>
        <w:rPr>
          <w:rFonts w:ascii="Times New Roman" w:hAnsi="Times New Roman"/>
          <w:color w:val="000000"/>
          <w:sz w:val="20"/>
        </w:rPr>
        <w:t xml:space="preserve"> and Note 8—</w:t>
      </w:r>
      <w:r>
        <w:rPr>
          <w:rFonts w:ascii="Times New Roman" w:hAnsi="Times New Roman"/>
          <w:i/>
          <w:color w:val="000000"/>
          <w:sz w:val="20"/>
        </w:rPr>
        <w:t>Income Taxes</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Non-operating income. </w:t>
      </w:r>
      <w:r>
        <w:rPr>
          <w:rFonts w:ascii="Times New Roman" w:hAnsi="Times New Roman"/>
          <w:color w:val="000000"/>
          <w:sz w:val="20"/>
        </w:rPr>
        <w:t xml:space="preserve">Total non-operating income increased $1.6 million, or 123.1%, from $1.3 million for the second quarter of 2025 to $2.9 million for the second quarter of 2026. The following table shows the changes in non-operating income for the second quarter of 2026 and the second quarter of 2025 (in millions): </w:t>
      </w:r>
    </w:p>
    <w:p>
      <w:pPr>
        <w:pStyle w:val="TextBody"/>
        <w:bidi w:val="0"/>
        <w:jc w:val="left"/>
        <w:rPr/>
      </w:pPr>
      <w:r>
        <w:rPr/>
        <w:t> </w:t>
      </w:r>
    </w:p>
    <w:tbl>
      <w:tblPr>
        <w:tblW w:w="9369" w:type="dxa"/>
        <w:jc w:val="left"/>
        <w:tblInd w:w="0" w:type="dxa"/>
        <w:tblLayout w:type="fixed"/>
        <w:tblCellMar>
          <w:top w:w="28" w:type="dxa"/>
          <w:left w:w="28" w:type="dxa"/>
          <w:bottom w:w="28" w:type="dxa"/>
          <w:right w:w="28" w:type="dxa"/>
        </w:tblCellMar>
      </w:tblPr>
      <w:tblGrid>
        <w:gridCol w:w="4441"/>
        <w:gridCol w:w="146"/>
        <w:gridCol w:w="245"/>
        <w:gridCol w:w="490"/>
        <w:gridCol w:w="166"/>
        <w:gridCol w:w="146"/>
        <w:gridCol w:w="245"/>
        <w:gridCol w:w="490"/>
        <w:gridCol w:w="166"/>
        <w:gridCol w:w="146"/>
        <w:gridCol w:w="309"/>
        <w:gridCol w:w="621"/>
        <w:gridCol w:w="166"/>
        <w:gridCol w:w="146"/>
        <w:gridCol w:w="189"/>
        <w:gridCol w:w="741"/>
        <w:gridCol w:w="516"/>
      </w:tblGrid>
      <w:tr>
        <w:trPr/>
        <w:tc>
          <w:tcPr>
            <w:tcW w:w="4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2025 to</w:t>
              <w:br/>
              <w:t>Q2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2025 to</w:t>
              <w:br/>
              <w:t>Q2 2026</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on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Gain on the re-measurement of the payable under the </w:t>
              <w:br/>
              <w:t>   tax receivable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non-operating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non-operating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increase in non-operating income was primarily due to a $1.5 million increase in gain on the re-measurement of the payable under the tax receivable agreement largely due to the subsequent decrease in the forecast during the second quarter of 2026, as compared to the original forecast, as well as a $0.3 million increase in other non-operating income related to the Company's equity method investments in the second quarter of 2026, compared to the second quarter of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Six months ended July 2, 2026 and June 26, 2025</w:t>
      </w:r>
    </w:p>
    <w:p>
      <w:pPr>
        <w:pStyle w:val="TextBody"/>
        <w:bidi w:val="0"/>
        <w:spacing w:before="120" w:after="120"/>
        <w:jc w:val="left"/>
        <w:rPr>
          <w:rFonts w:ascii="Times New Roman" w:hAnsi="Times New Roman"/>
          <w:sz w:val="20"/>
        </w:rPr>
      </w:pPr>
      <w:r>
        <w:rPr>
          <w:rFonts w:ascii="Times New Roman" w:hAnsi="Times New Roman"/>
          <w:i/>
          <w:color w:val="000000"/>
          <w:sz w:val="20"/>
        </w:rPr>
        <w:t xml:space="preserve">Revenue. </w:t>
      </w:r>
      <w:r>
        <w:rPr>
          <w:rFonts w:ascii="Times New Roman" w:hAnsi="Times New Roman"/>
          <w:color w:val="000000"/>
          <w:sz w:val="20"/>
        </w:rPr>
        <w:t>Total revenue increased $5.8 million, or 6.7%, from $86.6 million for the six months ended June 26, 2025 to $92.4 million for the six months ended July 2, 2026. The following is a summary of revenue by category (in millions):</w:t>
      </w:r>
    </w:p>
    <w:tbl>
      <w:tblPr>
        <w:tblW w:w="8744" w:type="dxa"/>
        <w:jc w:val="left"/>
        <w:tblInd w:w="0" w:type="dxa"/>
        <w:tblLayout w:type="fixed"/>
        <w:tblCellMar>
          <w:top w:w="28" w:type="dxa"/>
          <w:left w:w="28" w:type="dxa"/>
          <w:bottom w:w="28" w:type="dxa"/>
          <w:right w:w="28" w:type="dxa"/>
        </w:tblCellMar>
      </w:tblPr>
      <w:tblGrid>
        <w:gridCol w:w="3796"/>
        <w:gridCol w:w="146"/>
        <w:gridCol w:w="229"/>
        <w:gridCol w:w="506"/>
        <w:gridCol w:w="146"/>
        <w:gridCol w:w="146"/>
        <w:gridCol w:w="229"/>
        <w:gridCol w:w="506"/>
        <w:gridCol w:w="146"/>
        <w:gridCol w:w="146"/>
        <w:gridCol w:w="309"/>
        <w:gridCol w:w="621"/>
        <w:gridCol w:w="166"/>
        <w:gridCol w:w="146"/>
        <w:gridCol w:w="221"/>
        <w:gridCol w:w="709"/>
        <w:gridCol w:w="576"/>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2025 to</w:t>
              <w:br/>
              <w:t>Q2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2025 to</w:t>
              <w:br/>
              <w:t>Q2 2026</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National advertising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Local and regional advertising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ESA Party advertising revenue from beverage</w:t>
              <w:br/>
              <w:t>   concessionaire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shows data on theater attendance and revenue per attendee for the six months ended July 2, 2026 and June 26, 2025: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386" w:type="dxa"/>
        <w:jc w:val="left"/>
        <w:tblInd w:w="0" w:type="dxa"/>
        <w:tblLayout w:type="fixed"/>
        <w:tblCellMar>
          <w:top w:w="28" w:type="dxa"/>
          <w:left w:w="28" w:type="dxa"/>
          <w:bottom w:w="28" w:type="dxa"/>
          <w:right w:w="28" w:type="dxa"/>
        </w:tblCellMar>
      </w:tblPr>
      <w:tblGrid>
        <w:gridCol w:w="4786"/>
        <w:gridCol w:w="146"/>
        <w:gridCol w:w="211"/>
        <w:gridCol w:w="571"/>
        <w:gridCol w:w="146"/>
        <w:gridCol w:w="146"/>
        <w:gridCol w:w="211"/>
        <w:gridCol w:w="571"/>
        <w:gridCol w:w="146"/>
        <w:gridCol w:w="146"/>
        <w:gridCol w:w="202"/>
        <w:gridCol w:w="728"/>
        <w:gridCol w:w="376"/>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2025 to</w:t>
              <w:br/>
              <w:t>Q2 2026</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National advertising revenue per attendee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Local and regional advertising revenue per attendee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advertising revenue (excluding ESA Party beverage</w:t>
              <w:br/>
              <w:t>   revenue) per attendee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 per attendee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theater attendance (in millions) </w:t>
            </w:r>
            <w:r>
              <w:rPr>
                <w:rFonts w:ascii="Times New Roman" w:hAnsi="Times New Roman"/>
                <w:i/>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________________________________________________________</w:t>
      </w:r>
    </w:p>
    <w:p>
      <w:pPr>
        <w:pStyle w:val="TextBody"/>
        <w:bidi w:val="0"/>
        <w:spacing w:before="120" w:after="283"/>
        <w:jc w:val="left"/>
        <w:rPr>
          <w:rFonts w:ascii="Times New Roman" w:hAnsi="Times New Roman"/>
          <w:sz w:val="20"/>
        </w:rPr>
      </w:pPr>
      <w:r>
        <w:rPr>
          <w:rFonts w:ascii="Times New Roman" w:hAnsi="Times New Roman"/>
          <w:i/>
          <w:color w:val="000000"/>
          <w:sz w:val="20"/>
        </w:rPr>
        <w:t>(1)</w:t>
      </w:r>
      <w:r>
        <w:rPr>
          <w:rFonts w:ascii="Times New Roman" w:hAnsi="Times New Roman"/>
          <w:color w:val="000000"/>
          <w:sz w:val="20"/>
        </w:rPr>
        <w:t xml:space="preserve"> Represents the total attendance within NCM LLC’s advertising network, including Spotlight subsequent to November 15, 2025.</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National advertising revenue.</w:t>
      </w:r>
      <w:r>
        <w:rPr>
          <w:rFonts w:ascii="Times New Roman" w:hAnsi="Times New Roman"/>
          <w:color w:val="000000"/>
          <w:sz w:val="20"/>
        </w:rPr>
        <w:t xml:space="preserve"> National advertising revenue increased by $3.7 million, or 5.4%, from $68.6 million for the six months ended June 26, 2025 to $72.3 million for the six months ended July 2, 2026. The increase in national advertising revenue was primarily due to a 3.1% increase in national advertising utilization, as well as a 17.6% increase in network attendance in the six months ended July 2, 2026, as compared to the six months ended June 26, 2025. These increases were partially offset by a 3.0% decrease in national advertising CPMs, as well as decreased revenue associated with the Courtesy segment of The </w:t>
      </w:r>
      <w:r>
        <w:rPr>
          <w:rFonts w:ascii="Times New Roman" w:hAnsi="Times New Roman"/>
          <w:i/>
          <w:color w:val="000000"/>
          <w:sz w:val="20"/>
        </w:rPr>
        <w:t xml:space="preserve">Noovie® </w:t>
      </w:r>
      <w:r>
        <w:rPr>
          <w:rFonts w:ascii="Times New Roman" w:hAnsi="Times New Roman"/>
          <w:color w:val="000000"/>
          <w:sz w:val="20"/>
        </w:rPr>
        <w:t xml:space="preserve">Show in the six months ended June 26, 2025, as compared to the six months ended July 2, 2026. </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Local and regional advertising revenue.</w:t>
      </w:r>
      <w:r>
        <w:rPr>
          <w:rFonts w:ascii="Times New Roman" w:hAnsi="Times New Roman"/>
          <w:color w:val="000000"/>
          <w:sz w:val="20"/>
        </w:rPr>
        <w:t xml:space="preserve"> Local and regional advertising revenue increased by $2.7 million, or 24.1%, from $11.2 million for the six months ended June 26, 2025 to $13.9 million for the six months ended July 2, 2026.</w:t>
      </w:r>
      <w:r>
        <w:rPr>
          <w:rFonts w:ascii="Times New Roman" w:hAnsi="Times New Roman"/>
          <w:color w:val="FF0000"/>
          <w:sz w:val="20"/>
        </w:rPr>
        <w:t xml:space="preserve"> </w:t>
      </w:r>
      <w:r>
        <w:rPr>
          <w:rFonts w:ascii="Times New Roman" w:hAnsi="Times New Roman"/>
          <w:color w:val="000000"/>
          <w:sz w:val="20"/>
        </w:rPr>
        <w:t>The increase in local and regional advertising revenue was primarily due to the sale of a higher percentage of premium inventory at higher CPMs, as well as an increase in</w:t>
      </w:r>
      <w:r>
        <w:rPr>
          <w:rFonts w:ascii="Times New Roman" w:hAnsi="Times New Roman"/>
          <w:color w:val="FF0000"/>
          <w:sz w:val="20"/>
        </w:rPr>
        <w:t xml:space="preserve"> </w:t>
      </w:r>
      <w:r>
        <w:rPr>
          <w:rFonts w:ascii="Times New Roman" w:hAnsi="Times New Roman"/>
          <w:color w:val="000000"/>
          <w:sz w:val="20"/>
        </w:rPr>
        <w:t>contract activity and size within the retail and apparel, gaming, entertainment, wireless and travel categories for the six months ended July 2, 2026, as compared to the six months ended June 26, 2025. These increases were partially offset by a decrease in contract activity and size within the government, education and healthcare categories for the six months ended July 2, 2026, as compared to the six months ended June 26, 2025.</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ESA Party beverage revenue.</w:t>
      </w:r>
      <w:r>
        <w:rPr>
          <w:rFonts w:ascii="Times New Roman" w:hAnsi="Times New Roman"/>
          <w:color w:val="000000"/>
          <w:sz w:val="20"/>
        </w:rPr>
        <w:t xml:space="preserve"> ESA Party beverage revenue decreased $0.6 million, or 8.8%, from $6.8 million for the six months ended June 26, 2025 to $6.2 million for the six months ended July 2, 2026. The decrease in ESA Party beverage revenue was primarily due to a decrease in the length of the on-screen advertising purchased by an ESA party in accordance with its underlying beverage concessionaire agreement for the six months ended July 2, 2026, as compared to the six months ended June 26, 2025. This decrease was offset by a 9.3% increase in ESA Party attendance, as well as contractual rate increases within the ESAs for the six months ended July 2, 2026, as compared to the six months ended June 26, 2025.</w:t>
      </w:r>
    </w:p>
    <w:p>
      <w:pPr>
        <w:pStyle w:val="TextBody"/>
        <w:bidi w:val="0"/>
        <w:spacing w:before="120" w:after="120"/>
        <w:jc w:val="left"/>
        <w:rPr>
          <w:rFonts w:ascii="Times New Roman" w:hAnsi="Times New Roman"/>
          <w:sz w:val="20"/>
        </w:rPr>
      </w:pPr>
      <w:r>
        <w:rPr>
          <w:rFonts w:ascii="Times New Roman" w:hAnsi="Times New Roman"/>
          <w:i/>
          <w:color w:val="000000"/>
          <w:sz w:val="20"/>
        </w:rPr>
        <w:t xml:space="preserve">Operating expenses. </w:t>
      </w:r>
      <w:r>
        <w:rPr>
          <w:rFonts w:ascii="Times New Roman" w:hAnsi="Times New Roman"/>
          <w:color w:val="000000"/>
          <w:sz w:val="20"/>
        </w:rPr>
        <w:t>Total operating expenses increased $9.6 million, or 7.8%, from $122.5 million for the six months ended June 26, 2025 to $132.1 million for the six months ended July 2, 2026. The following table shows the changes in operating expense for the six months ended July 2, 2026 and June 26, 2025 (in millions):</w:t>
      </w:r>
    </w:p>
    <w:tbl>
      <w:tblPr>
        <w:tblW w:w="7638" w:type="dxa"/>
        <w:jc w:val="left"/>
        <w:tblInd w:w="0" w:type="dxa"/>
        <w:tblLayout w:type="fixed"/>
        <w:tblCellMar>
          <w:top w:w="28" w:type="dxa"/>
          <w:left w:w="28" w:type="dxa"/>
          <w:bottom w:w="28" w:type="dxa"/>
          <w:right w:w="28" w:type="dxa"/>
        </w:tblCellMar>
      </w:tblPr>
      <w:tblGrid>
        <w:gridCol w:w="2596"/>
        <w:gridCol w:w="146"/>
        <w:gridCol w:w="211"/>
        <w:gridCol w:w="571"/>
        <w:gridCol w:w="146"/>
        <w:gridCol w:w="146"/>
        <w:gridCol w:w="211"/>
        <w:gridCol w:w="571"/>
        <w:gridCol w:w="146"/>
        <w:gridCol w:w="146"/>
        <w:gridCol w:w="309"/>
        <w:gridCol w:w="621"/>
        <w:gridCol w:w="166"/>
        <w:gridCol w:w="146"/>
        <w:gridCol w:w="221"/>
        <w:gridCol w:w="709"/>
        <w:gridCol w:w="576"/>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2025 to</w:t>
              <w:br/>
              <w:t>Q2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2025 to</w:t>
              <w:br/>
              <w:t>Q2 2026</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Network operating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Theater exhibition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Administrative and 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Network operating costs.</w:t>
      </w:r>
      <w:r>
        <w:rPr>
          <w:rFonts w:ascii="Times New Roman" w:hAnsi="Times New Roman"/>
          <w:color w:val="000000"/>
          <w:sz w:val="20"/>
        </w:rPr>
        <w:t xml:space="preserve"> Network operating costs increased $1.5 million, or 24.2%, from $6.2 million for the six months ended June 26, 2025 to $7.7 million for the six months ended July 2, 2026.</w:t>
      </w:r>
      <w:r>
        <w:rPr>
          <w:rFonts w:ascii="Times New Roman" w:hAnsi="Times New Roman"/>
          <w:color w:val="FF0000"/>
          <w:sz w:val="20"/>
        </w:rPr>
        <w:t xml:space="preserve"> </w:t>
      </w:r>
      <w:r>
        <w:rPr>
          <w:rFonts w:ascii="Times New Roman" w:hAnsi="Times New Roman"/>
          <w:color w:val="000000"/>
          <w:sz w:val="20"/>
        </w:rPr>
        <w:t>The increase was primarily related to a $0.5 million increase in severance, transition and retention related compensation incurred in conjunction with the 2026 Transformation Initiative, a $0.4 million increase in medical costs driven by higher claim activity due in part to transitioning employees to an outsourced service provider, a $0.2 million increase in annual licensing costs, a $0.1 million increase in network delivery costs due to temporary duplicative costs incurred during the transition from satellite to broadband delivery during 2026 and $0.1 million incurred during the integration of Spotlight into the Company's processes for the six months ended July 2, 2026, compared to the six months ended June 26, 2025.</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Theater exhibition fees.</w:t>
      </w:r>
      <w:r>
        <w:rPr>
          <w:rFonts w:ascii="Times New Roman" w:hAnsi="Times New Roman"/>
          <w:color w:val="000000"/>
          <w:sz w:val="20"/>
        </w:rPr>
        <w:t xml:space="preserve"> Theater exhibition fees increased $9.5 million, or 18.1%, from $52.6 million for the six months ended June 26, 2025 to $62.1 million for the six months ended July 2, 2026. The increase was primarily related to a $5.7 million increase due to the 17.6% increase in network attendance partially driven by the acquisition of Spotlight, a $2.5 million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driven by contractual rate increases within our exhibitor agreements and a $1.4 million increase corresponding to the increase in platinum revenue for the six months ended July 2, 2026, compared to the six months ended June 26, 2025.</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Selling and marketing costs.</w:t>
      </w:r>
      <w:r>
        <w:rPr>
          <w:rFonts w:ascii="Times New Roman" w:hAnsi="Times New Roman"/>
          <w:color w:val="000000"/>
          <w:sz w:val="20"/>
        </w:rPr>
        <w:t xml:space="preserve"> Selling and marketing costs decreased $1.2 million, or 5.9%, from $20.4 million for the six months ended June 26, 2025 to $19.2 million for the six months ended July 2, 2026. The decrease in selling and marketing costs was primarily due to a $1.7 million decrease in selling related expenses driven by the timing of our periodic company-wide sales meeting during the first quarter of 2025 and the cancellation of certain contracts in relation to the 2026 Transformation Initiative, a $0.9 million decrease in personnel related costs due to the 2026 Transformation Initiative and a $0.3 million decrease in variable partnership costs for the six months ended July 2, 2026 compared to the six months ended June 26, 2025.</w:t>
      </w:r>
      <w:r>
        <w:rPr>
          <w:rFonts w:ascii="Times New Roman" w:hAnsi="Times New Roman"/>
          <w:color w:val="FF0000"/>
          <w:sz w:val="20"/>
        </w:rPr>
        <w:t xml:space="preserve"> </w:t>
      </w:r>
      <w:r>
        <w:rPr>
          <w:rFonts w:ascii="Times New Roman" w:hAnsi="Times New Roman"/>
          <w:color w:val="000000"/>
          <w:sz w:val="20"/>
        </w:rPr>
        <w:t xml:space="preserve">These decreases were partially offset by a $0.6 million increase in severance expense and a $0.5 million increase in medical costs driven by higher claim activity due in part to transitioning employees to an outsourced service provider in conjunction with the 2026 Transformation Initiative, $0.2 million increase in barter expenses, a $0.2 million in transformation costs incurred in conjunction with the 2026 Transformation Initiative and a $0.2 million increase in production related expenses for the six months ended July 2, 2026, compared to the six months ended June 26, 2025. </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Administrative and other costs.</w:t>
      </w:r>
      <w:r>
        <w:rPr>
          <w:rFonts w:ascii="Times New Roman" w:hAnsi="Times New Roman"/>
          <w:color w:val="000000"/>
          <w:sz w:val="20"/>
        </w:rPr>
        <w:t xml:space="preserve"> Administrative and other costs increased $0.6 million, or 2.6%, from $23.5 million for the six months ended June 26, 2025 to $24.1 million for the six months ended July 2, 2026. The increase is primarily due to a $4.6 million increase in transition related administrative expenses and severance, transition and retention expenses incurred in conjunction with the 2026 Transformation Initiative, a $0.5 million increase in medical costs driven by higher claim activity due in part to transitioning employees to an outsourced service provider in conjunction with the 2026 Transformation Initiative and a $0.2 million increase temporary transition costs incurred during the integration of Spotlight into the Company's processes. These increases were partially offset by a $1.7 million decrease in legal and professional fees related to the Chapter 11 Case and Cineworld Proceeding, a $1.3 million decrease in stock-based compensation due to the completion of the amortization of the expense associated with the 2024 management equity incentive plan in 2025, a $0.7 million decrease in other administrative expenses partially related to disciplined cost management, a $0.6 million decrease in personnel related expenses due to the 2026 Transformation Initiative and a $0.3 million decrease in lease related expenses for the six months ended July 2, 2026, compared to the six months ended June 26, 2025.</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Depreciation expense.</w:t>
      </w:r>
      <w:r>
        <w:rPr>
          <w:rFonts w:ascii="Times New Roman" w:hAnsi="Times New Roman"/>
          <w:color w:val="000000"/>
          <w:sz w:val="20"/>
        </w:rPr>
        <w:t xml:space="preserve"> Depreciation expense increased $0.8 million, or 36.4%, from $2.2 million for the six months ended June 26, 2025 to $3.0 million for the six months ended July 2, 2026. The increase was primarily due to assets placed in service in late 2025 related to the completion of certain leasehold improvements. </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Amortization expense.</w:t>
      </w:r>
      <w:r>
        <w:rPr>
          <w:rFonts w:ascii="Times New Roman" w:hAnsi="Times New Roman"/>
          <w:color w:val="000000"/>
          <w:sz w:val="20"/>
        </w:rPr>
        <w:t xml:space="preserve"> Amortization expense decreased $1.6 million, or 9.1%, from $17.6 million for the six months ended June 26, 2025 to $16.0 million for the six months ended July 2, 2026. The decrease was due to the reduction in and extension of the useful life of the intangible asset related to the ESA Parties following the 2025 AMC Agreement in the second quarter of 2025, as further discussed in Note 5—</w:t>
      </w:r>
      <w:r>
        <w:rPr>
          <w:rFonts w:ascii="Times New Roman" w:hAnsi="Times New Roman"/>
          <w:i/>
          <w:color w:val="000000"/>
          <w:sz w:val="20"/>
        </w:rPr>
        <w:t>Intangible Assets</w:t>
      </w:r>
      <w:r>
        <w:rPr>
          <w:rFonts w:ascii="Times New Roman" w:hAnsi="Times New Roman"/>
          <w:color w:val="000000"/>
          <w:sz w:val="20"/>
        </w:rPr>
        <w:t xml:space="preserve"> and Note 8—</w:t>
      </w:r>
      <w:r>
        <w:rPr>
          <w:rFonts w:ascii="Times New Roman" w:hAnsi="Times New Roman"/>
          <w:i/>
          <w:color w:val="000000"/>
          <w:sz w:val="20"/>
        </w:rPr>
        <w:t>Income Taxes</w:t>
      </w:r>
      <w:r>
        <w:rPr>
          <w:rFonts w:ascii="Times New Roman" w:hAnsi="Times New Roman"/>
          <w:color w:val="000000"/>
          <w:sz w:val="20"/>
        </w:rPr>
        <w:t>.</w:t>
      </w:r>
    </w:p>
    <w:p>
      <w:pPr>
        <w:pStyle w:val="TextBody"/>
        <w:bidi w:val="0"/>
        <w:spacing w:before="120" w:after="120"/>
        <w:jc w:val="left"/>
        <w:rPr>
          <w:rFonts w:ascii="Times New Roman" w:hAnsi="Times New Roman"/>
          <w:sz w:val="20"/>
        </w:rPr>
      </w:pPr>
      <w:r>
        <w:rPr>
          <w:rFonts w:ascii="Times New Roman" w:hAnsi="Times New Roman"/>
          <w:i/>
          <w:color w:val="000000"/>
          <w:sz w:val="20"/>
        </w:rPr>
        <w:t xml:space="preserve">Non-operating (income) expense. </w:t>
      </w:r>
      <w:r>
        <w:rPr>
          <w:rFonts w:ascii="Times New Roman" w:hAnsi="Times New Roman"/>
          <w:color w:val="000000"/>
          <w:sz w:val="20"/>
        </w:rPr>
        <w:t xml:space="preserve">Total non-operating income increased $6.6 million, or 120.0%, from $5.5 million of expense for the six months ended June 26, 2025 to $1.1 million of income for the six months ended July 2, 2026. The following table shows the changes in non-operating (income) expense for the six months ended July 2, 2026 and June 26, 2025 (in millions): </w:t>
      </w:r>
    </w:p>
    <w:tbl>
      <w:tblPr>
        <w:tblW w:w="9849" w:type="dxa"/>
        <w:jc w:val="left"/>
        <w:tblInd w:w="0" w:type="dxa"/>
        <w:tblLayout w:type="fixed"/>
        <w:tblCellMar>
          <w:top w:w="28" w:type="dxa"/>
          <w:left w:w="28" w:type="dxa"/>
          <w:bottom w:w="28" w:type="dxa"/>
          <w:right w:w="28" w:type="dxa"/>
        </w:tblCellMar>
      </w:tblPr>
      <w:tblGrid>
        <w:gridCol w:w="4921"/>
        <w:gridCol w:w="146"/>
        <w:gridCol w:w="245"/>
        <w:gridCol w:w="490"/>
        <w:gridCol w:w="166"/>
        <w:gridCol w:w="146"/>
        <w:gridCol w:w="245"/>
        <w:gridCol w:w="490"/>
        <w:gridCol w:w="166"/>
        <w:gridCol w:w="146"/>
        <w:gridCol w:w="309"/>
        <w:gridCol w:w="621"/>
        <w:gridCol w:w="166"/>
        <w:gridCol w:w="146"/>
        <w:gridCol w:w="174"/>
        <w:gridCol w:w="756"/>
        <w:gridCol w:w="516"/>
      </w:tblGrid>
      <w:tr>
        <w:trPr/>
        <w:tc>
          <w:tcPr>
            <w:tcW w:w="4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2025 to</w:t>
              <w:br/>
              <w:t>Q2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2025 to</w:t>
              <w:br/>
              <w:t>Q2 2026</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on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(Gain) loss on the re-measurement of the payable under the </w:t>
              <w:br/>
              <w:t>   tax receivable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non-operating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non-operating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increase in non-operating (income) expense was primarily due to a $4.9 million increase in (gain) loss on the re-measurement of the payable under the tax receivable agreement largely due to the addition of one new forecasted year in 2026 to replace the completed prior year within the calculation, the subsequent decrease in the forecast during the six months ended July 2, 2026, as compared to the original forecast and the inclusion of the AMC Termination Agreement within the calculation in 2026. The increase was also due to a $1.8 million decrease in loss on debt extinguishment incurred in the six months ended July 2, 2026, compared to the six months ended June 26, 2025. The increase is also due to a $0.4 million increase in other operating income in the six months ended July 2, 2026, compared to the six months ended June 26, 2025. These increases were partially offset by a $0.3 million decrease in interest income and a $0.2 million increase in interest expense in the six months ended July 2, 2026, compared to the six months ended June 26, 2025.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Known Trends and Uncertainties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Beverage revenue</w:t>
      </w:r>
      <w:r>
        <w:rPr>
          <w:rFonts w:ascii="Times New Roman" w:hAnsi="Times New Roman"/>
          <w:color w:val="000000"/>
          <w:sz w:val="20"/>
        </w:rPr>
        <w:t xml:space="preserve">—Under the ESAs, up to 90 seconds of The </w:t>
      </w:r>
      <w:r>
        <w:rPr>
          <w:rFonts w:ascii="Times New Roman" w:hAnsi="Times New Roman"/>
          <w:i/>
          <w:color w:val="000000"/>
          <w:sz w:val="20"/>
        </w:rPr>
        <w:t xml:space="preserve">Noovie® </w:t>
      </w:r>
      <w:r>
        <w:rPr>
          <w:rFonts w:ascii="Times New Roman" w:hAnsi="Times New Roman"/>
          <w:color w:val="000000"/>
          <w:sz w:val="20"/>
        </w:rPr>
        <w:t xml:space="preserve">Show program can be sold to the ESA Parties to satisfy their on-screen advertising commitments under their beverage concessionaire agreements. In 2025, Cinemark purchased 60 seconds of on-screen advertising time and AMC purchased 30 seconds to satisfy their obligations under their beverage concessionaire agreements. In 2026, one ESA party began purchasing less on-screen advertising time for nine months of the year in accordance with its beverage concessionaire agreement. This change in the ESA party's obligation will result in lower beverage revenue in 2026, as compared to 2025. The price for the time sold will increase at a fixed rate of 2.0% each year. </w:t>
      </w:r>
    </w:p>
    <w:p>
      <w:pPr>
        <w:pStyle w:val="TextBody"/>
        <w:bidi w:val="0"/>
        <w:spacing w:before="120" w:after="283"/>
        <w:jc w:val="left"/>
        <w:rPr>
          <w:rFonts w:ascii="Times New Roman" w:hAnsi="Times New Roman"/>
          <w:sz w:val="20"/>
        </w:rPr>
      </w:pPr>
      <w:r>
        <w:rPr>
          <w:rFonts w:ascii="Times New Roman" w:hAnsi="Times New Roman"/>
          <w:b/>
          <w:i/>
          <w:color w:val="000000"/>
          <w:sz w:val="20"/>
        </w:rPr>
        <w:t>Theater exhibition fees</w:t>
      </w:r>
      <w:r>
        <w:rPr>
          <w:rFonts w:ascii="Times New Roman" w:hAnsi="Times New Roman"/>
          <w:color w:val="000000"/>
          <w:sz w:val="20"/>
        </w:rPr>
        <w:t>—In consideration for the Company’s access to the ESA Parties’ and network affiliate theaters for on-screen and LEN advertising and lobby promotions, the ESA Parties and network affiliates receive access fees based either upon number of attendees, a revenue share or a combination, including a minimum revenue guarantee per attendee. Many of these agreements contain annual increases to the respective fee structures or guaranteed minimums, either per patron, per theater and/or per digital screen. In May 2026, the Company implemented changes in the fee structure of an ESA party's beverage agreement which will result in increased theater exhibition fees in 2026, as compared to 2025. The payments under the ESA Parties' agreements and network affiliate agreements are recorded within ‘Theater exhibition fees’ in the unaudited Condensed Consolidated Statements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Financial Condition and Liquidity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cash balances can fluctuate due to the seasonality of our business and related timing of collections of accounts receivable balances and operating expenditure payments, as well as interest and principal payments on our 2025 Credit Facility, if any, income tax payments, TRA payments to Cinemark and available cash payments (as defined in the NCM LLC Operating Agreement) to Cinemark in the event Cinemark holds NCM LLC membership units, as well as the amount of dividends paid to NCM, Inc.’s common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24, 2025, NCM LLC, as borrower, entered into the 2025 Credit Facility with U.S. Bank National Association, as lender. The agreement provides for a $45.0 million senior secured revolving credit facility that matures on January 24, 2028. In connection with entering into the 2025 Credit Facility, NCM LLC repaid in full the $10.0 million balance outstanding, as of December 26, 2024, and terminated all commitments under its Revolving Credit Facility 2023 (as defined below), and in connection with this termination, paid a prepayment fee equal to 1% of the total commitment. As of July 2, 2026, NCM LLC had an outstanding balance of $12.0 million under the 2025 Credit Facility. Borrowings under the 2025 Credit Facility may be used for, among other things, working capital and other general corporate purposes of the Company and bear interest at a floating rate equal to term SOFR (subject to a floor of zero) plus an applicable margin of 2.00%, which is subject to increase by an additional 2.00% upon the occurrence of an event of default.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 summary of our financial liquidity is as follows (in millions):</w:t>
      </w:r>
    </w:p>
    <w:tbl>
      <w:tblPr>
        <w:tblW w:w="10205" w:type="dxa"/>
        <w:jc w:val="left"/>
        <w:tblInd w:w="0" w:type="dxa"/>
        <w:tblLayout w:type="fixed"/>
        <w:tblCellMar>
          <w:top w:w="28" w:type="dxa"/>
          <w:left w:w="28" w:type="dxa"/>
          <w:bottom w:w="28" w:type="dxa"/>
          <w:right w:w="28" w:type="dxa"/>
        </w:tblCellMar>
      </w:tblPr>
      <w:tblGrid>
        <w:gridCol w:w="3597"/>
        <w:gridCol w:w="146"/>
        <w:gridCol w:w="211"/>
        <w:gridCol w:w="466"/>
        <w:gridCol w:w="146"/>
        <w:gridCol w:w="146"/>
        <w:gridCol w:w="266"/>
        <w:gridCol w:w="592"/>
        <w:gridCol w:w="146"/>
        <w:gridCol w:w="146"/>
        <w:gridCol w:w="318"/>
        <w:gridCol w:w="705"/>
        <w:gridCol w:w="146"/>
        <w:gridCol w:w="146"/>
        <w:gridCol w:w="523"/>
        <w:gridCol w:w="898"/>
        <w:gridCol w:w="146"/>
        <w:gridCol w:w="146"/>
        <w:gridCol w:w="256"/>
        <w:gridCol w:w="643"/>
        <w:gridCol w:w="416"/>
      </w:tblGrid>
      <w:tr>
        <w:trPr/>
        <w:tc>
          <w:tcPr>
            <w:tcW w:w="35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35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July 2, </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1,</w:t>
              <w:br/>
              <w:t>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26,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 2025 to Q2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2025 to</w:t>
              <w:br/>
              <w:t>Q2 2026</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Cash, cash equivalents and marketable securities </w:t>
            </w:r>
            <w:r>
              <w:rPr>
                <w:rFonts w:ascii="Times New Roman" w:hAnsi="Times New Roman"/>
                <w:i/>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2025 Credit Facility availability </w:t>
            </w:r>
            <w:r>
              <w:rPr>
                <w:rFonts w:ascii="Times New Roman" w:hAnsi="Times New Roman"/>
                <w:i/>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liquidity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Included in cash, cash equivalents and marketable securities as of July 2, 2026, January 1, 2026 and June 26, 2025, was $36.7 million, $23.8 million and $18.2 million, respectively, of cash held by NCM LLC that is not available to satisfy dividends declared by NCM, Inc., income tax, TRA payments and other obligations.</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2025 Credit Facility portion of NCM LLC’s total borrowings that is available, subject to certain conditions, for general corporate purposes of NCM LLC in the ordinary course of business and for other transactions permitted under the senior secured credit facility, and a portion is available for letters of credit. NCM LLC’s total capacity under the 2025 Credit Facility is $45.0 million as of July 2, 2026, January 1, 2026 and June 26, 2025. As of July 2, 2026, January 1, 2026 and June 26, 2025, the amount available under the 2025 Credit Facility in the table above is net of letters of credit of $0.6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July 2, 2026, the weighted average remaining maturity of our debt facility was 1.6 years. As of July 2, 2026, NCM LLC has an outstanding balance of $12.0 million under the 2025 Credit Facility. All of our borrowings bear interest at variable rates and our net income and earnings per share could fluctuate with market interest rate fluctuations that could increase or decrease the interest paid on our borrowings.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used and generated cash as follows (in millions):</w:t>
      </w:r>
    </w:p>
    <w:p>
      <w:pPr>
        <w:pStyle w:val="TextBody"/>
        <w:bidi w:val="0"/>
        <w:jc w:val="left"/>
        <w:rPr/>
      </w:pPr>
      <w:r>
        <w:rPr/>
        <w:t> </w:t>
      </w:r>
    </w:p>
    <w:tbl>
      <w:tblPr>
        <w:tblW w:w="4555" w:type="dxa"/>
        <w:jc w:val="left"/>
        <w:tblInd w:w="0" w:type="dxa"/>
        <w:tblLayout w:type="fixed"/>
        <w:tblCellMar>
          <w:top w:w="28" w:type="dxa"/>
          <w:left w:w="28" w:type="dxa"/>
          <w:bottom w:w="28" w:type="dxa"/>
          <w:right w:w="28" w:type="dxa"/>
        </w:tblCellMar>
      </w:tblPr>
      <w:tblGrid>
        <w:gridCol w:w="1756"/>
        <w:gridCol w:w="146"/>
        <w:gridCol w:w="313"/>
        <w:gridCol w:w="692"/>
        <w:gridCol w:w="166"/>
        <w:gridCol w:w="146"/>
        <w:gridCol w:w="322"/>
        <w:gridCol w:w="803"/>
        <w:gridCol w:w="21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2,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26,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Times New Roman" w:hAnsi="Times New Roman"/>
          <w:b/>
          <w:i/>
          <w:color w:val="000000"/>
          <w:sz w:val="20"/>
        </w:rPr>
        <w:t>Operating Activitie</w:t>
      </w:r>
      <w:r>
        <w:rPr>
          <w:rFonts w:ascii="Times New Roman" w:hAnsi="Times New Roman"/>
          <w:color w:val="000000"/>
          <w:sz w:val="20"/>
        </w:rPr>
        <w:t>s. The $15.5 million increase in cash provided by operating activities for the six months ended July 2, 2026, as compared to the six months ended June 26, 2025, was due to (1) a $12.2 million increase in the change in deferred revenue, (2) a $6.6 million decrease in payments of accounts payable and accrued expenses, (3) a $6.1 million increase in accounts receivable collections, (4) a $0.5 million increase in the change in prepaid expenses and (5) a $0.3 million decrease in payments to the ESA Parties under the tax receivable agreement. These increases in cash provided by operating activities were partially offset by (1) a $7.8 million increase in net loss adjusted for non-cash items, (2) a $1.8 million increase in the change in ESA amounts due to/from, net and (3) a $0.6 million decrease in ESA integration and other encumbered theater payments received for the six months ended July 2, 2026, as compared to the six months ended June 26, 2025.</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b/>
          <w:i/>
          <w:color w:val="000000"/>
          <w:sz w:val="20"/>
        </w:rPr>
        <w:t xml:space="preserve">Investing Activities. </w:t>
      </w:r>
      <w:r>
        <w:rPr>
          <w:rFonts w:ascii="Times New Roman" w:hAnsi="Times New Roman"/>
          <w:color w:val="000000"/>
          <w:sz w:val="20"/>
        </w:rPr>
        <w:t>The $1.3 million decrease in cash used in investing activities for the six months ended July 2, 2026, as compared to the six months ended June 26, 2025, was primarily due to a $1.4 million decrease in purchases of property and equipment and a $0.3 million increase in proceeds received from an equity method investment for the six months ended July 2, 2026, as compared to the six months ended June 26, 2025. These decreases were partially offset by a $0.4 million increase in purchases of intangible assets for the six months ended July 2, 2026, as compared to the six months ended June 26, 2025.</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b/>
          <w:i/>
          <w:color w:val="000000"/>
          <w:sz w:val="20"/>
        </w:rPr>
        <w:t>Financing Activities.</w:t>
      </w:r>
      <w:r>
        <w:rPr>
          <w:color w:val="000000"/>
        </w:rPr>
        <w:t xml:space="preserve"> </w:t>
      </w:r>
      <w:r>
        <w:rPr>
          <w:rFonts w:ascii="Times New Roman" w:hAnsi="Times New Roman"/>
          <w:color w:val="000000"/>
          <w:sz w:val="20"/>
        </w:rPr>
        <w:t>The $29.5 million decrease in cash used in financing activities for the six months ended July 2, 2026, as compared to the six months ended June 26, 2025, was primarily due to a $17.5 million decrease in payments made to repurchase shares of NCM, Inc.'s common stock, a $10.0 million decrease in repayments under the Revolving Credit Facility 2023 due to the repayment of the outstanding balance in the first quarter of 2025, a $1.5 million decrease in payments of debt issuance costs associated with the termination of the Revolving Credit Facility 2023 and commencement of the Credit Facility 2025 in the first quarter of 2025 and a $0.5 million decrease in repurchase of stock for restricted stock tax withholding for the six months ended July 2, 2026, as compared to the six months ended June 26, 2025.</w:t>
      </w:r>
    </w:p>
    <w:p>
      <w:pPr>
        <w:pStyle w:val="TextBody"/>
        <w:bidi w:val="0"/>
        <w:jc w:val="left"/>
        <w:rPr>
          <w:rFonts w:ascii="Times New Roman" w:hAnsi="Times New Roman"/>
          <w:b/>
          <w:i/>
          <w:color w:val="000000"/>
          <w:sz w:val="20"/>
        </w:rPr>
      </w:pPr>
      <w:r>
        <w:rPr>
          <w:rFonts w:ascii="Times New Roman" w:hAnsi="Times New Roman"/>
          <w:b/>
          <w:i/>
          <w:color w:val="000000"/>
          <w:sz w:val="20"/>
        </w:rPr>
        <w:t>Sources of Capital and Capital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NCM, Inc.’s primary source of liquidity and capital resources is the quarterly available cash distributions from NCM LLC as well as its existing cash balances, which as of July 2, 2026, were $43.1 million (including $36.7 million of cash held by NCM LLC). NCM LLC’s primary sources of liquidity and capital resources are cash provided by its operating activities, availability under the 2025 Credit Facility and cash on hand. The $36.7 million of cash at NCM LLC will be used to fund operations and strategic investments. Cash at NCM, Inc. is used to fund income taxes, payments associated with the TRA, stock repurchases and for future payment of dividends to NCM, Inc. stockholders if and when declared by the Board of Directors.</w:t>
      </w:r>
    </w:p>
    <w:p>
      <w:pPr>
        <w:pStyle w:val="TextBody"/>
        <w:bidi w:val="0"/>
        <w:spacing w:before="120" w:after="283"/>
        <w:jc w:val="left"/>
        <w:rPr>
          <w:rFonts w:ascii="Times New Roman" w:hAnsi="Times New Roman"/>
          <w:sz w:val="20"/>
        </w:rPr>
      </w:pPr>
      <w:r>
        <w:rPr>
          <w:rFonts w:ascii="Times New Roman" w:hAnsi="Times New Roman"/>
          <w:color w:val="000000"/>
          <w:sz w:val="20"/>
        </w:rPr>
        <w:t>NCM LLC is required, pursuant to the terms of the NCM LLC Operating Agreement, to distribute its available cash, as defined in the NCM LLC Operating Agreement, quarterly to its members. The members are only able to receive available cash when they hold units. The available cash amount to the members of NCM LLC, for the six months ended July 2, 2026, was calculated as approximately</w:t>
      </w:r>
      <w:r>
        <w:rPr>
          <w:rFonts w:ascii="Times New Roman" w:hAnsi="Times New Roman"/>
          <w:color w:val="FF0000"/>
          <w:sz w:val="20"/>
        </w:rPr>
        <w:t xml:space="preserve"> </w:t>
      </w:r>
      <w:r>
        <w:rPr>
          <w:rFonts w:ascii="Times New Roman" w:hAnsi="Times New Roman"/>
          <w:color w:val="000000"/>
          <w:sz w:val="20"/>
        </w:rPr>
        <w:t>negative $21.7 million, associated entirely with NCM, Inc., as the only holder of NCM LLC units as of July 2, 2026.</w:t>
      </w:r>
      <w:r>
        <w:rPr>
          <w:rFonts w:ascii="Times New Roman" w:hAnsi="Times New Roman"/>
          <w:color w:val="FF0000"/>
          <w:sz w:val="20"/>
        </w:rPr>
        <w:t xml:space="preserve"> </w:t>
      </w:r>
      <w:r>
        <w:rPr>
          <w:rFonts w:ascii="Times New Roman" w:hAnsi="Times New Roman"/>
          <w:color w:val="000000"/>
          <w:sz w:val="20"/>
        </w:rPr>
        <w:t>NCM, Inc. has the option to defer payment of any available cash distributions payable to NCM, Inc. at its discretion. Any negative amounts can only be offset against positive available cash within the second quarter of future years, in accordance with the agreement. As of July 2, 2026, NCM LLC owed NCM, Inc. $52.7 million in deferred available cash distributions.</w:t>
      </w:r>
    </w:p>
    <w:p>
      <w:pPr>
        <w:pStyle w:val="TextBody"/>
        <w:bidi w:val="0"/>
        <w:spacing w:before="120" w:after="283"/>
        <w:jc w:val="left"/>
        <w:rPr>
          <w:rFonts w:ascii="Times New Roman" w:hAnsi="Times New Roman"/>
          <w:sz w:val="20"/>
        </w:rPr>
      </w:pPr>
      <w:r>
        <w:rPr>
          <w:rFonts w:ascii="Times New Roman" w:hAnsi="Times New Roman"/>
          <w:color w:val="000000"/>
          <w:sz w:val="20"/>
        </w:rPr>
        <w:t>NCM, Inc. expects to use its cash balances and cash received from future available cash distributions (as allowed for under the 2025 Credit Facility) to fund payments associated with the TRA, stock repurchases and future dividends if and when declared by the Board of Directors. The Company made an estimated TRA payment in 2025 for the 2024 tax year and did not make a TRA payment in 2024 for the 2023 tax year. The Company made an estimated TRA payment in 2026 for the 2025 tax year. Deferred distributions from NCM LLC and NCM, Inc. cash balances should be sufficient to fund payments associated with the TRA, income taxes and any stock repurchases or declared dividends for the foreseeable future at the discretion of the Board of Directors.</w:t>
      </w:r>
      <w:r>
        <w:rPr>
          <w:rFonts w:ascii="Times New Roman" w:hAnsi="Times New Roman"/>
          <w:color w:val="FF0000"/>
          <w:sz w:val="20"/>
        </w:rPr>
        <w:t xml:space="preserve"> </w:t>
      </w:r>
      <w:r>
        <w:rPr>
          <w:rFonts w:ascii="Times New Roman" w:hAnsi="Times New Roman"/>
          <w:color w:val="000000"/>
          <w:sz w:val="20"/>
        </w:rPr>
        <w:t xml:space="preserve">At the discretion of the Board of Directors, the Company will consider returning a portion of its free cash flow to stockholders. The declaration, payment, timing and amount of any future stock repurchases or dividends payable will be at the sole discretion of the Board of Directors who will take into account general economic and advertising market business conditions, the Company’s financial condition, available cash, current and anticipated cash needs and any other factors that the Board of Directors considers relevant.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Critical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further discussion of accounting policies that we consider critical to our business operations and understanding of our results of operations, and that affect the more significant judgments and estimates used in the preparation of our unaudited Condensed Consolidated Financial Statements, see Item 7. “Management’s Discussion and Analysis of Financial Condition and Results of Operations—Critical Accounting Estimates” contained in our Annual Report on Form 10-K, filed for the fiscal year ended January 1, 2026, and incorporated by reference herein. As of July 2, 2026, there were no other significant changes in those critical accounting policies.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For a discussion of recent accounting pronouncements, see the information provided under Note 1—</w:t>
      </w:r>
      <w:r>
        <w:rPr>
          <w:rFonts w:ascii="Times New Roman" w:hAnsi="Times New Roman"/>
          <w:i/>
          <w:color w:val="000000"/>
          <w:sz w:val="20"/>
        </w:rPr>
        <w:t>The Company</w:t>
      </w:r>
      <w:r>
        <w:rPr>
          <w:rFonts w:ascii="Times New Roman" w:hAnsi="Times New Roman"/>
          <w:color w:val="000000"/>
          <w:sz w:val="20"/>
        </w:rPr>
        <w:t xml:space="preserve"> to the unaudited Condensed Consolidated Financial Statements in Part I, Item 1 of this Form 10-Q.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considered all other recently issued accounting pronouncements and does not believe the adoption of such pronouncements will have a material impact on its unaudited Condensed Consolidated Financial Statements.</w:t>
      </w:r>
    </w:p>
    <w:p>
      <w:pPr>
        <w:pStyle w:val="TextBody"/>
        <w:bidi w:val="0"/>
        <w:spacing w:before="120" w:after="283"/>
        <w:jc w:val="left"/>
        <w:rPr>
          <w:rFonts w:ascii="Times New Roman" w:hAnsi="Times New Roman"/>
          <w:sz w:val="20"/>
        </w:rPr>
      </w:pPr>
      <w:bookmarkStart w:id="19" w:name="item_3_quantitative_and_qualitative_disc"/>
      <w:bookmarkEnd w:id="19"/>
      <w:r>
        <w:rPr>
          <w:rFonts w:ascii="Times New Roman" w:hAnsi="Times New Roman"/>
          <w:b/>
          <w:color w:val="000000"/>
          <w:sz w:val="20"/>
        </w:rPr>
        <w:t xml:space="preserve">Item 3. </w:t>
      </w:r>
      <w:r>
        <w:rPr>
          <w:rFonts w:ascii="Times New Roman" w:hAnsi="Times New Roman"/>
          <w:b/>
          <w:color w:val="000000"/>
          <w:sz w:val="20"/>
          <w:u w:val="single"/>
        </w:rPr>
        <w:t>Quantitative</w:t>
      </w:r>
      <w:r>
        <w:rPr>
          <w:rFonts w:ascii="Times New Roman" w:hAnsi="Times New Roman"/>
          <w:color w:val="000000"/>
          <w:sz w:val="20"/>
          <w:u w:val="single"/>
        </w:rPr>
        <w:t xml:space="preserve"> </w:t>
      </w:r>
      <w:r>
        <w:rPr>
          <w:rFonts w:ascii="Times New Roman" w:hAnsi="Times New Roman"/>
          <w:b/>
          <w:color w:val="000000"/>
          <w:sz w:val="20"/>
          <w:u w:val="single"/>
        </w:rPr>
        <w:t>and Qualitative Disclosures About Market Risk</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primary market risk to which we are exposed is interest rate risk. On January 24, 2025, NCM LLC entered into the 2025 Credit Facility. The maximum capacity that NCM LLC has access to under the 2025 Credit Facility is $45.0 million. The interest rate under the 2025 Credit Facility is a floating rate equal to term SOFR (subject to a floor of zero) plus an applicable margin of 2.00%, which is subject to increase by an additional 2.00% upon the occurrence of an event of default. As of July 2, 2026, the Company has an outstanding balance of $12.0 million under the 2025 Credit Facility. If the Company had drawn down on the maximum capacity of the 2025 Credit Facility of $45.0 million, a 100-basis point fluctuation in market interest rates would have the effect of increasing or decreasing our cash interest expense by approximately $0.5 million for an annual period. </w:t>
      </w:r>
    </w:p>
    <w:p>
      <w:pPr>
        <w:pStyle w:val="TextBody"/>
        <w:bidi w:val="0"/>
        <w:spacing w:before="120" w:after="283"/>
        <w:jc w:val="left"/>
        <w:rPr>
          <w:rFonts w:ascii="Times New Roman" w:hAnsi="Times New Roman"/>
          <w:sz w:val="20"/>
        </w:rPr>
      </w:pPr>
      <w:bookmarkStart w:id="20" w:name="item_4_controls_and_procedures"/>
      <w:bookmarkEnd w:id="20"/>
      <w:r>
        <w:rPr>
          <w:rFonts w:ascii="Times New Roman" w:hAnsi="Times New Roman"/>
          <w:b/>
          <w:color w:val="000000"/>
          <w:sz w:val="20"/>
        </w:rPr>
        <w:t xml:space="preserve">Item 4. </w:t>
      </w:r>
      <w:r>
        <w:rPr>
          <w:rFonts w:ascii="Times New Roman" w:hAnsi="Times New Roman"/>
          <w:b/>
          <w:color w:val="000000"/>
          <w:sz w:val="20"/>
          <w:u w:val="single"/>
        </w:rPr>
        <w:t>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maintains disclosure controls and procedures as defined in Rules 13a-15(e) and 15d-15(e) of the Securities Exchange Act of 1934, as amended (the “Exchange Act”), that are designed to ensure that information required to be disclosed in the Company's reports filed under the Exchange Act, is recorded, processed, summarized and reported within the time periods specified by the SEC’s rules and forms, and that such information is accumulated and communicated to management, including the Chief Executive Officer (principal executive officer) and Chief Financial Officer (principal financial and accounting officer), as appropriate, to allow timely decisions regarding required disclosure.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with the participation of the Chief Executive Officer and Chief Financial Officer, performed an evaluation of the effectiveness of the Company’s disclosure controls and procedures pursuant to Rules 13a-15(e) and 15d-15(e) of the Exchange Act as of July 2, 2026, the end of the period covered by this Quarterly Report on Form 10-Q. Based on such evaluation, the Company’s management concluded that the Company’s disclosure controls and procedures, as of July 2, 2026, were effective.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designing and evaluating our disclosure controls and procedures, management recognizes that any control, no matter how well designed and operated, can provide only reasonable, not absolute, assurance of achieving the desired control objectives. Due to the inherent limitations in all control systems, no evaluation of controls can provide absolute assurance that misstatements due to error or fraud will not occur or that all control issues and instances of fraud, if any, within the Company have been detected.</w:t>
      </w:r>
    </w:p>
    <w:p>
      <w:pPr>
        <w:pStyle w:val="TextBody"/>
        <w:bidi w:val="0"/>
        <w:spacing w:before="12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to our internal control over financial reporting that occurred during the quarter ended July 2, 2026 that have materially affected, or are reasonably likely to materially affect, our internal control over financial reporting.</w:t>
      </w:r>
    </w:p>
    <w:p>
      <w:pPr>
        <w:pStyle w:val="TextBody"/>
        <w:bidi w:val="0"/>
        <w:spacing w:before="120" w:after="120"/>
        <w:jc w:val="center"/>
        <w:rPr>
          <w:rFonts w:ascii="Times New Roman" w:hAnsi="Times New Roman"/>
          <w:b/>
          <w:color w:val="000000"/>
          <w:sz w:val="20"/>
        </w:rPr>
      </w:pPr>
      <w:bookmarkStart w:id="21" w:name="part_ii_other_information"/>
      <w:bookmarkEnd w:id="21"/>
      <w:r>
        <w:rPr>
          <w:rFonts w:ascii="Times New Roman" w:hAnsi="Times New Roman"/>
          <w:b/>
          <w:color w:val="000000"/>
          <w:sz w:val="20"/>
        </w:rPr>
        <w:t>PART II—OTHER INFORMATION</w:t>
      </w:r>
    </w:p>
    <w:p>
      <w:pPr>
        <w:pStyle w:val="TextBody"/>
        <w:bidi w:val="0"/>
        <w:jc w:val="left"/>
        <w:rPr>
          <w:rFonts w:ascii="Times New Roman" w:hAnsi="Times New Roman"/>
          <w:sz w:val="20"/>
        </w:rPr>
      </w:pPr>
      <w:bookmarkStart w:id="22" w:name="item_1_legal_proceedings"/>
      <w:bookmarkEnd w:id="22"/>
      <w:r>
        <w:rPr>
          <w:rFonts w:ascii="Times New Roman" w:hAnsi="Times New Roman"/>
          <w:b/>
          <w:color w:val="000000"/>
          <w:sz w:val="20"/>
        </w:rPr>
        <w:t xml:space="preserve">Item 1. </w:t>
      </w:r>
      <w:r>
        <w:rPr>
          <w:rFonts w:ascii="Times New Roman" w:hAnsi="Times New Roman"/>
          <w:b/>
          <w:color w:val="000000"/>
          <w:sz w:val="20"/>
          <w:u w:val="single"/>
        </w:rPr>
        <w:t>Legal Proceedings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are sometimes involved in legal proceedings arising in the ordinary course of business. We are not aware of any litigation currently pending that would have a material adverse effect on our operating results or financial condition.</w:t>
      </w:r>
    </w:p>
    <w:p>
      <w:pPr>
        <w:pStyle w:val="TextBody"/>
        <w:bidi w:val="0"/>
        <w:jc w:val="left"/>
        <w:rPr>
          <w:rFonts w:ascii="Times New Roman" w:hAnsi="Times New Roman"/>
          <w:sz w:val="20"/>
        </w:rPr>
      </w:pPr>
      <w:bookmarkStart w:id="23" w:name="item_1a_risk_factors"/>
      <w:bookmarkEnd w:id="23"/>
      <w:r>
        <w:rPr>
          <w:rFonts w:ascii="Times New Roman" w:hAnsi="Times New Roman"/>
          <w:b/>
          <w:color w:val="000000"/>
          <w:sz w:val="20"/>
        </w:rPr>
        <w:t xml:space="preserve">Item 1A. </w:t>
      </w:r>
      <w:r>
        <w:rPr>
          <w:rFonts w:ascii="Times New Roman" w:hAnsi="Times New Roman"/>
          <w:b/>
          <w:color w:val="000000"/>
          <w:sz w:val="20"/>
          <w:u w:val="single"/>
        </w:rPr>
        <w:t>Risk Factors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There have been no material changes from risk factors as previously disclosed in our Quarterly Report on Form 10-Q filed with the SEC on May 12, 2026 for the fiscal quarter ended April 2, 2026 and in our Annual Report on Form 10-K filed with the SEC on February 26, 2026 for the fiscal year ended January 1, 2026.</w:t>
      </w:r>
    </w:p>
    <w:p>
      <w:pPr>
        <w:pStyle w:val="TextBody"/>
        <w:bidi w:val="0"/>
        <w:jc w:val="left"/>
        <w:rPr>
          <w:rFonts w:ascii="Times New Roman" w:hAnsi="Times New Roman"/>
          <w:sz w:val="20"/>
        </w:rPr>
      </w:pPr>
      <w:bookmarkStart w:id="24" w:name="item_2_unregistered_sales_equity"/>
      <w:bookmarkEnd w:id="24"/>
      <w:r>
        <w:rPr>
          <w:rFonts w:ascii="Times New Roman" w:hAnsi="Times New Roman"/>
          <w:b/>
          <w:color w:val="000000"/>
          <w:sz w:val="20"/>
        </w:rPr>
        <w:t xml:space="preserve">Item 2. </w:t>
      </w:r>
      <w:r>
        <w:rPr>
          <w:rFonts w:ascii="Times New Roman" w:hAnsi="Times New Roman"/>
          <w:b/>
          <w:color w:val="000000"/>
          <w:sz w:val="20"/>
          <w:u w:val="single"/>
        </w:rPr>
        <w:t>Unregistered Sales of Equity Securities and Use of Proceeds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table below provides information about shares purchased in connection with the Company’s share repurchase program during the six months ended July 2, 2026.</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21"/>
        <w:gridCol w:w="146"/>
        <w:gridCol w:w="220"/>
        <w:gridCol w:w="1021"/>
        <w:gridCol w:w="146"/>
        <w:gridCol w:w="146"/>
        <w:gridCol w:w="328"/>
        <w:gridCol w:w="729"/>
        <w:gridCol w:w="146"/>
        <w:gridCol w:w="146"/>
        <w:gridCol w:w="368"/>
        <w:gridCol w:w="1713"/>
        <w:gridCol w:w="146"/>
        <w:gridCol w:w="283"/>
        <w:gridCol w:w="146"/>
        <w:gridCol w:w="847"/>
        <w:gridCol w:w="1873"/>
        <w:gridCol w:w="146"/>
        <w:gridCol w:w="334"/>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 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 as Part of Publicly Announced 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 Number (or Approximate Dollar Value) of Shares that May Yet Be Purchased Under the Plans or Programs</w:t>
              <w:br/>
              <w:t>($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3, 2026 through April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(1)</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 2026 through May 28,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(1)</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29, 2026 through July 2,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(1)</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for the quarter ended July 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(1)</w:t>
            </w:r>
          </w:p>
        </w:tc>
      </w:tr>
    </w:tbl>
    <w:p>
      <w:pPr>
        <w:pStyle w:val="TextBody"/>
        <w:pBdr>
          <w:bottom w:val="single" w:sz="6" w:space="1" w:color="000000"/>
        </w:pBdr>
        <w:bidi w:val="0"/>
        <w:jc w:val="left"/>
        <w:rPr/>
      </w:pPr>
      <w:r>
        <w:rPr/>
        <w:t> </w:t>
      </w:r>
    </w:p>
    <w:p>
      <w:pPr>
        <w:pStyle w:val="TextBody"/>
        <w:bidi w:val="0"/>
        <w:spacing w:before="60" w:after="283"/>
        <w:jc w:val="left"/>
        <w:rPr>
          <w:rFonts w:ascii="Times New Roman" w:hAnsi="Times New Roman"/>
          <w:i/>
          <w:color w:val="000000"/>
          <w:sz w:val="20"/>
        </w:rPr>
      </w:pPr>
      <w:r>
        <w:rPr>
          <w:rFonts w:ascii="Times New Roman" w:hAnsi="Times New Roman"/>
          <w:i/>
          <w:color w:val="000000"/>
          <w:sz w:val="20"/>
        </w:rPr>
        <w:t>(1)</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On March 18, 2024, the Board of Directors of the Company approved a stock repurchase program under which the Company is authorized to use assets of the Company to repurchase up to $100.0 million of shares of the Company’s Common Stock, exclusive of any fees, commissions or other expenses related to such repurchases, from time to time over a period of three years. Shares may be repurchased under the program through open market purchases, block trades, or accelerated or other structured share repurchase programs.</w:t>
      </w:r>
    </w:p>
    <w:p>
      <w:pPr>
        <w:pStyle w:val="TextBody"/>
        <w:bidi w:val="0"/>
        <w:spacing w:before="120" w:after="283"/>
        <w:jc w:val="left"/>
        <w:rPr>
          <w:rFonts w:ascii="Times New Roman" w:hAnsi="Times New Roman"/>
          <w:sz w:val="20"/>
        </w:rPr>
      </w:pPr>
      <w:bookmarkStart w:id="25" w:name="item_3_defaults_upon_senior_securitie"/>
      <w:bookmarkEnd w:id="25"/>
      <w:r>
        <w:rPr>
          <w:rFonts w:ascii="Times New Roman" w:hAnsi="Times New Roman"/>
          <w:b/>
          <w:color w:val="000000"/>
          <w:sz w:val="20"/>
        </w:rPr>
        <w:t xml:space="preserve">Item 3. </w:t>
      </w:r>
      <w:r>
        <w:rPr>
          <w:rFonts w:ascii="Times New Roman" w:hAnsi="Times New Roman"/>
          <w:b/>
          <w:color w:val="000000"/>
          <w:sz w:val="20"/>
          <w:u w:val="single"/>
        </w:rPr>
        <w:t>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sz w:val="20"/>
        </w:rPr>
      </w:pPr>
      <w:bookmarkStart w:id="26" w:name="item_4_mine_safety_disclosures"/>
      <w:bookmarkEnd w:id="26"/>
      <w:r>
        <w:rPr>
          <w:rFonts w:ascii="Times New Roman" w:hAnsi="Times New Roman"/>
          <w:b/>
          <w:color w:val="000000"/>
          <w:sz w:val="20"/>
        </w:rPr>
        <w:t xml:space="preserve">Item 4. </w:t>
      </w:r>
      <w:r>
        <w:rPr>
          <w:rFonts w:ascii="Times New Roman" w:hAnsi="Times New Roman"/>
          <w:b/>
          <w:color w:val="000000"/>
          <w:sz w:val="20"/>
          <w:u w:val="single"/>
        </w:rPr>
        <w:t>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left"/>
        <w:rPr>
          <w:rFonts w:ascii="Times New Roman" w:hAnsi="Times New Roman"/>
          <w:sz w:val="20"/>
        </w:rPr>
      </w:pPr>
      <w:bookmarkStart w:id="27" w:name="item_5_other_information"/>
      <w:bookmarkEnd w:id="27"/>
      <w:r>
        <w:rPr>
          <w:rFonts w:ascii="Times New Roman" w:hAnsi="Times New Roman"/>
          <w:b/>
          <w:color w:val="000000"/>
          <w:sz w:val="20"/>
        </w:rPr>
        <w:t xml:space="preserve">Item 5. </w:t>
      </w:r>
      <w:r>
        <w:rPr>
          <w:rFonts w:ascii="Times New Roman" w:hAnsi="Times New Roman"/>
          <w:b/>
          <w:color w:val="000000"/>
          <w:sz w:val="20"/>
          <w:u w:val="single"/>
        </w:rPr>
        <w:t>Other Information</w:t>
      </w:r>
    </w:p>
    <w:p>
      <w:pPr>
        <w:pStyle w:val="TextBody"/>
        <w:bidi w:val="0"/>
        <w:spacing w:before="120" w:after="283"/>
        <w:jc w:val="left"/>
        <w:rPr>
          <w:rFonts w:ascii="Times New Roman" w:hAnsi="Times New Roman"/>
          <w:sz w:val="20"/>
        </w:rPr>
      </w:pPr>
      <w:r>
        <w:rPr>
          <w:rFonts w:ascii="Times New Roman" w:hAnsi="Times New Roman"/>
          <w:i/>
          <w:color w:val="000000"/>
          <w:sz w:val="20"/>
        </w:rPr>
        <w:t>Adoption of 10b5-1 Trading Plans by Our Officers and Directors</w:t>
      </w:r>
      <w:r>
        <w:rPr>
          <w:rFonts w:ascii="Times New Roman" w:hAnsi="Times New Roman"/>
          <w:color w:val="000000"/>
          <w:sz w:val="20"/>
        </w:rPr>
        <w:t xml:space="preserve">. The below sets forth written trading plans adopted by certain director and executive officers (as defined in SEC Rule 16a-(f)) during the quarter ended July 2, 2026. All of these plans were intended to satisfy the affirmative defense conditions of Rule 10b5-1 under the Exchange Act ( a “Rule 10b5-1 Plan”) and were adopted during the quarterly trading window under our Insider Trading Policy, with no sales commencing under the plan until the completion of the required cooling off period under Rule 10b5-1. Other than as set forth below, during the six months ended July 2, 2026, none of our directors or executive officers adopted or terminated any contract, instruction or written plan for the purchase or sale of securities that was intended to satisfy the affirmative defense conditions of Rule 10b5-1(c) or any “non-Rule 10b5-1 trading arrangement” (as defined in Item 408(c) of Regulation S-K).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6, 2026, Maria Woods, our Chief Legal Officer, adopted a Rule 10b5-1 Plan to sell up to 72,635 shares, subject to the satisfaction of specific conditions set forth in the plan. The plan expires on June 30, 2027, unless terminated sooner in accordance with its terms.</w:t>
      </w:r>
    </w:p>
    <w:p>
      <w:pPr>
        <w:pStyle w:val="TextBody"/>
        <w:bidi w:val="0"/>
        <w:spacing w:before="120" w:after="283"/>
        <w:jc w:val="left"/>
        <w:rPr>
          <w:rFonts w:ascii="Times New Roman" w:hAnsi="Times New Roman"/>
          <w:sz w:val="20"/>
        </w:rPr>
      </w:pPr>
      <w:bookmarkStart w:id="28" w:name="item_6_exhibits"/>
      <w:bookmarkEnd w:id="28"/>
      <w:r>
        <w:rPr>
          <w:rFonts w:ascii="Times New Roman" w:hAnsi="Times New Roman"/>
          <w:b/>
          <w:color w:val="000000"/>
          <w:sz w:val="20"/>
        </w:rPr>
        <w:t xml:space="preserve">Item 6. </w:t>
      </w:r>
      <w:r>
        <w:rPr>
          <w:rFonts w:ascii="Times New Roman" w:hAnsi="Times New Roman"/>
          <w:b/>
          <w:color w:val="000000"/>
          <w:sz w:val="20"/>
          <w:u w:val="single"/>
        </w:rPr>
        <w:t>Exhibits</w:t>
      </w:r>
      <w:r>
        <w:rPr>
          <w:rFonts w:ascii="Times New Roman" w:hAnsi="Times New Roman"/>
          <w:color w:val="000000"/>
          <w:sz w:val="20"/>
        </w:rPr>
        <w:t xml:space="preserve"> </w:t>
      </w:r>
    </w:p>
    <w:p>
      <w:pPr>
        <w:pStyle w:val="TextBody"/>
        <w:bidi w:val="0"/>
        <w:jc w:val="left"/>
        <w:rPr/>
      </w:pPr>
      <w:r>
        <w:rPr/>
        <w:t> </w:t>
      </w:r>
    </w:p>
    <w:tbl>
      <w:tblPr>
        <w:tblW w:w="9138" w:type="dxa"/>
        <w:jc w:val="left"/>
        <w:tblInd w:w="0" w:type="dxa"/>
        <w:tblLayout w:type="fixed"/>
        <w:tblCellMar>
          <w:top w:w="28" w:type="dxa"/>
          <w:left w:w="28" w:type="dxa"/>
          <w:bottom w:w="28" w:type="dxa"/>
          <w:right w:w="28" w:type="dxa"/>
        </w:tblCellMar>
      </w:tblPr>
      <w:tblGrid>
        <w:gridCol w:w="856"/>
        <w:gridCol w:w="826"/>
        <w:gridCol w:w="7456"/>
      </w:tblGrid>
      <w:tr>
        <w:trPr/>
        <w:tc>
          <w:tcPr>
            <w:tcW w:w="85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7456" w:type="dxa"/>
            <w:tcBorders/>
            <w:vAlign w:val="center"/>
          </w:tcPr>
          <w:p>
            <w:pPr>
              <w:pStyle w:val="TableContents"/>
              <w:bidi w:val="0"/>
              <w:spacing w:before="0" w:after="283"/>
              <w:jc w:val="left"/>
              <w:rPr>
                <w:sz w:val="4"/>
                <w:szCs w:val="4"/>
              </w:rPr>
            </w:pPr>
            <w:r>
              <w:rPr>
                <w:sz w:val="4"/>
                <w:szCs w:val="4"/>
              </w:rPr>
            </w:r>
          </w:p>
        </w:tc>
      </w:tr>
      <w:tr>
        <w:trPr/>
        <w:tc>
          <w:tcPr>
            <w:tcW w:w="85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b/>
                <w:color w:val="000000"/>
                <w:sz w:val="16"/>
                <w:u w:val="single"/>
              </w:rPr>
            </w:pPr>
            <w:r>
              <w:rPr>
                <w:rFonts w:ascii="Times New Roman" w:hAnsi="Times New Roman"/>
                <w:b/>
                <w:color w:val="000000"/>
                <w:sz w:val="16"/>
                <w:u w:val="single"/>
              </w:rPr>
              <w:t>Exhibit</w:t>
            </w:r>
          </w:p>
        </w:tc>
        <w:tc>
          <w:tcPr>
            <w:tcW w:w="82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b/>
                <w:color w:val="000000"/>
                <w:sz w:val="16"/>
                <w:u w:val="single"/>
              </w:rPr>
            </w:pPr>
            <w:r>
              <w:rPr>
                <w:rFonts w:ascii="Times New Roman" w:hAnsi="Times New Roman"/>
                <w:b/>
                <w:color w:val="000000"/>
                <w:sz w:val="16"/>
                <w:u w:val="single"/>
              </w:rPr>
              <w:t>Reference</w:t>
            </w:r>
          </w:p>
        </w:tc>
        <w:tc>
          <w:tcPr>
            <w:tcW w:w="745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b/>
                <w:color w:val="000000"/>
                <w:sz w:val="16"/>
                <w:u w:val="single"/>
              </w:rPr>
            </w:pPr>
            <w:r>
              <w:rPr>
                <w:rFonts w:ascii="Times New Roman" w:hAnsi="Times New Roman"/>
                <w:b/>
                <w:color w:val="000000"/>
                <w:sz w:val="16"/>
                <w:u w:val="single"/>
              </w:rPr>
              <w:t>Description</w:t>
            </w:r>
          </w:p>
        </w:tc>
      </w:tr>
      <w:tr>
        <w:trPr/>
        <w:tc>
          <w:tcPr>
            <w:tcW w:w="85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31.1</w:t>
            </w:r>
          </w:p>
        </w:tc>
        <w:tc>
          <w:tcPr>
            <w:tcW w:w="82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w:t>
            </w:r>
          </w:p>
        </w:tc>
        <w:tc>
          <w:tcPr>
            <w:tcW w:w="7456" w:type="dxa"/>
            <w:tcBorders/>
            <w:tcMar>
              <w:top w:w="0" w:type="dxa"/>
              <w:left w:w="0" w:type="dxa"/>
              <w:bottom w:w="0" w:type="dxa"/>
              <w:right w:w="0" w:type="dxa"/>
            </w:tcMar>
            <w:vAlign w:val="center"/>
          </w:tcPr>
          <w:p>
            <w:pPr>
              <w:pStyle w:val="TableContents"/>
              <w:bidi w:val="0"/>
              <w:spacing w:before="53" w:after="30"/>
              <w:jc w:val="left"/>
              <w:rPr/>
            </w:pPr>
            <w:hyperlink w:anchor="ncmi-ex31_1.htm">
              <w:r>
                <w:rPr>
                  <w:rStyle w:val="InternetLink"/>
                  <w:rFonts w:ascii="Times New Roman" w:hAnsi="Times New Roman"/>
                  <w:color w:val="0000FF"/>
                  <w:sz w:val="20"/>
                  <w:u w:val="single"/>
                </w:rPr>
                <w:t>Rule 13a-14(a) Certification of Chief Executive Officer.</w:t>
              </w:r>
            </w:hyperlink>
          </w:p>
        </w:tc>
      </w:tr>
      <w:tr>
        <w:trPr/>
        <w:tc>
          <w:tcPr>
            <w:tcW w:w="85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31.2</w:t>
            </w:r>
          </w:p>
        </w:tc>
        <w:tc>
          <w:tcPr>
            <w:tcW w:w="82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w:t>
            </w:r>
          </w:p>
        </w:tc>
        <w:tc>
          <w:tcPr>
            <w:tcW w:w="7456" w:type="dxa"/>
            <w:tcBorders/>
            <w:tcMar>
              <w:top w:w="0" w:type="dxa"/>
              <w:left w:w="0" w:type="dxa"/>
              <w:bottom w:w="0" w:type="dxa"/>
              <w:right w:w="0" w:type="dxa"/>
            </w:tcMar>
            <w:vAlign w:val="center"/>
          </w:tcPr>
          <w:p>
            <w:pPr>
              <w:pStyle w:val="TableContents"/>
              <w:bidi w:val="0"/>
              <w:spacing w:before="53" w:after="30"/>
              <w:jc w:val="left"/>
              <w:rPr/>
            </w:pPr>
            <w:hyperlink w:anchor="ncmi-ex31_2.htm">
              <w:r>
                <w:rPr>
                  <w:rStyle w:val="InternetLink"/>
                  <w:rFonts w:ascii="Times New Roman" w:hAnsi="Times New Roman"/>
                  <w:color w:val="0000FF"/>
                  <w:sz w:val="20"/>
                  <w:u w:val="single"/>
                </w:rPr>
                <w:t>Rule 13a-14(a) Certification of Chief Financial Officer.</w:t>
              </w:r>
            </w:hyperlink>
          </w:p>
        </w:tc>
      </w:tr>
      <w:tr>
        <w:trPr/>
        <w:tc>
          <w:tcPr>
            <w:tcW w:w="85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32.1</w:t>
            </w:r>
          </w:p>
        </w:tc>
        <w:tc>
          <w:tcPr>
            <w:tcW w:w="82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w:t>
            </w:r>
          </w:p>
        </w:tc>
        <w:tc>
          <w:tcPr>
            <w:tcW w:w="7456" w:type="dxa"/>
            <w:tcBorders/>
            <w:tcMar>
              <w:top w:w="0" w:type="dxa"/>
              <w:left w:w="0" w:type="dxa"/>
              <w:bottom w:w="0" w:type="dxa"/>
              <w:right w:w="0" w:type="dxa"/>
            </w:tcMar>
            <w:vAlign w:val="center"/>
          </w:tcPr>
          <w:p>
            <w:pPr>
              <w:pStyle w:val="TableContents"/>
              <w:bidi w:val="0"/>
              <w:spacing w:before="53" w:after="30"/>
              <w:jc w:val="left"/>
              <w:rPr/>
            </w:pPr>
            <w:hyperlink w:anchor="ncmi-ex32_1.htm">
              <w:r>
                <w:rPr>
                  <w:rStyle w:val="InternetLink"/>
                  <w:rFonts w:ascii="Times New Roman" w:hAnsi="Times New Roman"/>
                  <w:color w:val="0000FF"/>
                  <w:sz w:val="20"/>
                  <w:u w:val="single"/>
                </w:rPr>
                <w:t>Certification of Chief Executive Officer Pursuant to 18 U.S.C. Section 1350.</w:t>
              </w:r>
            </w:hyperlink>
          </w:p>
        </w:tc>
      </w:tr>
      <w:tr>
        <w:trPr/>
        <w:tc>
          <w:tcPr>
            <w:tcW w:w="85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32.2</w:t>
            </w:r>
          </w:p>
        </w:tc>
        <w:tc>
          <w:tcPr>
            <w:tcW w:w="82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w:t>
            </w:r>
          </w:p>
        </w:tc>
        <w:tc>
          <w:tcPr>
            <w:tcW w:w="7456" w:type="dxa"/>
            <w:tcBorders/>
            <w:tcMar>
              <w:top w:w="0" w:type="dxa"/>
              <w:left w:w="0" w:type="dxa"/>
              <w:bottom w:w="0" w:type="dxa"/>
              <w:right w:w="0" w:type="dxa"/>
            </w:tcMar>
            <w:vAlign w:val="center"/>
          </w:tcPr>
          <w:p>
            <w:pPr>
              <w:pStyle w:val="TableContents"/>
              <w:bidi w:val="0"/>
              <w:spacing w:before="53" w:after="30"/>
              <w:jc w:val="left"/>
              <w:rPr/>
            </w:pPr>
            <w:hyperlink w:anchor="ncmi-ex32_2.htm">
              <w:r>
                <w:rPr>
                  <w:rStyle w:val="InternetLink"/>
                  <w:rFonts w:ascii="Times New Roman" w:hAnsi="Times New Roman"/>
                  <w:color w:val="0000FF"/>
                  <w:sz w:val="20"/>
                  <w:u w:val="single"/>
                </w:rPr>
                <w:t>Certification of Chief Financial Officer Pursuant to 18 U.S.C. Section 1350.</w:t>
              </w:r>
            </w:hyperlink>
          </w:p>
        </w:tc>
      </w:tr>
      <w:tr>
        <w:trPr/>
        <w:tc>
          <w:tcPr>
            <w:tcW w:w="85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101.SCH</w:t>
            </w:r>
          </w:p>
        </w:tc>
        <w:tc>
          <w:tcPr>
            <w:tcW w:w="82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w:t>
            </w:r>
          </w:p>
        </w:tc>
        <w:tc>
          <w:tcPr>
            <w:tcW w:w="745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85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104</w:t>
            </w:r>
          </w:p>
        </w:tc>
        <w:tc>
          <w:tcPr>
            <w:tcW w:w="82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w:t>
            </w:r>
          </w:p>
        </w:tc>
        <w:tc>
          <w:tcPr>
            <w:tcW w:w="745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pBdr>
          <w:bottom w:val="single" w:sz="6"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Furnished herewith.</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0"/>
        </w:rPr>
      </w:pPr>
      <w:bookmarkStart w:id="29" w:name="signatures"/>
      <w:bookmarkEnd w:id="29"/>
      <w:r>
        <w:rPr>
          <w:rFonts w:ascii="Times New Roman" w:hAnsi="Times New Roman"/>
          <w:b/>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029" w:type="dxa"/>
        <w:jc w:val="left"/>
        <w:tblInd w:w="0" w:type="dxa"/>
        <w:tblLayout w:type="fixed"/>
        <w:tblCellMar>
          <w:top w:w="28" w:type="dxa"/>
          <w:left w:w="28" w:type="dxa"/>
          <w:bottom w:w="28" w:type="dxa"/>
          <w:right w:w="28" w:type="dxa"/>
        </w:tblCellMar>
      </w:tblPr>
      <w:tblGrid>
        <w:gridCol w:w="556"/>
        <w:gridCol w:w="1456"/>
        <w:gridCol w:w="146"/>
        <w:gridCol w:w="387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NATIONAL CINEMEDIA,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5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11, 2026</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7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F. Lesinski</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F. Lesinski</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Executive Officer and Director</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5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11, 2026</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87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Ronnie Y. Ng</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Ronnie Y. Ng</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Financial Officer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spacing w:before="240" w:after="283"/>
        <w:jc w:val="right"/>
        <w:rPr>
          <w:rFonts w:ascii="Times New Roman" w:hAnsi="Times New Roman"/>
          <w:b/>
          <w:color w:val="000000"/>
          <w:sz w:val="24"/>
        </w:rPr>
      </w:pPr>
      <w:bookmarkStart w:id="30" w:name="ncmi-ex10_1.htm"/>
      <w:bookmarkStart w:id="31" w:name="ksncmiex10_1"/>
      <w:bookmarkEnd w:id="30"/>
      <w:bookmarkEnd w:id="31"/>
      <w:r>
        <w:rPr>
          <w:rFonts w:ascii="Times New Roman" w:hAnsi="Times New Roman"/>
          <w:b/>
          <w:color w:val="000000"/>
          <w:sz w:val="24"/>
        </w:rPr>
        <w:t>Execution Version</w:t>
      </w:r>
      <w:r>
        <w:br w:type="page"/>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CERTAIN IDENTIFIED INFORMATION HAS BEEN EXCLUDED FROM THIS EXHIBIT BECAUSE IT IS NOT MATERIAL AND WOULD LIKELY CAUSE COMPETITIVE HARM TO THE REGISTRANT IF PUBLICLY DISCLOSED. “[***]” INDICATES THAT INFORMATION HAS BEEN REDACTED</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SECOND AMENDED AND RESTATED EXHIBITOR SERVICES AGREEMENT</w:t>
      </w:r>
    </w:p>
    <w:p>
      <w:pPr>
        <w:pStyle w:val="TextBody"/>
        <w:bidi w:val="0"/>
        <w:spacing w:before="240" w:after="283"/>
        <w:jc w:val="left"/>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BETWEEN NATIONAL CINEMEDIA, LLC AND AMC (AS DEFINED HEREIN)</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AMENDED AND RESTATED AS OF APRIL 17, 2025</w:t>
      </w:r>
    </w:p>
    <w:p>
      <w:pPr>
        <w:pStyle w:val="TextBody"/>
        <w:bidi w:val="0"/>
        <w:spacing w:before="240"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right"/>
        <w:rPr>
          <w:rFonts w:ascii="Times New Roman" w:hAnsi="Times New Roman"/>
          <w:b/>
          <w:color w:val="000000"/>
          <w:sz w:val="24"/>
        </w:rPr>
      </w:pPr>
      <w:r>
        <w:rPr>
          <w:rFonts w:ascii="Times New Roman" w:hAnsi="Times New Roman"/>
          <w:b/>
          <w:color w:val="000000"/>
          <w:sz w:val="24"/>
        </w:rPr>
        <w:t>FINAL</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TABLE OF CONTENTS</w:t>
      </w:r>
    </w:p>
    <w:p>
      <w:pPr>
        <w:pStyle w:val="TextBody"/>
        <w:bidi w:val="0"/>
        <w:spacing w:before="240" w:after="283"/>
        <w:jc w:val="right"/>
        <w:rPr/>
      </w:pPr>
      <w:r>
        <w:rPr/>
        <w:t> </w:t>
      </w:r>
    </w:p>
    <w:tbl>
      <w:tblPr>
        <w:tblW w:w="7930" w:type="dxa"/>
        <w:jc w:val="left"/>
        <w:tblInd w:w="0" w:type="dxa"/>
        <w:tblLayout w:type="fixed"/>
        <w:tblCellMar>
          <w:top w:w="28" w:type="dxa"/>
          <w:left w:w="28" w:type="dxa"/>
          <w:bottom w:w="28" w:type="dxa"/>
          <w:right w:w="28" w:type="dxa"/>
        </w:tblCellMar>
      </w:tblPr>
      <w:tblGrid>
        <w:gridCol w:w="1392"/>
        <w:gridCol w:w="6046"/>
        <w:gridCol w:w="492"/>
      </w:tblGrid>
      <w:tr>
        <w:trPr/>
        <w:tc>
          <w:tcPr>
            <w:tcW w:w="1392" w:type="dxa"/>
            <w:tcBorders/>
            <w:vAlign w:val="center"/>
          </w:tcPr>
          <w:p>
            <w:pPr>
              <w:pStyle w:val="TableContents"/>
              <w:bidi w:val="0"/>
              <w:spacing w:before="0" w:after="283"/>
              <w:jc w:val="left"/>
              <w:rPr>
                <w:sz w:val="4"/>
                <w:szCs w:val="4"/>
              </w:rPr>
            </w:pPr>
            <w:r>
              <w:rPr>
                <w:sz w:val="4"/>
                <w:szCs w:val="4"/>
              </w:rPr>
            </w:r>
          </w:p>
        </w:tc>
        <w:tc>
          <w:tcPr>
            <w:tcW w:w="604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ind w:left="0" w:right="0" w:firstLine="101"/>
              <w:jc w:val="left"/>
              <w:rPr>
                <w:sz w:val="4"/>
                <w:szCs w:val="4"/>
              </w:rPr>
            </w:pPr>
            <w:r>
              <w:rPr>
                <w:sz w:val="4"/>
                <w:szCs w:val="4"/>
              </w:rPr>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b/>
                <w:color w:val="0000FF"/>
                <w:sz w:val="23"/>
              </w:rPr>
            </w:pPr>
            <w:r>
              <w:rPr>
                <w:rFonts w:ascii="Times New Roman" w:hAnsi="Times New Roman"/>
                <w:b/>
                <w:color w:val="0000FF"/>
                <w:sz w:val="23"/>
              </w:rPr>
              <w:t>Article 1.</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b/>
                <w:color w:val="0000FF"/>
                <w:sz w:val="23"/>
              </w:rPr>
            </w:pPr>
            <w:r>
              <w:rPr>
                <w:rFonts w:ascii="Times New Roman" w:hAnsi="Times New Roman"/>
                <w:b/>
                <w:color w:val="0000FF"/>
                <w:sz w:val="23"/>
              </w:rPr>
              <w:t>DEFINITIONS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b/>
                <w:color w:val="000000"/>
                <w:sz w:val="23"/>
              </w:rPr>
            </w:pPr>
            <w:r>
              <w:rPr>
                <w:rFonts w:ascii="Times New Roman" w:hAnsi="Times New Roman"/>
                <w:b/>
                <w:color w:val="000000"/>
                <w:sz w:val="23"/>
              </w:rPr>
              <w:t>7</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1.01</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Definitions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7</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b/>
                <w:color w:val="0000FF"/>
                <w:sz w:val="23"/>
              </w:rPr>
            </w:pPr>
            <w:r>
              <w:rPr>
                <w:rFonts w:ascii="Times New Roman" w:hAnsi="Times New Roman"/>
                <w:b/>
                <w:color w:val="0000FF"/>
                <w:sz w:val="23"/>
              </w:rPr>
              <w:t>Article 2.</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b/>
                <w:color w:val="0000FF"/>
                <w:sz w:val="23"/>
              </w:rPr>
            </w:pPr>
            <w:r>
              <w:rPr>
                <w:rFonts w:ascii="Times New Roman" w:hAnsi="Times New Roman"/>
                <w:b/>
                <w:color w:val="0000FF"/>
                <w:sz w:val="23"/>
              </w:rPr>
              <w:t>PARTICIPATION AND FEES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b/>
                <w:color w:val="000000"/>
                <w:sz w:val="23"/>
              </w:rPr>
            </w:pPr>
            <w:r>
              <w:rPr>
                <w:rFonts w:ascii="Times New Roman" w:hAnsi="Times New Roman"/>
                <w:b/>
                <w:color w:val="000000"/>
                <w:sz w:val="23"/>
              </w:rPr>
              <w:t>19</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2.01</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Theatre Service Participation</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19</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2.02</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Addition of Theatres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19</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2.03</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Disposition of Theatres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20</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2.04</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Mandatory Participation</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20</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2.05</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Revenue Share; Minimum Guarantee; Theatre Maintenance Fee</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21</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2.06</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Non-Cash Consideration</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24</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b/>
                <w:color w:val="0000FF"/>
                <w:sz w:val="23"/>
              </w:rPr>
            </w:pPr>
            <w:r>
              <w:rPr>
                <w:rFonts w:ascii="Times New Roman" w:hAnsi="Times New Roman"/>
                <w:b/>
                <w:color w:val="0000FF"/>
                <w:sz w:val="23"/>
              </w:rPr>
              <w:t>Article 3.</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b/>
                <w:color w:val="0000FF"/>
                <w:sz w:val="23"/>
              </w:rPr>
            </w:pPr>
            <w:r>
              <w:rPr>
                <w:rFonts w:ascii="Times New Roman" w:hAnsi="Times New Roman"/>
                <w:b/>
                <w:color w:val="0000FF"/>
                <w:sz w:val="23"/>
              </w:rPr>
              <w:t>EQUIPMENT</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b/>
                <w:color w:val="000000"/>
                <w:sz w:val="23"/>
              </w:rPr>
            </w:pPr>
            <w:r>
              <w:rPr>
                <w:rFonts w:ascii="Times New Roman" w:hAnsi="Times New Roman"/>
                <w:b/>
                <w:color w:val="000000"/>
                <w:sz w:val="23"/>
              </w:rPr>
              <w:t>25</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3.01</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Procurement; Cost; Specifications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25</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3.02</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Ownership of Equipment</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25</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3.03</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AMC Equipment</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25</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3.04</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Installation</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26</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3.05</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Upgrades and Modifications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26</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3.06</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Conversion of Theatres to Digital Cinema Equipment</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27</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3.07</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Training</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28</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3.08</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Equipment Maintenance Standard</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28</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b/>
                <w:color w:val="0000FF"/>
                <w:sz w:val="23"/>
              </w:rPr>
            </w:pPr>
            <w:r>
              <w:rPr>
                <w:rFonts w:ascii="Times New Roman" w:hAnsi="Times New Roman"/>
                <w:b/>
                <w:color w:val="0000FF"/>
                <w:sz w:val="23"/>
              </w:rPr>
              <w:t>Article 4.</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b/>
                <w:color w:val="0000FF"/>
                <w:sz w:val="23"/>
              </w:rPr>
            </w:pPr>
            <w:r>
              <w:rPr>
                <w:rFonts w:ascii="Times New Roman" w:hAnsi="Times New Roman"/>
                <w:b/>
                <w:color w:val="0000FF"/>
                <w:sz w:val="23"/>
              </w:rPr>
              <w:t>DELIVERY OF THE ADVERTISING SERVICES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b/>
                <w:color w:val="000000"/>
                <w:sz w:val="23"/>
              </w:rPr>
            </w:pPr>
            <w:r>
              <w:rPr>
                <w:rFonts w:ascii="Times New Roman" w:hAnsi="Times New Roman"/>
                <w:b/>
                <w:color w:val="000000"/>
                <w:sz w:val="23"/>
              </w:rPr>
              <w:t>29</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4.01</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Content and Distribution of the Digital Content Service</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29</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4.02</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Content Standards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31</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4.03</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Development of the Advertising Services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31</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4.04</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Policy Trailer; Branded Slots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32</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4.05</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Beverage</w:t>
            </w:r>
          </w:p>
        </w:tc>
        <w:tc>
          <w:tcPr>
            <w:tcW w:w="492" w:type="dxa"/>
            <w:tcBorders/>
            <w:shd w:fill="FFFFFF" w:val="clear"/>
            <w:tcMar>
              <w:top w:w="0" w:type="dxa"/>
              <w:left w:w="0" w:type="dxa"/>
              <w:bottom w:w="0" w:type="dxa"/>
              <w:right w:w="0" w:type="dxa"/>
            </w:tcMar>
            <w:vAlign w:val="center"/>
          </w:tcPr>
          <w:p>
            <w:pPr>
              <w:pStyle w:val="TableContents"/>
              <w:bidi w:val="0"/>
              <w:spacing w:before="237" w:after="283"/>
              <w:jc w:val="right"/>
              <w:rPr>
                <w:rFonts w:ascii="Times New Roman" w:hAnsi="Times New Roman"/>
                <w:color w:val="000000"/>
                <w:sz w:val="23"/>
              </w:rPr>
            </w:pPr>
            <w:r>
              <w:rPr>
                <w:rFonts w:ascii="Times New Roman" w:hAnsi="Times New Roman"/>
                <w:color w:val="000000"/>
                <w:sz w:val="23"/>
              </w:rPr>
              <w:t>33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210" w:type="dxa"/>
        <w:jc w:val="left"/>
        <w:tblInd w:w="0" w:type="dxa"/>
        <w:tblLayout w:type="fixed"/>
        <w:tblCellMar>
          <w:top w:w="28" w:type="dxa"/>
          <w:left w:w="28" w:type="dxa"/>
          <w:bottom w:w="28" w:type="dxa"/>
          <w:right w:w="28" w:type="dxa"/>
        </w:tblCellMar>
      </w:tblPr>
      <w:tblGrid>
        <w:gridCol w:w="1392"/>
        <w:gridCol w:w="5326"/>
        <w:gridCol w:w="492"/>
      </w:tblGrid>
      <w:tr>
        <w:trPr/>
        <w:tc>
          <w:tcPr>
            <w:tcW w:w="1392" w:type="dxa"/>
            <w:tcBorders/>
            <w:vAlign w:val="center"/>
          </w:tcPr>
          <w:p>
            <w:pPr>
              <w:pStyle w:val="TableContents"/>
              <w:bidi w:val="0"/>
              <w:spacing w:before="0" w:after="283"/>
              <w:jc w:val="left"/>
              <w:rPr>
                <w:sz w:val="4"/>
                <w:szCs w:val="4"/>
              </w:rPr>
            </w:pPr>
            <w:r>
              <w:rPr>
                <w:sz w:val="4"/>
                <w:szCs w:val="4"/>
              </w:rPr>
            </w:r>
          </w:p>
        </w:tc>
        <w:tc>
          <w:tcPr>
            <w:tcW w:w="532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ind w:left="0" w:right="0" w:firstLine="101"/>
              <w:jc w:val="left"/>
              <w:rPr>
                <w:sz w:val="4"/>
                <w:szCs w:val="4"/>
              </w:rPr>
            </w:pPr>
            <w:r>
              <w:rPr>
                <w:sz w:val="4"/>
                <w:szCs w:val="4"/>
              </w:rPr>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4.06</w:t>
            </w:r>
          </w:p>
        </w:tc>
        <w:tc>
          <w:tcPr>
            <w:tcW w:w="532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Other AMC Advertising Agreements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33</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4.07</w:t>
            </w:r>
          </w:p>
        </w:tc>
        <w:tc>
          <w:tcPr>
            <w:tcW w:w="532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AMC Run-Out Obligations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34</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4.08</w:t>
            </w:r>
          </w:p>
        </w:tc>
        <w:tc>
          <w:tcPr>
            <w:tcW w:w="532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License</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35</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4.09</w:t>
            </w:r>
          </w:p>
        </w:tc>
        <w:tc>
          <w:tcPr>
            <w:tcW w:w="532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Cooperation and Assistance</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35</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4.10</w:t>
            </w:r>
          </w:p>
        </w:tc>
        <w:tc>
          <w:tcPr>
            <w:tcW w:w="532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Trailers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37</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4.11</w:t>
            </w:r>
          </w:p>
        </w:tc>
        <w:tc>
          <w:tcPr>
            <w:tcW w:w="532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Customer Access to Pre-Feature Program</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37</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4.12</w:t>
            </w:r>
          </w:p>
        </w:tc>
        <w:tc>
          <w:tcPr>
            <w:tcW w:w="532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Excluded Theatres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37</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4.13</w:t>
            </w:r>
          </w:p>
        </w:tc>
        <w:tc>
          <w:tcPr>
            <w:tcW w:w="532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[Reserved]</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37</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4.14</w:t>
            </w:r>
          </w:p>
        </w:tc>
        <w:tc>
          <w:tcPr>
            <w:tcW w:w="532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Consultation regarding Certain Advertising Agreements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37</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4.15</w:t>
            </w:r>
          </w:p>
        </w:tc>
        <w:tc>
          <w:tcPr>
            <w:tcW w:w="532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3D and 4D Services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38</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4.16</w:t>
            </w:r>
          </w:p>
        </w:tc>
        <w:tc>
          <w:tcPr>
            <w:tcW w:w="532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Digital Programming Event Simulcast</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39</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4.17</w:t>
            </w:r>
          </w:p>
        </w:tc>
        <w:tc>
          <w:tcPr>
            <w:tcW w:w="532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Event Sponsorships; Sponsor Message</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40</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4.18</w:t>
            </w:r>
          </w:p>
        </w:tc>
        <w:tc>
          <w:tcPr>
            <w:tcW w:w="532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Bar/Lounge Video Screens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40</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b/>
                <w:color w:val="0000FF"/>
                <w:sz w:val="23"/>
              </w:rPr>
            </w:pPr>
            <w:r>
              <w:rPr>
                <w:rFonts w:ascii="Times New Roman" w:hAnsi="Times New Roman"/>
                <w:b/>
                <w:color w:val="0000FF"/>
                <w:sz w:val="23"/>
              </w:rPr>
              <w:t>Article 5.</w:t>
            </w:r>
          </w:p>
        </w:tc>
        <w:tc>
          <w:tcPr>
            <w:tcW w:w="532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b/>
                <w:color w:val="0000FF"/>
                <w:sz w:val="23"/>
              </w:rPr>
            </w:pPr>
            <w:r>
              <w:rPr>
                <w:rFonts w:ascii="Times New Roman" w:hAnsi="Times New Roman"/>
                <w:b/>
                <w:color w:val="0000FF"/>
                <w:sz w:val="23"/>
              </w:rPr>
              <w:t>SUPPORT; MAKE GOODS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b/>
                <w:color w:val="000000"/>
                <w:sz w:val="23"/>
              </w:rPr>
            </w:pPr>
            <w:r>
              <w:rPr>
                <w:rFonts w:ascii="Times New Roman" w:hAnsi="Times New Roman"/>
                <w:b/>
                <w:color w:val="000000"/>
                <w:sz w:val="23"/>
              </w:rPr>
              <w:t>40</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5.01</w:t>
            </w:r>
          </w:p>
        </w:tc>
        <w:tc>
          <w:tcPr>
            <w:tcW w:w="532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Software Support</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40</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5.02</w:t>
            </w:r>
          </w:p>
        </w:tc>
        <w:tc>
          <w:tcPr>
            <w:tcW w:w="532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Cooperation</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41</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5.03</w:t>
            </w:r>
          </w:p>
        </w:tc>
        <w:tc>
          <w:tcPr>
            <w:tcW w:w="532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Make Goods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41</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b/>
                <w:color w:val="0000FF"/>
                <w:sz w:val="23"/>
              </w:rPr>
            </w:pPr>
            <w:r>
              <w:rPr>
                <w:rFonts w:ascii="Times New Roman" w:hAnsi="Times New Roman"/>
                <w:b/>
                <w:color w:val="0000FF"/>
                <w:sz w:val="23"/>
              </w:rPr>
              <w:t>Article 6.</w:t>
            </w:r>
          </w:p>
        </w:tc>
        <w:tc>
          <w:tcPr>
            <w:tcW w:w="532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b/>
                <w:color w:val="0000FF"/>
                <w:sz w:val="23"/>
              </w:rPr>
            </w:pPr>
            <w:r>
              <w:rPr>
                <w:rFonts w:ascii="Times New Roman" w:hAnsi="Times New Roman"/>
                <w:b/>
                <w:color w:val="0000FF"/>
                <w:sz w:val="23"/>
              </w:rPr>
              <w:t>OTHER AGREEMENTS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b/>
                <w:color w:val="000000"/>
                <w:sz w:val="23"/>
              </w:rPr>
            </w:pPr>
            <w:r>
              <w:rPr>
                <w:rFonts w:ascii="Times New Roman" w:hAnsi="Times New Roman"/>
                <w:b/>
                <w:color w:val="000000"/>
                <w:sz w:val="23"/>
              </w:rPr>
              <w:t>41</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6.01</w:t>
            </w:r>
          </w:p>
        </w:tc>
        <w:tc>
          <w:tcPr>
            <w:tcW w:w="532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Joint Venture Termination and Settlement Agreement</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41</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6.02</w:t>
            </w:r>
          </w:p>
        </w:tc>
        <w:tc>
          <w:tcPr>
            <w:tcW w:w="532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Digital Advertising Agreement</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41</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b/>
                <w:color w:val="0000FF"/>
                <w:sz w:val="23"/>
              </w:rPr>
            </w:pPr>
            <w:r>
              <w:rPr>
                <w:rFonts w:ascii="Times New Roman" w:hAnsi="Times New Roman"/>
                <w:b/>
                <w:color w:val="0000FF"/>
                <w:sz w:val="23"/>
              </w:rPr>
              <w:t>Article 7.</w:t>
            </w:r>
          </w:p>
        </w:tc>
        <w:tc>
          <w:tcPr>
            <w:tcW w:w="532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b/>
                <w:color w:val="0000FF"/>
                <w:sz w:val="23"/>
              </w:rPr>
            </w:pPr>
            <w:r>
              <w:rPr>
                <w:rFonts w:ascii="Times New Roman" w:hAnsi="Times New Roman"/>
                <w:b/>
                <w:color w:val="0000FF"/>
                <w:sz w:val="23"/>
              </w:rPr>
              <w:t>INTELLECTUAL PROPERTY</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b/>
                <w:color w:val="000000"/>
                <w:sz w:val="23"/>
              </w:rPr>
            </w:pPr>
            <w:r>
              <w:rPr>
                <w:rFonts w:ascii="Times New Roman" w:hAnsi="Times New Roman"/>
                <w:b/>
                <w:color w:val="000000"/>
                <w:sz w:val="23"/>
              </w:rPr>
              <w:t>41</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7.01</w:t>
            </w:r>
          </w:p>
        </w:tc>
        <w:tc>
          <w:tcPr>
            <w:tcW w:w="532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Software License</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41</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7.02</w:t>
            </w:r>
          </w:p>
        </w:tc>
        <w:tc>
          <w:tcPr>
            <w:tcW w:w="532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License of the LLC Marks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42</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7.03</w:t>
            </w:r>
          </w:p>
        </w:tc>
        <w:tc>
          <w:tcPr>
            <w:tcW w:w="532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License of the AMC Marks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43</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7.04</w:t>
            </w:r>
          </w:p>
        </w:tc>
        <w:tc>
          <w:tcPr>
            <w:tcW w:w="532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Status of the LLC Marks and AMC Marks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44</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b/>
                <w:color w:val="0000FF"/>
                <w:sz w:val="23"/>
              </w:rPr>
            </w:pPr>
            <w:r>
              <w:rPr>
                <w:rFonts w:ascii="Times New Roman" w:hAnsi="Times New Roman"/>
                <w:b/>
                <w:color w:val="0000FF"/>
                <w:sz w:val="23"/>
              </w:rPr>
              <w:t>Article 8.</w:t>
            </w:r>
          </w:p>
        </w:tc>
        <w:tc>
          <w:tcPr>
            <w:tcW w:w="532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b/>
                <w:color w:val="0000FF"/>
                <w:sz w:val="23"/>
              </w:rPr>
            </w:pPr>
            <w:r>
              <w:rPr>
                <w:rFonts w:ascii="Times New Roman" w:hAnsi="Times New Roman"/>
                <w:b/>
                <w:color w:val="0000FF"/>
                <w:sz w:val="23"/>
              </w:rPr>
              <w:t>FEES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b/>
                <w:color w:val="000000"/>
                <w:sz w:val="23"/>
              </w:rPr>
            </w:pPr>
            <w:r>
              <w:rPr>
                <w:rFonts w:ascii="Times New Roman" w:hAnsi="Times New Roman"/>
                <w:b/>
                <w:color w:val="000000"/>
                <w:sz w:val="23"/>
              </w:rPr>
              <w:t>45</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8.01</w:t>
            </w:r>
          </w:p>
        </w:tc>
        <w:tc>
          <w:tcPr>
            <w:tcW w:w="532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Payment</w:t>
            </w:r>
          </w:p>
        </w:tc>
        <w:tc>
          <w:tcPr>
            <w:tcW w:w="492" w:type="dxa"/>
            <w:tcBorders/>
            <w:shd w:fill="FFFFFF" w:val="clear"/>
            <w:tcMar>
              <w:top w:w="0" w:type="dxa"/>
              <w:left w:w="0" w:type="dxa"/>
              <w:bottom w:w="0" w:type="dxa"/>
              <w:right w:w="0" w:type="dxa"/>
            </w:tcMar>
            <w:vAlign w:val="center"/>
          </w:tcPr>
          <w:p>
            <w:pPr>
              <w:pStyle w:val="TableContents"/>
              <w:bidi w:val="0"/>
              <w:spacing w:before="237" w:after="283"/>
              <w:jc w:val="right"/>
              <w:rPr>
                <w:rFonts w:ascii="Times New Roman" w:hAnsi="Times New Roman"/>
                <w:color w:val="000000"/>
                <w:sz w:val="23"/>
              </w:rPr>
            </w:pPr>
            <w:r>
              <w:rPr>
                <w:rFonts w:ascii="Times New Roman" w:hAnsi="Times New Roman"/>
                <w:color w:val="000000"/>
                <w:sz w:val="23"/>
              </w:rPr>
              <w:t>45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050" w:type="dxa"/>
        <w:jc w:val="left"/>
        <w:tblInd w:w="0" w:type="dxa"/>
        <w:tblLayout w:type="fixed"/>
        <w:tblCellMar>
          <w:top w:w="28" w:type="dxa"/>
          <w:left w:w="28" w:type="dxa"/>
          <w:bottom w:w="28" w:type="dxa"/>
          <w:right w:w="28" w:type="dxa"/>
        </w:tblCellMar>
      </w:tblPr>
      <w:tblGrid>
        <w:gridCol w:w="1512"/>
        <w:gridCol w:w="6046"/>
        <w:gridCol w:w="492"/>
      </w:tblGrid>
      <w:tr>
        <w:trPr/>
        <w:tc>
          <w:tcPr>
            <w:tcW w:w="1512" w:type="dxa"/>
            <w:tcBorders/>
            <w:vAlign w:val="center"/>
          </w:tcPr>
          <w:p>
            <w:pPr>
              <w:pStyle w:val="TableContents"/>
              <w:bidi w:val="0"/>
              <w:spacing w:before="0" w:after="283"/>
              <w:jc w:val="left"/>
              <w:rPr>
                <w:sz w:val="4"/>
                <w:szCs w:val="4"/>
              </w:rPr>
            </w:pPr>
            <w:r>
              <w:rPr>
                <w:sz w:val="4"/>
                <w:szCs w:val="4"/>
              </w:rPr>
            </w:r>
          </w:p>
        </w:tc>
        <w:tc>
          <w:tcPr>
            <w:tcW w:w="604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ind w:left="0" w:right="0" w:firstLine="101"/>
              <w:jc w:val="left"/>
              <w:rPr>
                <w:sz w:val="4"/>
                <w:szCs w:val="4"/>
              </w:rPr>
            </w:pPr>
            <w:r>
              <w:rPr>
                <w:sz w:val="4"/>
                <w:szCs w:val="4"/>
              </w:rPr>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8.02</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Administrative Fee</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45</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8.03</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Audit</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45</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b/>
                <w:color w:val="0000FF"/>
                <w:sz w:val="23"/>
              </w:rPr>
            </w:pPr>
            <w:r>
              <w:rPr>
                <w:rFonts w:ascii="Times New Roman" w:hAnsi="Times New Roman"/>
                <w:b/>
                <w:color w:val="0000FF"/>
                <w:sz w:val="23"/>
              </w:rPr>
              <w:t>Article 9.</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b/>
                <w:color w:val="0000FF"/>
                <w:sz w:val="23"/>
              </w:rPr>
            </w:pPr>
            <w:r>
              <w:rPr>
                <w:rFonts w:ascii="Times New Roman" w:hAnsi="Times New Roman"/>
                <w:b/>
                <w:color w:val="0000FF"/>
                <w:sz w:val="23"/>
              </w:rPr>
              <w:t>TERM AND TERMINATION</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b/>
                <w:color w:val="000000"/>
                <w:sz w:val="23"/>
              </w:rPr>
            </w:pPr>
            <w:r>
              <w:rPr>
                <w:rFonts w:ascii="Times New Roman" w:hAnsi="Times New Roman"/>
                <w:b/>
                <w:color w:val="000000"/>
                <w:sz w:val="23"/>
              </w:rPr>
              <w:t>46</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9.01</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Term</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46</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9.02</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Termination; Defaults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46</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9.03</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Optional Termination</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47</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9.04</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Survival</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47</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9.05</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Effect of Termination</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47</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b/>
                <w:color w:val="0000FF"/>
                <w:sz w:val="23"/>
              </w:rPr>
            </w:pPr>
            <w:r>
              <w:rPr>
                <w:rFonts w:ascii="Times New Roman" w:hAnsi="Times New Roman"/>
                <w:b/>
                <w:color w:val="0000FF"/>
                <w:sz w:val="23"/>
              </w:rPr>
              <w:t>Article 10.</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b/>
                <w:color w:val="0000FF"/>
                <w:sz w:val="23"/>
              </w:rPr>
            </w:pPr>
            <w:r>
              <w:rPr>
                <w:rFonts w:ascii="Times New Roman" w:hAnsi="Times New Roman"/>
                <w:b/>
                <w:color w:val="0000FF"/>
                <w:sz w:val="23"/>
              </w:rPr>
              <w:t>REPRESENTATIONS, WARRANTIES AND COVENANTS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b/>
                <w:color w:val="000000"/>
                <w:sz w:val="23"/>
              </w:rPr>
            </w:pPr>
            <w:r>
              <w:rPr>
                <w:rFonts w:ascii="Times New Roman" w:hAnsi="Times New Roman"/>
                <w:b/>
                <w:color w:val="000000"/>
                <w:sz w:val="23"/>
              </w:rPr>
              <w:t>48</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10.01</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Representations and Warranties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48</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10.02</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Additional Covenants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49</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10.03</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Disclaimer</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49</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b/>
                <w:color w:val="0000FF"/>
                <w:sz w:val="23"/>
              </w:rPr>
            </w:pPr>
            <w:r>
              <w:rPr>
                <w:rFonts w:ascii="Times New Roman" w:hAnsi="Times New Roman"/>
                <w:b/>
                <w:color w:val="0000FF"/>
                <w:sz w:val="23"/>
              </w:rPr>
              <w:t>Article 11.</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b/>
                <w:color w:val="0000FF"/>
                <w:sz w:val="23"/>
              </w:rPr>
            </w:pPr>
            <w:r>
              <w:rPr>
                <w:rFonts w:ascii="Times New Roman" w:hAnsi="Times New Roman"/>
                <w:b/>
                <w:color w:val="0000FF"/>
                <w:sz w:val="23"/>
              </w:rPr>
              <w:t>INDEMNIFICATION</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b/>
                <w:color w:val="000000"/>
                <w:sz w:val="23"/>
              </w:rPr>
            </w:pPr>
            <w:r>
              <w:rPr>
                <w:rFonts w:ascii="Times New Roman" w:hAnsi="Times New Roman"/>
                <w:b/>
                <w:color w:val="000000"/>
                <w:sz w:val="23"/>
              </w:rPr>
              <w:t>50</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11.01</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Indemnification</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50</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11.02</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Defense of Action</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51</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b/>
                <w:color w:val="0000FF"/>
                <w:sz w:val="23"/>
              </w:rPr>
            </w:pPr>
            <w:r>
              <w:rPr>
                <w:rFonts w:ascii="Times New Roman" w:hAnsi="Times New Roman"/>
                <w:b/>
                <w:color w:val="0000FF"/>
                <w:sz w:val="23"/>
              </w:rPr>
              <w:t>Article 12.</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b/>
                <w:color w:val="0000FF"/>
                <w:sz w:val="23"/>
              </w:rPr>
            </w:pPr>
            <w:r>
              <w:rPr>
                <w:rFonts w:ascii="Times New Roman" w:hAnsi="Times New Roman"/>
                <w:b/>
                <w:color w:val="0000FF"/>
                <w:sz w:val="23"/>
              </w:rPr>
              <w:t>ADDITIONAL RIGHTS AND OBLIGATIONS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b/>
                <w:color w:val="000000"/>
                <w:sz w:val="23"/>
              </w:rPr>
            </w:pPr>
            <w:r>
              <w:rPr>
                <w:rFonts w:ascii="Times New Roman" w:hAnsi="Times New Roman"/>
                <w:b/>
                <w:color w:val="000000"/>
                <w:sz w:val="23"/>
              </w:rPr>
              <w:t>51</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12.01</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Assistance</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51</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12.02</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Infringement</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51</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12.03</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Theatre Passes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51</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12.04</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Compliance with Law</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51</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12.05</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Insurance</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52</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12.06</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Most Favored Nations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52</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12.07</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Non-Competition and Non-Solicitation</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52</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b/>
                <w:color w:val="0000FF"/>
                <w:sz w:val="23"/>
              </w:rPr>
            </w:pPr>
            <w:r>
              <w:rPr>
                <w:rFonts w:ascii="Times New Roman" w:hAnsi="Times New Roman"/>
                <w:b/>
                <w:color w:val="0000FF"/>
                <w:sz w:val="23"/>
              </w:rPr>
              <w:t>Article 13.</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b/>
                <w:color w:val="0000FF"/>
                <w:sz w:val="23"/>
              </w:rPr>
            </w:pPr>
            <w:r>
              <w:rPr>
                <w:rFonts w:ascii="Times New Roman" w:hAnsi="Times New Roman"/>
                <w:b/>
                <w:color w:val="0000FF"/>
                <w:sz w:val="23"/>
              </w:rPr>
              <w:t>OWNERSHIP</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b/>
                <w:color w:val="000000"/>
                <w:sz w:val="23"/>
              </w:rPr>
            </w:pPr>
            <w:r>
              <w:rPr>
                <w:rFonts w:ascii="Times New Roman" w:hAnsi="Times New Roman"/>
                <w:b/>
                <w:color w:val="000000"/>
                <w:sz w:val="23"/>
              </w:rPr>
              <w:t>53</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13.01</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Property</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53</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13.02</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Derived Works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53</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13.03</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No Title</w:t>
            </w:r>
          </w:p>
        </w:tc>
        <w:tc>
          <w:tcPr>
            <w:tcW w:w="492" w:type="dxa"/>
            <w:tcBorders/>
            <w:shd w:fill="FFFFFF" w:val="clear"/>
            <w:tcMar>
              <w:top w:w="0" w:type="dxa"/>
              <w:left w:w="0" w:type="dxa"/>
              <w:bottom w:w="0" w:type="dxa"/>
              <w:right w:w="0" w:type="dxa"/>
            </w:tcMar>
            <w:vAlign w:val="center"/>
          </w:tcPr>
          <w:p>
            <w:pPr>
              <w:pStyle w:val="TableContents"/>
              <w:bidi w:val="0"/>
              <w:spacing w:before="237" w:after="283"/>
              <w:jc w:val="right"/>
              <w:rPr>
                <w:rFonts w:ascii="Times New Roman" w:hAnsi="Times New Roman"/>
                <w:color w:val="000000"/>
                <w:sz w:val="23"/>
              </w:rPr>
            </w:pPr>
            <w:r>
              <w:rPr>
                <w:rFonts w:ascii="Times New Roman" w:hAnsi="Times New Roman"/>
                <w:color w:val="000000"/>
                <w:sz w:val="23"/>
              </w:rPr>
              <w:t>54</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160" w:type="dxa"/>
        <w:jc w:val="left"/>
        <w:tblInd w:w="0" w:type="dxa"/>
        <w:tblLayout w:type="fixed"/>
        <w:tblCellMar>
          <w:top w:w="28" w:type="dxa"/>
          <w:left w:w="28" w:type="dxa"/>
          <w:bottom w:w="28" w:type="dxa"/>
          <w:right w:w="28" w:type="dxa"/>
        </w:tblCellMar>
      </w:tblPr>
      <w:tblGrid>
        <w:gridCol w:w="1512"/>
        <w:gridCol w:w="4156"/>
        <w:gridCol w:w="492"/>
      </w:tblGrid>
      <w:tr>
        <w:trPr/>
        <w:tc>
          <w:tcPr>
            <w:tcW w:w="1512" w:type="dxa"/>
            <w:tcBorders/>
            <w:vAlign w:val="center"/>
          </w:tcPr>
          <w:p>
            <w:pPr>
              <w:pStyle w:val="TableContents"/>
              <w:bidi w:val="0"/>
              <w:spacing w:before="0" w:after="283"/>
              <w:jc w:val="left"/>
              <w:rPr>
                <w:sz w:val="4"/>
                <w:szCs w:val="4"/>
              </w:rPr>
            </w:pPr>
            <w:r>
              <w:rPr>
                <w:sz w:val="4"/>
                <w:szCs w:val="4"/>
              </w:rPr>
            </w:r>
          </w:p>
        </w:tc>
        <w:tc>
          <w:tcPr>
            <w:tcW w:w="415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ind w:left="0" w:right="0" w:firstLine="101"/>
              <w:jc w:val="left"/>
              <w:rPr>
                <w:sz w:val="4"/>
                <w:szCs w:val="4"/>
              </w:rPr>
            </w:pPr>
            <w:r>
              <w:rPr>
                <w:sz w:val="4"/>
                <w:szCs w:val="4"/>
              </w:rPr>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b/>
                <w:color w:val="0000FF"/>
                <w:sz w:val="23"/>
              </w:rPr>
            </w:pPr>
            <w:r>
              <w:rPr>
                <w:rFonts w:ascii="Times New Roman" w:hAnsi="Times New Roman"/>
                <w:b/>
                <w:color w:val="0000FF"/>
                <w:sz w:val="23"/>
              </w:rPr>
              <w:t>Article 14.</w:t>
            </w:r>
          </w:p>
        </w:tc>
        <w:tc>
          <w:tcPr>
            <w:tcW w:w="415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b/>
                <w:color w:val="0000FF"/>
                <w:sz w:val="23"/>
              </w:rPr>
            </w:pPr>
            <w:r>
              <w:rPr>
                <w:rFonts w:ascii="Times New Roman" w:hAnsi="Times New Roman"/>
                <w:b/>
                <w:color w:val="0000FF"/>
                <w:sz w:val="23"/>
              </w:rPr>
              <w:t>CONFIDENTIALITY</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b/>
                <w:color w:val="000000"/>
                <w:sz w:val="23"/>
              </w:rPr>
            </w:pPr>
            <w:r>
              <w:rPr>
                <w:rFonts w:ascii="Times New Roman" w:hAnsi="Times New Roman"/>
                <w:b/>
                <w:color w:val="000000"/>
                <w:sz w:val="23"/>
              </w:rPr>
              <w:t>54</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14.01</w:t>
            </w:r>
          </w:p>
        </w:tc>
        <w:tc>
          <w:tcPr>
            <w:tcW w:w="415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Confidential Treatment</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54</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14.02</w:t>
            </w:r>
          </w:p>
        </w:tc>
        <w:tc>
          <w:tcPr>
            <w:tcW w:w="415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Injunctive Relief</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55</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b/>
                <w:color w:val="0000FF"/>
                <w:sz w:val="23"/>
              </w:rPr>
            </w:pPr>
            <w:r>
              <w:rPr>
                <w:rFonts w:ascii="Times New Roman" w:hAnsi="Times New Roman"/>
                <w:b/>
                <w:color w:val="0000FF"/>
                <w:sz w:val="23"/>
              </w:rPr>
              <w:t>Article 15.</w:t>
            </w:r>
          </w:p>
        </w:tc>
        <w:tc>
          <w:tcPr>
            <w:tcW w:w="415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b/>
                <w:color w:val="0000FF"/>
                <w:sz w:val="23"/>
              </w:rPr>
            </w:pPr>
            <w:r>
              <w:rPr>
                <w:rFonts w:ascii="Times New Roman" w:hAnsi="Times New Roman"/>
                <w:b/>
                <w:color w:val="0000FF"/>
                <w:sz w:val="23"/>
              </w:rPr>
              <w:t>MISCELLANEOUS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b/>
                <w:color w:val="000000"/>
                <w:sz w:val="23"/>
              </w:rPr>
            </w:pPr>
            <w:r>
              <w:rPr>
                <w:rFonts w:ascii="Times New Roman" w:hAnsi="Times New Roman"/>
                <w:b/>
                <w:color w:val="000000"/>
                <w:sz w:val="23"/>
              </w:rPr>
              <w:t>55</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15.01</w:t>
            </w:r>
          </w:p>
        </w:tc>
        <w:tc>
          <w:tcPr>
            <w:tcW w:w="415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Notices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55</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15.02</w:t>
            </w:r>
          </w:p>
        </w:tc>
        <w:tc>
          <w:tcPr>
            <w:tcW w:w="415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Waiver; Remedies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56</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15.03</w:t>
            </w:r>
          </w:p>
        </w:tc>
        <w:tc>
          <w:tcPr>
            <w:tcW w:w="415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Severability</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56</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15.04</w:t>
            </w:r>
          </w:p>
        </w:tc>
        <w:tc>
          <w:tcPr>
            <w:tcW w:w="415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Integration; Headings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56</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15.05</w:t>
            </w:r>
          </w:p>
        </w:tc>
        <w:tc>
          <w:tcPr>
            <w:tcW w:w="415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Construction</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56</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15.06</w:t>
            </w:r>
          </w:p>
        </w:tc>
        <w:tc>
          <w:tcPr>
            <w:tcW w:w="415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Non-Recourse</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57</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15.07</w:t>
            </w:r>
          </w:p>
        </w:tc>
        <w:tc>
          <w:tcPr>
            <w:tcW w:w="415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Governing Law; Submission to Jurisdiction</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57</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15.08</w:t>
            </w:r>
          </w:p>
        </w:tc>
        <w:tc>
          <w:tcPr>
            <w:tcW w:w="415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Assignment</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58</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15.09</w:t>
            </w:r>
          </w:p>
        </w:tc>
        <w:tc>
          <w:tcPr>
            <w:tcW w:w="415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Force Majeure</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58</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15.10</w:t>
            </w:r>
          </w:p>
        </w:tc>
        <w:tc>
          <w:tcPr>
            <w:tcW w:w="415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Third Party Beneficiary</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59</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15.11</w:t>
            </w:r>
          </w:p>
        </w:tc>
        <w:tc>
          <w:tcPr>
            <w:tcW w:w="415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Export</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59</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15.12</w:t>
            </w:r>
          </w:p>
        </w:tc>
        <w:tc>
          <w:tcPr>
            <w:tcW w:w="415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Independent Contractors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59</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15.13</w:t>
            </w:r>
          </w:p>
        </w:tc>
        <w:tc>
          <w:tcPr>
            <w:tcW w:w="415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Counterparts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59</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15.14</w:t>
            </w:r>
          </w:p>
        </w:tc>
        <w:tc>
          <w:tcPr>
            <w:tcW w:w="415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Effective Date</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59</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FF"/>
                <w:sz w:val="23"/>
              </w:rPr>
            </w:pPr>
            <w:r>
              <w:rPr>
                <w:rFonts w:ascii="Times New Roman" w:hAnsi="Times New Roman"/>
                <w:color w:val="0000FF"/>
                <w:sz w:val="23"/>
              </w:rPr>
              <w:t>Section 15.15</w:t>
            </w:r>
          </w:p>
        </w:tc>
        <w:tc>
          <w:tcPr>
            <w:tcW w:w="415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FF"/>
                <w:sz w:val="23"/>
              </w:rPr>
            </w:pPr>
            <w:r>
              <w:rPr>
                <w:rFonts w:ascii="Times New Roman" w:hAnsi="Times New Roman"/>
                <w:color w:val="0000FF"/>
                <w:sz w:val="23"/>
              </w:rPr>
              <w:t>Amendment and Restatement</w:t>
            </w:r>
          </w:p>
        </w:tc>
        <w:tc>
          <w:tcPr>
            <w:tcW w:w="492" w:type="dxa"/>
            <w:tcBorders/>
            <w:shd w:fill="FFFFFF" w:val="clear"/>
            <w:tcMar>
              <w:top w:w="0" w:type="dxa"/>
              <w:left w:w="0" w:type="dxa"/>
              <w:bottom w:w="0" w:type="dxa"/>
              <w:right w:w="0" w:type="dxa"/>
            </w:tcMar>
            <w:vAlign w:val="center"/>
          </w:tcPr>
          <w:p>
            <w:pPr>
              <w:pStyle w:val="TableContents"/>
              <w:bidi w:val="0"/>
              <w:spacing w:before="237" w:after="283"/>
              <w:jc w:val="right"/>
              <w:rPr>
                <w:rFonts w:ascii="Times New Roman" w:hAnsi="Times New Roman"/>
                <w:color w:val="000000"/>
                <w:sz w:val="23"/>
              </w:rPr>
            </w:pPr>
            <w:r>
              <w:rPr>
                <w:rFonts w:ascii="Times New Roman" w:hAnsi="Times New Roman"/>
                <w:color w:val="000000"/>
                <w:sz w:val="23"/>
              </w:rPr>
              <w:t>59</w:t>
            </w:r>
          </w:p>
        </w:tc>
      </w:tr>
    </w:tbl>
    <w:p>
      <w:pPr>
        <w:pStyle w:val="TextBody"/>
        <w:bidi w:val="0"/>
        <w:spacing w:before="240" w:after="283"/>
        <w:jc w:val="left"/>
        <w:rPr/>
      </w:pPr>
      <w:r>
        <w:rPr/>
        <w:t> </w:t>
      </w:r>
    </w:p>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EXHIBITS AND SCHEDULES</w:t>
      </w:r>
    </w:p>
    <w:p>
      <w:pPr>
        <w:pStyle w:val="TextBody"/>
        <w:bidi w:val="0"/>
        <w:spacing w:before="240" w:after="283"/>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Exhibit A Description of Advertising Services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Exhibit B Beverage Agreement Advertising Rate,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Administrative Fee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Exhibit C Joint Venture Termination and Settlement Agreement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Schedule 1.01 Theatres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Schedule 2.02(a) Additional Theatres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Schedule 2.05(h) Theatre Maintenance Fee per Digital Cinema Screen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Schedule 4.02 Content Standards</w:t>
      </w:r>
    </w:p>
    <w:p>
      <w:pPr>
        <w:pStyle w:val="TextBody"/>
        <w:bidi w:val="0"/>
        <w:spacing w:before="240" w:after="283"/>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Addendum A Lobby Entertainment Program and Lobby Promotions</w:t>
      </w:r>
    </w:p>
    <w:p>
      <w:pPr>
        <w:pStyle w:val="TextBody"/>
        <w:bidi w:val="0"/>
        <w:spacing w:before="240"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 xml:space="preserve">SECOND AMENDED AND RESTATED </w:t>
        <w:br/>
        <w:t>EXHIBITOR SERVICES AGREEMENT</w:t>
      </w:r>
    </w:p>
    <w:p>
      <w:pPr>
        <w:pStyle w:val="TextBody"/>
        <w:bidi w:val="0"/>
        <w:spacing w:before="240" w:after="283"/>
        <w:jc w:val="both"/>
        <w:rPr>
          <w:rFonts w:ascii="Times New Roman" w:hAnsi="Times New Roman"/>
          <w:sz w:val="20"/>
        </w:rPr>
      </w:pPr>
      <w:r>
        <w:rPr>
          <w:rFonts w:ascii="Times New Roman" w:hAnsi="Times New Roman"/>
          <w:color w:val="000000"/>
          <w:sz w:val="24"/>
        </w:rPr>
        <w:t>THIS SECOND AMENDED AND RESTATED EXHIBITOR SERVICES AGREEMENT (this “</w:t>
      </w:r>
      <w:r>
        <w:rPr>
          <w:rFonts w:ascii="Times New Roman" w:hAnsi="Times New Roman"/>
          <w:b/>
          <w:color w:val="000000"/>
          <w:sz w:val="24"/>
        </w:rPr>
        <w:t>Agreement</w:t>
      </w:r>
      <w:r>
        <w:rPr>
          <w:rFonts w:ascii="Times New Roman" w:hAnsi="Times New Roman"/>
          <w:color w:val="000000"/>
          <w:sz w:val="20"/>
        </w:rPr>
        <w:t>”</w:t>
      </w:r>
      <w:r>
        <w:rPr>
          <w:rFonts w:ascii="Times New Roman" w:hAnsi="Times New Roman"/>
          <w:color w:val="000000"/>
          <w:sz w:val="24"/>
        </w:rPr>
        <w:t>) is entered into as of April 17, 2025 (the “</w:t>
      </w:r>
      <w:r>
        <w:rPr>
          <w:rFonts w:ascii="Times New Roman" w:hAnsi="Times New Roman"/>
          <w:b/>
          <w:color w:val="000000"/>
          <w:sz w:val="24"/>
        </w:rPr>
        <w:t>Execution Date</w:t>
      </w:r>
      <w:r>
        <w:rPr>
          <w:rFonts w:ascii="Times New Roman" w:hAnsi="Times New Roman"/>
          <w:color w:val="000000"/>
          <w:sz w:val="20"/>
        </w:rPr>
        <w:t>”</w:t>
      </w:r>
      <w:r>
        <w:rPr>
          <w:rFonts w:ascii="Times New Roman" w:hAnsi="Times New Roman"/>
          <w:color w:val="000000"/>
          <w:sz w:val="24"/>
        </w:rPr>
        <w:t>) by and between National CineMedia, LLC, a Delaware limited liability company (“</w:t>
      </w:r>
      <w:r>
        <w:rPr>
          <w:rFonts w:ascii="Times New Roman" w:hAnsi="Times New Roman"/>
          <w:b/>
          <w:color w:val="000000"/>
          <w:sz w:val="24"/>
        </w:rPr>
        <w:t>LLC</w:t>
      </w:r>
      <w:r>
        <w:rPr>
          <w:rFonts w:ascii="Times New Roman" w:hAnsi="Times New Roman"/>
          <w:color w:val="000000"/>
          <w:sz w:val="20"/>
        </w:rPr>
        <w:t>”</w:t>
      </w:r>
      <w:r>
        <w:rPr>
          <w:rFonts w:ascii="Times New Roman" w:hAnsi="Times New Roman"/>
          <w:color w:val="000000"/>
          <w:sz w:val="24"/>
        </w:rPr>
        <w:t>), and American Multi-Cinema, Inc., a Missouri corporation (“</w:t>
      </w:r>
      <w:r>
        <w:rPr>
          <w:rFonts w:ascii="Times New Roman" w:hAnsi="Times New Roman"/>
          <w:b/>
          <w:color w:val="000000"/>
          <w:sz w:val="24"/>
        </w:rPr>
        <w:t>American Multi-Cinema</w:t>
      </w:r>
      <w:r>
        <w:rPr>
          <w:rFonts w:ascii="Times New Roman" w:hAnsi="Times New Roman"/>
          <w:color w:val="000000"/>
          <w:sz w:val="20"/>
        </w:rPr>
        <w:t>”</w:t>
      </w:r>
      <w:r>
        <w:rPr>
          <w:rFonts w:ascii="Times New Roman" w:hAnsi="Times New Roman"/>
          <w:color w:val="000000"/>
          <w:sz w:val="24"/>
        </w:rPr>
        <w:t>), Muvico, LLC (“</w:t>
      </w:r>
      <w:r>
        <w:rPr>
          <w:rFonts w:ascii="Times New Roman" w:hAnsi="Times New Roman"/>
          <w:b/>
          <w:color w:val="000000"/>
          <w:sz w:val="24"/>
        </w:rPr>
        <w:t>Muvico</w:t>
      </w:r>
      <w:r>
        <w:rPr>
          <w:rFonts w:ascii="Times New Roman" w:hAnsi="Times New Roman"/>
          <w:color w:val="000000"/>
          <w:sz w:val="20"/>
        </w:rPr>
        <w:t>”</w:t>
      </w:r>
      <w:r>
        <w:rPr>
          <w:rFonts w:ascii="Times New Roman" w:hAnsi="Times New Roman"/>
          <w:color w:val="000000"/>
          <w:sz w:val="24"/>
        </w:rPr>
        <w:t>), and each of the other affiliates of American Multi-Cinema and Muvico identified on the signature pages hereto (together with American Multi-Cinema and Muvico, “</w:t>
      </w:r>
      <w:r>
        <w:rPr>
          <w:rFonts w:ascii="Times New Roman" w:hAnsi="Times New Roman"/>
          <w:b/>
          <w:color w:val="000000"/>
          <w:sz w:val="24"/>
        </w:rPr>
        <w:t>AMC</w:t>
      </w:r>
      <w:r>
        <w:rPr>
          <w:rFonts w:ascii="Times New Roman" w:hAnsi="Times New Roman"/>
          <w:color w:val="000000"/>
          <w:sz w:val="24"/>
        </w:rPr>
        <w:t>,” and with LLC, each a “</w:t>
      </w:r>
      <w:r>
        <w:rPr>
          <w:rFonts w:ascii="Times New Roman" w:hAnsi="Times New Roman"/>
          <w:b/>
          <w:color w:val="000000"/>
          <w:sz w:val="24"/>
        </w:rPr>
        <w:t>Party</w:t>
      </w:r>
      <w:r>
        <w:rPr>
          <w:rFonts w:ascii="Times New Roman" w:hAnsi="Times New Roman"/>
          <w:color w:val="000000"/>
          <w:sz w:val="20"/>
        </w:rPr>
        <w:t xml:space="preserve">” </w:t>
      </w:r>
      <w:r>
        <w:rPr>
          <w:rFonts w:ascii="Times New Roman" w:hAnsi="Times New Roman"/>
          <w:color w:val="000000"/>
          <w:sz w:val="24"/>
        </w:rPr>
        <w:t>and collectively, the “</w:t>
      </w:r>
      <w:r>
        <w:rPr>
          <w:rFonts w:ascii="Times New Roman" w:hAnsi="Times New Roman"/>
          <w:b/>
          <w:color w:val="000000"/>
          <w:sz w:val="24"/>
        </w:rPr>
        <w:t>Parties</w:t>
      </w:r>
      <w:r>
        <w:rPr>
          <w:rFonts w:ascii="Times New Roman" w:hAnsi="Times New Roman"/>
          <w:color w:val="000000"/>
          <w:sz w:val="20"/>
        </w:rPr>
        <w:t>”</w:t>
      </w:r>
      <w:r>
        <w:rPr>
          <w:rFonts w:ascii="Times New Roman" w:hAnsi="Times New Roman"/>
          <w:color w:val="000000"/>
          <w:sz w:val="24"/>
        </w:rPr>
        <w:t xml:space="preserve">). Any undefined capitalized term has the meaning given to it in </w:t>
      </w:r>
      <w:r>
        <w:rPr>
          <w:rFonts w:ascii="Times New Roman" w:hAnsi="Times New Roman"/>
          <w:color w:val="000000"/>
          <w:sz w:val="24"/>
          <w:u w:val="single"/>
        </w:rPr>
        <w:t>Section 1.01</w:t>
      </w:r>
      <w:r>
        <w:rPr>
          <w:rFonts w:ascii="Times New Roman" w:hAnsi="Times New Roman"/>
          <w:color w:val="000000"/>
          <w:sz w:val="24"/>
        </w:rPr>
        <w:t>.</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BACKGROUND</w:t>
      </w:r>
    </w:p>
    <w:p>
      <w:pPr>
        <w:pStyle w:val="TextBody"/>
        <w:bidi w:val="0"/>
        <w:spacing w:before="240" w:after="283"/>
        <w:jc w:val="both"/>
        <w:rPr>
          <w:rFonts w:ascii="Times New Roman" w:hAnsi="Times New Roman"/>
          <w:sz w:val="20"/>
        </w:rPr>
      </w:pPr>
      <w:r>
        <w:rPr>
          <w:rFonts w:ascii="Times New Roman" w:hAnsi="Times New Roman"/>
          <w:color w:val="000000"/>
          <w:sz w:val="24"/>
        </w:rPr>
        <w:t>WHEREAS, American Multi-Cinema and LLC are party to the Amended and Restated Exhibitor Services Agreement, dated December 26, 2013, and as amended March 9, 2017 (the “</w:t>
      </w:r>
      <w:r>
        <w:rPr>
          <w:rFonts w:ascii="Times New Roman" w:hAnsi="Times New Roman"/>
          <w:b/>
          <w:color w:val="000000"/>
          <w:sz w:val="24"/>
        </w:rPr>
        <w:t>Original Agreement</w:t>
      </w:r>
      <w:r>
        <w:rPr>
          <w:rFonts w:ascii="Times New Roman" w:hAnsi="Times New Roman"/>
          <w:color w:val="000000"/>
          <w:sz w:val="20"/>
        </w:rPr>
        <w:t>”</w:t>
      </w:r>
      <w:r>
        <w:rPr>
          <w:rFonts w:ascii="Times New Roman" w:hAnsi="Times New Roman"/>
          <w:color w:val="000000"/>
          <w:sz w:val="24"/>
        </w:rPr>
        <w:t>) under which LLC operates a digital content network and provides the Advertising Services at the Theatres throughout the Territory.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WHEREAS, the Parties desire to amend and restate the Parties’ obligations under the Original Agreement which AMC and its Affiliates grant to LLC the exclusive right to, and LLC will, provide Advertising Services at the Theatres throughout the Territory as of the Execution Date and pursuant to the terms of this Agreement.</w:t>
      </w:r>
    </w:p>
    <w:p>
      <w:pPr>
        <w:pStyle w:val="TextBody"/>
        <w:bidi w:val="0"/>
        <w:spacing w:before="240" w:after="283"/>
        <w:jc w:val="both"/>
        <w:rPr>
          <w:rFonts w:ascii="Times New Roman" w:hAnsi="Times New Roman"/>
          <w:sz w:val="20"/>
        </w:rPr>
      </w:pPr>
      <w:r>
        <w:rPr>
          <w:rFonts w:ascii="Times New Roman" w:hAnsi="Times New Roman"/>
          <w:color w:val="000000"/>
          <w:sz w:val="24"/>
        </w:rPr>
        <w:t>WHEREAS, until July 1, 2025 (the “</w:t>
      </w:r>
      <w:r>
        <w:rPr>
          <w:rFonts w:ascii="Times New Roman" w:hAnsi="Times New Roman"/>
          <w:b/>
          <w:color w:val="000000"/>
          <w:sz w:val="24"/>
        </w:rPr>
        <w:t>Effective Date</w:t>
      </w:r>
      <w:r>
        <w:rPr>
          <w:rFonts w:ascii="Times New Roman" w:hAnsi="Times New Roman"/>
          <w:color w:val="000000"/>
          <w:sz w:val="20"/>
        </w:rPr>
        <w:t>”</w:t>
      </w:r>
      <w:r>
        <w:rPr>
          <w:rFonts w:ascii="Times New Roman" w:hAnsi="Times New Roman"/>
          <w:color w:val="000000"/>
          <w:sz w:val="24"/>
        </w:rPr>
        <w:t>), the payments made to American Multi-Cinema will continue as provided in the Original Agreement, and on the Effective Date all payments will be as set forth in this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NOW, THEREFORE, in consideration of the premises and mutual covenants in this Agreement, and for other good and valuable consideration, the receipt and sufficiency of which are hereby expressly acknowledged, and, intending to be legally bound hereby, the Parties hereto agree as follows:</w:t>
      </w:r>
    </w:p>
    <w:p>
      <w:pPr>
        <w:pStyle w:val="Heading1"/>
        <w:bidi w:val="0"/>
        <w:spacing w:before="240" w:after="283"/>
        <w:jc w:val="center"/>
        <w:rPr>
          <w:rFonts w:ascii="Times New Roman" w:hAnsi="Times New Roman"/>
          <w:sz w:val="20"/>
        </w:rPr>
      </w:pPr>
      <w:r>
        <w:rPr>
          <w:rFonts w:ascii="Times New Roman" w:hAnsi="Times New Roman"/>
          <w:color w:val="000000"/>
          <w:sz w:val="24"/>
        </w:rPr>
        <w:t xml:space="preserve">Article 1. </w:t>
      </w:r>
      <w:r>
        <w:rPr>
          <w:rFonts w:ascii="Times New Roman" w:hAnsi="Times New Roman"/>
          <w:color w:val="000000"/>
          <w:sz w:val="24"/>
          <w:u w:val="single"/>
        </w:rPr>
        <w:br/>
        <w:br/>
        <w:t>DEFINITIONS</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1.01 </w:t>
      </w:r>
      <w:r>
        <w:rPr>
          <w:rFonts w:ascii="Times New Roman" w:hAnsi="Times New Roman"/>
          <w:color w:val="000000"/>
          <w:sz w:val="24"/>
          <w:u w:val="single"/>
        </w:rPr>
        <w:t>Definitions</w:t>
      </w:r>
      <w:r>
        <w:rPr>
          <w:rFonts w:ascii="Times New Roman" w:hAnsi="Times New Roman"/>
          <w:b w:val="false"/>
          <w:color w:val="000000"/>
          <w:sz w:val="24"/>
        </w:rPr>
        <w:t>. Within the context of this Agreement, the following terms shall have the following meanings:</w:t>
      </w:r>
      <w:r>
        <w:rPr>
          <w:rFonts w:ascii="Times New Roman" w:hAnsi="Times New Roman"/>
          <w:color w:val="000000"/>
          <w:sz w:val="20"/>
        </w:rPr>
        <w:t xml:space="preserve"> </w:t>
      </w:r>
    </w:p>
    <w:p>
      <w:pPr>
        <w:pStyle w:val="TextBody"/>
        <w:bidi w:val="0"/>
        <w:spacing w:before="240" w:after="283"/>
        <w:jc w:val="left"/>
        <w:rPr/>
      </w:pPr>
      <w:r>
        <w:rPr>
          <w:color w:val="000000"/>
        </w:rPr>
        <w:t>“</w:t>
      </w:r>
      <w:r>
        <w:rPr>
          <w:rFonts w:ascii="Times New Roman" w:hAnsi="Times New Roman"/>
          <w:b/>
          <w:color w:val="000000"/>
          <w:sz w:val="24"/>
        </w:rPr>
        <w:t>3D</w:t>
      </w:r>
      <w:r>
        <w:rPr>
          <w:rFonts w:ascii="Times New Roman" w:hAnsi="Times New Roman"/>
          <w:color w:val="000000"/>
          <w:sz w:val="20"/>
        </w:rPr>
        <w:t xml:space="preserve">” </w:t>
      </w:r>
      <w:r>
        <w:rPr>
          <w:rFonts w:ascii="Times New Roman" w:hAnsi="Times New Roman"/>
          <w:color w:val="000000"/>
          <w:sz w:val="24"/>
        </w:rPr>
        <w:t>means a digital format that is three dimensional and creates the illusion of depth perception.</w:t>
      </w:r>
    </w:p>
    <w:p>
      <w:pPr>
        <w:pStyle w:val="TextBody"/>
        <w:bidi w:val="0"/>
        <w:spacing w:before="240" w:after="283"/>
        <w:jc w:val="left"/>
        <w:rPr/>
      </w:pPr>
      <w:r>
        <w:rPr>
          <w:color w:val="000000"/>
        </w:rPr>
        <w:t>“</w:t>
      </w:r>
      <w:r>
        <w:rPr>
          <w:rFonts w:ascii="Times New Roman" w:hAnsi="Times New Roman"/>
          <w:b/>
          <w:color w:val="000000"/>
          <w:sz w:val="24"/>
        </w:rPr>
        <w:t>3D or 4D Advertising Services</w:t>
      </w:r>
      <w:r>
        <w:rPr>
          <w:rFonts w:ascii="Times New Roman" w:hAnsi="Times New Roman"/>
          <w:color w:val="000000"/>
          <w:sz w:val="20"/>
        </w:rPr>
        <w:t xml:space="preserve">” </w:t>
      </w:r>
      <w:r>
        <w:rPr>
          <w:rFonts w:ascii="Times New Roman" w:hAnsi="Times New Roman"/>
          <w:color w:val="000000"/>
          <w:sz w:val="24"/>
        </w:rPr>
        <w:t xml:space="preserve">has the meaning assigned to it in Section 3 of </w:t>
      </w:r>
      <w:r>
        <w:rPr>
          <w:rFonts w:ascii="Times New Roman" w:hAnsi="Times New Roman"/>
          <w:color w:val="000000"/>
          <w:sz w:val="24"/>
          <w:u w:val="single"/>
        </w:rPr>
        <w:t>Exhibit A</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left"/>
        <w:rPr/>
      </w:pPr>
      <w:r>
        <w:rPr>
          <w:color w:val="000000"/>
        </w:rPr>
        <w:t>“</w:t>
      </w:r>
      <w:r>
        <w:rPr>
          <w:rFonts w:ascii="Times New Roman" w:hAnsi="Times New Roman"/>
          <w:b/>
          <w:color w:val="000000"/>
          <w:sz w:val="24"/>
        </w:rPr>
        <w:t>3D or 4D Content</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4.15(a)</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3D Glasses</w:t>
      </w:r>
      <w:r>
        <w:rPr>
          <w:rFonts w:ascii="Times New Roman" w:hAnsi="Times New Roman"/>
          <w:color w:val="000000"/>
          <w:sz w:val="20"/>
        </w:rPr>
        <w:t xml:space="preserve">” </w:t>
      </w:r>
      <w:r>
        <w:rPr>
          <w:rFonts w:ascii="Times New Roman" w:hAnsi="Times New Roman"/>
          <w:color w:val="000000"/>
          <w:sz w:val="24"/>
        </w:rPr>
        <w:t>means glasses worn by theatre patrons to enable them to view content in 3D that meet or exceed 3D Equipment supplier’s specifications and are approved by AMC.</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4"/>
        </w:rPr>
        <w:t>4D</w:t>
      </w:r>
      <w:r>
        <w:rPr>
          <w:rFonts w:ascii="Times New Roman" w:hAnsi="Times New Roman"/>
          <w:color w:val="000000"/>
          <w:sz w:val="20"/>
        </w:rPr>
        <w:t xml:space="preserve">” </w:t>
      </w:r>
      <w:r>
        <w:rPr>
          <w:rFonts w:ascii="Times New Roman" w:hAnsi="Times New Roman"/>
          <w:color w:val="000000"/>
          <w:sz w:val="24"/>
        </w:rPr>
        <w:t>means a movie format that uses physical effects to enhance the viewing experience, including through 3D, motion-enabled seats, scents, and environmental controls.</w:t>
      </w:r>
    </w:p>
    <w:p>
      <w:pPr>
        <w:pStyle w:val="TextBody"/>
        <w:bidi w:val="0"/>
        <w:spacing w:before="240" w:after="283"/>
        <w:jc w:val="both"/>
        <w:rPr/>
      </w:pPr>
      <w:r>
        <w:rPr>
          <w:color w:val="000000"/>
        </w:rPr>
        <w:t>“</w:t>
      </w:r>
      <w:r>
        <w:rPr>
          <w:rFonts w:ascii="Times New Roman" w:hAnsi="Times New Roman"/>
          <w:b/>
          <w:color w:val="000000"/>
          <w:sz w:val="24"/>
        </w:rPr>
        <w:t>ACE Solution</w:t>
      </w:r>
      <w:r>
        <w:rPr>
          <w:rFonts w:ascii="Times New Roman" w:hAnsi="Times New Roman"/>
          <w:color w:val="000000"/>
          <w:sz w:val="20"/>
        </w:rPr>
        <w:t xml:space="preserve">” </w:t>
      </w:r>
      <w:r>
        <w:rPr>
          <w:rFonts w:ascii="Times New Roman" w:hAnsi="Times New Roman"/>
          <w:color w:val="000000"/>
          <w:sz w:val="24"/>
        </w:rPr>
        <w:t>means a delivery system in which the DCN screen player is eliminated, and the ACE (also referred to as an alternative content engine) interfaces directly with the TMS. The ACE Solution is also known as “fully integrated”.</w:t>
      </w:r>
    </w:p>
    <w:p>
      <w:pPr>
        <w:pStyle w:val="TextBody"/>
        <w:bidi w:val="0"/>
        <w:spacing w:before="240" w:after="283"/>
        <w:jc w:val="both"/>
        <w:rPr/>
      </w:pPr>
      <w:r>
        <w:rPr>
          <w:color w:val="000000"/>
        </w:rPr>
        <w:t>“</w:t>
      </w:r>
      <w:r>
        <w:rPr>
          <w:rFonts w:ascii="Times New Roman" w:hAnsi="Times New Roman"/>
          <w:b/>
          <w:color w:val="000000"/>
          <w:sz w:val="24"/>
        </w:rPr>
        <w:t>Additional Theatres</w:t>
      </w:r>
      <w:r>
        <w:rPr>
          <w:rFonts w:ascii="Times New Roman" w:hAnsi="Times New Roman"/>
          <w:color w:val="000000"/>
          <w:sz w:val="20"/>
        </w:rPr>
        <w:t xml:space="preserve">” </w:t>
      </w:r>
      <w:r>
        <w:rPr>
          <w:rFonts w:ascii="Times New Roman" w:hAnsi="Times New Roman"/>
          <w:color w:val="000000"/>
          <w:sz w:val="24"/>
        </w:rPr>
        <w:t>means any theatres in the Territory (i) of which AMC or an Affiliate of AMC obtains control of the advertising or promotional activities therein or (ii) that is newly built by AMC or an Affiliate of AMC, in each case, following the Execution Date.</w:t>
      </w:r>
    </w:p>
    <w:p>
      <w:pPr>
        <w:pStyle w:val="TextBody"/>
        <w:bidi w:val="0"/>
        <w:spacing w:before="240" w:after="283"/>
        <w:jc w:val="both"/>
        <w:rPr/>
      </w:pPr>
      <w:r>
        <w:rPr>
          <w:color w:val="000000"/>
        </w:rPr>
        <w:t>“</w:t>
      </w:r>
      <w:r>
        <w:rPr>
          <w:rFonts w:ascii="Times New Roman" w:hAnsi="Times New Roman"/>
          <w:b/>
          <w:color w:val="000000"/>
          <w:sz w:val="24"/>
        </w:rPr>
        <w:t>Administrative Fee</w:t>
      </w:r>
      <w:r>
        <w:rPr>
          <w:rFonts w:ascii="Times New Roman" w:hAnsi="Times New Roman"/>
          <w:color w:val="000000"/>
          <w:sz w:val="20"/>
        </w:rPr>
        <w:t xml:space="preserve">” </w:t>
      </w:r>
      <w:r>
        <w:rPr>
          <w:rFonts w:ascii="Times New Roman" w:hAnsi="Times New Roman"/>
          <w:color w:val="000000"/>
          <w:sz w:val="24"/>
        </w:rPr>
        <w:t>means the fee for services provided by LLC as requested by AMC in connection with delivery of content to Theatres.</w:t>
      </w:r>
    </w:p>
    <w:p>
      <w:pPr>
        <w:pStyle w:val="TextBody"/>
        <w:bidi w:val="0"/>
        <w:spacing w:before="240" w:after="283"/>
        <w:jc w:val="both"/>
        <w:rPr/>
      </w:pPr>
      <w:r>
        <w:rPr>
          <w:color w:val="000000"/>
        </w:rPr>
        <w:t>“</w:t>
      </w:r>
      <w:r>
        <w:rPr>
          <w:rFonts w:ascii="Times New Roman" w:hAnsi="Times New Roman"/>
          <w:b/>
          <w:color w:val="000000"/>
          <w:sz w:val="24"/>
        </w:rPr>
        <w:t>Advertising Services</w:t>
      </w:r>
      <w:r>
        <w:rPr>
          <w:rFonts w:ascii="Times New Roman" w:hAnsi="Times New Roman"/>
          <w:color w:val="000000"/>
          <w:sz w:val="20"/>
        </w:rPr>
        <w:t xml:space="preserve">” </w:t>
      </w:r>
      <w:r>
        <w:rPr>
          <w:rFonts w:ascii="Times New Roman" w:hAnsi="Times New Roman"/>
          <w:color w:val="000000"/>
          <w:sz w:val="24"/>
        </w:rPr>
        <w:t xml:space="preserve">means the advertising and promotional services (including the Digital Content Service, the Digital Carousel, Lobby Promotions, Event Sponsorships, Event Simulcast Advertising Services and 3D or 4D Advertising Services) as described in </w:t>
      </w:r>
      <w:r>
        <w:rPr>
          <w:rFonts w:ascii="Times New Roman" w:hAnsi="Times New Roman"/>
          <w:color w:val="000000"/>
          <w:sz w:val="24"/>
          <w:u w:val="single"/>
        </w:rPr>
        <w:t>Exhibit A.</w:t>
      </w:r>
    </w:p>
    <w:p>
      <w:pPr>
        <w:pStyle w:val="TextBody"/>
        <w:bidi w:val="0"/>
        <w:spacing w:before="240" w:after="283"/>
        <w:jc w:val="both"/>
        <w:rPr/>
      </w:pPr>
      <w:r>
        <w:rPr>
          <w:color w:val="000000"/>
        </w:rPr>
        <w:t>“</w:t>
      </w:r>
      <w:r>
        <w:rPr>
          <w:rFonts w:ascii="Times New Roman" w:hAnsi="Times New Roman"/>
          <w:b/>
          <w:color w:val="000000"/>
          <w:sz w:val="24"/>
        </w:rPr>
        <w:t>Affiliate</w:t>
      </w:r>
      <w:r>
        <w:rPr>
          <w:rFonts w:ascii="Times New Roman" w:hAnsi="Times New Roman"/>
          <w:color w:val="000000"/>
          <w:sz w:val="20"/>
        </w:rPr>
        <w:t xml:space="preserve">” </w:t>
      </w:r>
      <w:r>
        <w:rPr>
          <w:rFonts w:ascii="Times New Roman" w:hAnsi="Times New Roman"/>
          <w:color w:val="000000"/>
          <w:sz w:val="24"/>
        </w:rPr>
        <w:t>means, as to any entity, any other entity that is controlled by, controls, or is under common control with that entity. The term “</w:t>
      </w:r>
      <w:r>
        <w:rPr>
          <w:rFonts w:ascii="Times New Roman" w:hAnsi="Times New Roman"/>
          <w:b/>
          <w:color w:val="000000"/>
          <w:sz w:val="24"/>
        </w:rPr>
        <w:t>control</w:t>
      </w:r>
      <w:r>
        <w:rPr>
          <w:rFonts w:ascii="Times New Roman" w:hAnsi="Times New Roman"/>
          <w:color w:val="000000"/>
          <w:sz w:val="20"/>
        </w:rPr>
        <w:t xml:space="preserve">” </w:t>
      </w:r>
      <w:r>
        <w:rPr>
          <w:rFonts w:ascii="Times New Roman" w:hAnsi="Times New Roman"/>
          <w:color w:val="000000"/>
          <w:sz w:val="24"/>
        </w:rPr>
        <w:t>(including the terms “controlled,” “controlled by” and “under common control with”) means possession, directly or indirectly, of the power to direct or cause direction of the management and policies of an entity.</w:t>
      </w:r>
    </w:p>
    <w:p>
      <w:pPr>
        <w:pStyle w:val="TextBody"/>
        <w:bidi w:val="0"/>
        <w:spacing w:before="240" w:after="283"/>
        <w:jc w:val="both"/>
        <w:rPr/>
      </w:pPr>
      <w:r>
        <w:rPr>
          <w:color w:val="000000"/>
        </w:rPr>
        <w:t>“</w:t>
      </w:r>
      <w:r>
        <w:rPr>
          <w:rFonts w:ascii="Times New Roman" w:hAnsi="Times New Roman"/>
          <w:b/>
          <w:color w:val="000000"/>
          <w:sz w:val="24"/>
        </w:rPr>
        <w:t>Agreement</w:t>
      </w:r>
      <w:r>
        <w:rPr>
          <w:rFonts w:ascii="Times New Roman" w:hAnsi="Times New Roman"/>
          <w:color w:val="000000"/>
          <w:sz w:val="20"/>
        </w:rPr>
        <w:t xml:space="preserve">” </w:t>
      </w:r>
      <w:r>
        <w:rPr>
          <w:rFonts w:ascii="Times New Roman" w:hAnsi="Times New Roman"/>
          <w:color w:val="000000"/>
          <w:sz w:val="24"/>
        </w:rPr>
        <w:t>has the meaning assigned to it in the preamble of this Agreement, as the same may be amended, supplemented or otherwise modified from time to time.</w:t>
      </w:r>
    </w:p>
    <w:p>
      <w:pPr>
        <w:pStyle w:val="TextBody"/>
        <w:bidi w:val="0"/>
        <w:spacing w:before="240" w:after="283"/>
        <w:jc w:val="left"/>
        <w:rPr/>
      </w:pPr>
      <w:r>
        <w:rPr>
          <w:color w:val="000000"/>
        </w:rPr>
        <w:t>“</w:t>
      </w:r>
      <w:r>
        <w:rPr>
          <w:rFonts w:ascii="Times New Roman" w:hAnsi="Times New Roman"/>
          <w:b/>
          <w:color w:val="000000"/>
          <w:sz w:val="24"/>
        </w:rPr>
        <w:t>AMC</w:t>
      </w:r>
      <w:r>
        <w:rPr>
          <w:rFonts w:ascii="Times New Roman" w:hAnsi="Times New Roman"/>
          <w:color w:val="000000"/>
          <w:sz w:val="20"/>
        </w:rPr>
        <w:t xml:space="preserve">” </w:t>
      </w:r>
      <w:r>
        <w:rPr>
          <w:rFonts w:ascii="Times New Roman" w:hAnsi="Times New Roman"/>
          <w:color w:val="000000"/>
          <w:sz w:val="24"/>
        </w:rPr>
        <w:t>has the meaning assigned to it in the preamble of this Agreement.</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b/>
          <w:color w:val="000000"/>
          <w:sz w:val="24"/>
        </w:rPr>
        <w:t>AMC Attendance</w:t>
      </w:r>
      <w:r>
        <w:rPr>
          <w:rFonts w:ascii="Times New Roman" w:hAnsi="Times New Roman"/>
          <w:color w:val="000000"/>
          <w:sz w:val="20"/>
        </w:rPr>
        <w:t xml:space="preserve">” </w:t>
      </w:r>
      <w:r>
        <w:rPr>
          <w:rFonts w:ascii="Times New Roman" w:hAnsi="Times New Roman"/>
          <w:color w:val="000000"/>
          <w:sz w:val="24"/>
        </w:rPr>
        <w:t xml:space="preserve">means the sum of the AMC Standard Format Attendance and AMC Premium Large Format Attendance. Attendance is calculated by the total number of patrons in all Theatre auditoriums (excluding auditoriums that do not run the applicable advertising due to human or technical error within AMC’s control, AMC’s failure to allow LLC to upgrade the Software or Equipment following reasonable advance notice from LLC, AMC’s failure to install Equipment pursuant to its obligations under </w:t>
      </w:r>
      <w:r>
        <w:rPr>
          <w:rFonts w:ascii="Times New Roman" w:hAnsi="Times New Roman"/>
          <w:color w:val="000000"/>
          <w:sz w:val="24"/>
          <w:u w:val="single"/>
        </w:rPr>
        <w:t xml:space="preserve">Section 3.04 </w:t>
      </w:r>
      <w:r>
        <w:rPr>
          <w:rFonts w:ascii="Times New Roman" w:hAnsi="Times New Roman"/>
          <w:color w:val="000000"/>
          <w:sz w:val="24"/>
        </w:rPr>
        <w:t xml:space="preserve">or, after notice and opportunity to cure as set forth in </w:t>
      </w:r>
      <w:r>
        <w:rPr>
          <w:rFonts w:ascii="Times New Roman" w:hAnsi="Times New Roman"/>
          <w:color w:val="000000"/>
          <w:sz w:val="24"/>
          <w:u w:val="single"/>
        </w:rPr>
        <w:t>Section 3.08(b)</w:t>
      </w:r>
      <w:r>
        <w:rPr>
          <w:rFonts w:ascii="Times New Roman" w:hAnsi="Times New Roman"/>
          <w:color w:val="000000"/>
          <w:sz w:val="24"/>
        </w:rPr>
        <w:t xml:space="preserve">, as the result of AMC’s failure to repair or replace any AMC Equipment or AMC’s (or its Affiliates’) software installed at any Theatre, if such obligation to repair or replace is undertaken by AMC pursuant to </w:t>
      </w:r>
      <w:r>
        <w:rPr>
          <w:rFonts w:ascii="Times New Roman" w:hAnsi="Times New Roman"/>
          <w:color w:val="000000"/>
          <w:sz w:val="24"/>
          <w:u w:val="single"/>
        </w:rPr>
        <w:t>Section 3.08(b)</w:t>
      </w:r>
      <w:r>
        <w:rPr>
          <w:rFonts w:ascii="Times New Roman" w:hAnsi="Times New Roman"/>
          <w:color w:val="000000"/>
          <w:sz w:val="20"/>
        </w:rPr>
        <w:t xml:space="preserve"> </w:t>
      </w:r>
      <w:r>
        <w:rPr>
          <w:rFonts w:ascii="Times New Roman" w:hAnsi="Times New Roman"/>
          <w:color w:val="000000"/>
          <w:sz w:val="24"/>
        </w:rPr>
        <w:t>and excluding auditoriums that do not exhibit Inventory for any other reason not caused by LLC), during the applicable measurement period. An “AMC Attendee” is one patron that satisfies the definition of AMC Attendance.</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b/>
          <w:color w:val="000000"/>
          <w:sz w:val="24"/>
        </w:rPr>
        <w:t>AMC Attributable Revenue</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2.05(b)(i)(A)</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AMC Attributable Lobby Revenue</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Addendum A</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AMC Campaign Attendance</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2.05(b)(i)(B)</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AMC Derived Works</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13.02(b)</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color w:val="000000"/>
        </w:rPr>
        <w:t>“</w:t>
      </w:r>
      <w:r>
        <w:rPr>
          <w:rFonts w:ascii="Times New Roman" w:hAnsi="Times New Roman"/>
          <w:b/>
          <w:color w:val="000000"/>
          <w:sz w:val="24"/>
        </w:rPr>
        <w:t>AMC Equipment</w:t>
      </w:r>
      <w:r>
        <w:rPr>
          <w:rFonts w:ascii="Times New Roman" w:hAnsi="Times New Roman"/>
          <w:color w:val="000000"/>
          <w:sz w:val="20"/>
        </w:rPr>
        <w:t xml:space="preserve">” </w:t>
      </w:r>
      <w:r>
        <w:rPr>
          <w:rFonts w:ascii="Times New Roman" w:hAnsi="Times New Roman"/>
          <w:color w:val="000000"/>
          <w:sz w:val="24"/>
        </w:rPr>
        <w:t>means the Equipment owned by AMC.</w:t>
      </w:r>
    </w:p>
    <w:p>
      <w:pPr>
        <w:pStyle w:val="TextBody"/>
        <w:bidi w:val="0"/>
        <w:spacing w:before="240" w:after="283"/>
        <w:jc w:val="left"/>
        <w:rPr/>
      </w:pPr>
      <w:r>
        <w:rPr>
          <w:color w:val="000000"/>
        </w:rPr>
        <w:t>“</w:t>
      </w:r>
      <w:r>
        <w:rPr>
          <w:rFonts w:ascii="Times New Roman" w:hAnsi="Times New Roman"/>
          <w:b/>
          <w:color w:val="000000"/>
          <w:sz w:val="24"/>
        </w:rPr>
        <w:t>AMC Information</w:t>
      </w:r>
      <w:r>
        <w:rPr>
          <w:rFonts w:ascii="Times New Roman" w:hAnsi="Times New Roman"/>
          <w:color w:val="000000"/>
          <w:sz w:val="20"/>
        </w:rPr>
        <w:t xml:space="preserve">” </w:t>
      </w:r>
      <w:r>
        <w:rPr>
          <w:rFonts w:ascii="Times New Roman" w:hAnsi="Times New Roman"/>
          <w:color w:val="000000"/>
          <w:sz w:val="24"/>
        </w:rPr>
        <w:t>means all Confidential Information supplied by AMC and its Affiliates.</w:t>
      </w:r>
    </w:p>
    <w:p>
      <w:pPr>
        <w:pStyle w:val="TextBody"/>
        <w:bidi w:val="0"/>
        <w:spacing w:before="240" w:after="283"/>
        <w:jc w:val="both"/>
        <w:rPr/>
      </w:pPr>
      <w:r>
        <w:rPr>
          <w:color w:val="000000"/>
        </w:rPr>
        <w:t>“</w:t>
      </w:r>
      <w:r>
        <w:rPr>
          <w:rFonts w:ascii="Times New Roman" w:hAnsi="Times New Roman"/>
          <w:b/>
          <w:color w:val="000000"/>
          <w:sz w:val="24"/>
        </w:rPr>
        <w:t>AMC Marks</w:t>
      </w:r>
      <w:r>
        <w:rPr>
          <w:rFonts w:ascii="Times New Roman" w:hAnsi="Times New Roman"/>
          <w:color w:val="000000"/>
          <w:sz w:val="20"/>
        </w:rPr>
        <w:t xml:space="preserve">” </w:t>
      </w:r>
      <w:r>
        <w:rPr>
          <w:rFonts w:ascii="Times New Roman" w:hAnsi="Times New Roman"/>
          <w:color w:val="000000"/>
          <w:sz w:val="24"/>
        </w:rPr>
        <w:t>means the trademarks, service marks, logos, slogans and/or designs owned by AMC or otherwise contributed by AMC for use under this Agreement, in any and all forms, formats and styles, including as may be used in the Brand (as defined herein), as may be modified from time-to-time all as notified to LLC from time-to-time by AMC.</w:t>
      </w:r>
    </w:p>
    <w:p>
      <w:pPr>
        <w:pStyle w:val="TextBody"/>
        <w:bidi w:val="0"/>
        <w:spacing w:before="240" w:after="283"/>
        <w:jc w:val="both"/>
        <w:rPr/>
      </w:pPr>
      <w:r>
        <w:rPr>
          <w:color w:val="000000"/>
        </w:rPr>
        <w:t>“</w:t>
      </w:r>
      <w:r>
        <w:rPr>
          <w:rFonts w:ascii="Times New Roman" w:hAnsi="Times New Roman"/>
          <w:b/>
          <w:color w:val="000000"/>
          <w:sz w:val="24"/>
        </w:rPr>
        <w:t>AMC Optional Termination Right</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9.03(a)</w:t>
      </w:r>
      <w:r>
        <w:rPr>
          <w:rFonts w:ascii="Times New Roman" w:hAnsi="Times New Roman"/>
          <w:color w:val="000000"/>
          <w:sz w:val="24"/>
        </w:rPr>
        <w:t>.</w:t>
      </w:r>
    </w:p>
    <w:p>
      <w:pPr>
        <w:pStyle w:val="TextBody"/>
        <w:bidi w:val="0"/>
        <w:spacing w:before="240" w:after="283"/>
        <w:jc w:val="left"/>
        <w:rPr/>
      </w:pPr>
      <w:r>
        <w:rPr>
          <w:color w:val="000000"/>
        </w:rPr>
        <w:t>“</w:t>
      </w:r>
      <w:r>
        <w:rPr>
          <w:rFonts w:ascii="Times New Roman" w:hAnsi="Times New Roman"/>
          <w:b/>
          <w:color w:val="000000"/>
          <w:sz w:val="24"/>
        </w:rPr>
        <w:t>AMC Property</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13.01(b)</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AMC Platinum Spot Attributable Revenue</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2.05(c)(i)(A)</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AMC Platinum Spot Revenue per Attendee</w:t>
      </w:r>
      <w:r>
        <w:rPr>
          <w:rFonts w:ascii="Times New Roman" w:hAnsi="Times New Roman"/>
          <w:color w:val="000000"/>
          <w:sz w:val="20"/>
        </w:rPr>
        <w:t xml:space="preserve">” </w:t>
      </w:r>
      <w:r>
        <w:rPr>
          <w:rFonts w:ascii="Times New Roman" w:hAnsi="Times New Roman"/>
          <w:color w:val="000000"/>
          <w:sz w:val="24"/>
        </w:rPr>
        <w:t>means, with respect to the applicable period, the AMC Platinum Spot Attributable Revenue for such period, divided by aggregate AMC Attendance during such period. For the avoidance of doubt, the AMC Platinum Spot Revenue per Attendee will exclude the AMC Attributable Revenue. For illustrative purposes only, if AMC Attendance for the applicable period is 100,000,000 and the AMC Platinum Spot Attributable Revenue for the same period is $10,000,000.00, then the AMC Platinum Spot Revenue per Attendee shall be $0.10.</w:t>
      </w:r>
    </w:p>
    <w:p>
      <w:pPr>
        <w:pStyle w:val="TextBody"/>
        <w:bidi w:val="0"/>
        <w:spacing w:before="240" w:after="283"/>
        <w:jc w:val="both"/>
        <w:rPr/>
      </w:pPr>
      <w:r>
        <w:rPr>
          <w:color w:val="000000"/>
        </w:rPr>
        <w:t>“</w:t>
      </w:r>
      <w:r>
        <w:rPr>
          <w:rFonts w:ascii="Times New Roman" w:hAnsi="Times New Roman"/>
          <w:b/>
          <w:color w:val="000000"/>
          <w:sz w:val="24"/>
        </w:rPr>
        <w:t>AMC Political Attributable Revenue</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Schedule 4.02</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AMC Premium Large Format Attendance</w:t>
      </w:r>
      <w:r>
        <w:rPr>
          <w:rFonts w:ascii="Times New Roman" w:hAnsi="Times New Roman"/>
          <w:color w:val="000000"/>
          <w:sz w:val="20"/>
        </w:rPr>
        <w:t xml:space="preserve">” </w:t>
      </w:r>
      <w:r>
        <w:rPr>
          <w:rFonts w:ascii="Times New Roman" w:hAnsi="Times New Roman"/>
          <w:color w:val="000000"/>
          <w:sz w:val="24"/>
        </w:rPr>
        <w:t>means an AMC Attendee that is in an auditorium with a Premium Large Format Screen.</w:t>
      </w:r>
      <w:r>
        <w:rPr>
          <w:rFonts w:ascii="Times New Roman" w:hAnsi="Times New Roman"/>
          <w:color w:val="000000"/>
          <w:sz w:val="20"/>
        </w:rPr>
        <w:t xml:space="preserve"> </w:t>
      </w:r>
    </w:p>
    <w:p>
      <w:pPr>
        <w:pStyle w:val="TextBody"/>
        <w:bidi w:val="0"/>
        <w:spacing w:before="240" w:after="283"/>
        <w:jc w:val="left"/>
        <w:rPr/>
      </w:pPr>
      <w:r>
        <w:rPr>
          <w:color w:val="000000"/>
        </w:rPr>
        <w:t>“</w:t>
      </w:r>
      <w:r>
        <w:rPr>
          <w:rFonts w:ascii="Times New Roman" w:hAnsi="Times New Roman"/>
          <w:b/>
          <w:color w:val="000000"/>
          <w:sz w:val="24"/>
        </w:rPr>
        <w:t>AMC Quality Standards</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7.03(c)</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b/>
          <w:color w:val="000000"/>
          <w:sz w:val="24"/>
        </w:rPr>
        <w:t>AMC Revenue per Attendee</w:t>
      </w:r>
      <w:r>
        <w:rPr>
          <w:rFonts w:ascii="Times New Roman" w:hAnsi="Times New Roman"/>
          <w:color w:val="000000"/>
          <w:sz w:val="20"/>
        </w:rPr>
        <w:t xml:space="preserve">” </w:t>
      </w:r>
      <w:r>
        <w:rPr>
          <w:rFonts w:ascii="Times New Roman" w:hAnsi="Times New Roman"/>
          <w:color w:val="000000"/>
          <w:sz w:val="24"/>
        </w:rPr>
        <w:t>means, with respect to the applicable period, the AMC Attributable Revenue for such period, divided by aggregate AMC Attendance during such period. For the avoidance of doubt, the AMC Revenue per Attendee will exclude the AMC Platinum Spot Attributable Revenue and the AMC Political Attributable Revenue. For illustrative purposes only, if AMC Attendance for the applicable period is 100,000,000 and the AMC Attributable Revenue for the same period is $50,000,000.00, then the AMC Revenue per Attendee shall be $0.50.</w:t>
      </w:r>
    </w:p>
    <w:p>
      <w:pPr>
        <w:pStyle w:val="TextBody"/>
        <w:bidi w:val="0"/>
        <w:spacing w:before="240" w:after="283"/>
        <w:jc w:val="both"/>
        <w:rPr/>
      </w:pPr>
      <w:r>
        <w:rPr>
          <w:color w:val="000000"/>
        </w:rPr>
        <w:t>“</w:t>
      </w:r>
      <w:r>
        <w:rPr>
          <w:rFonts w:ascii="Times New Roman" w:hAnsi="Times New Roman"/>
          <w:b/>
          <w:color w:val="000000"/>
          <w:sz w:val="24"/>
        </w:rPr>
        <w:t>AMC Revenue per Attendee Grid</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2.05(b)</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AMC Standard Format Attendance</w:t>
      </w:r>
      <w:r>
        <w:rPr>
          <w:rFonts w:ascii="Times New Roman" w:hAnsi="Times New Roman"/>
          <w:color w:val="000000"/>
          <w:sz w:val="20"/>
        </w:rPr>
        <w:t xml:space="preserve">” </w:t>
      </w:r>
      <w:r>
        <w:rPr>
          <w:rFonts w:ascii="Times New Roman" w:hAnsi="Times New Roman"/>
          <w:color w:val="000000"/>
          <w:sz w:val="24"/>
        </w:rPr>
        <w:t>means an AMC Attendee that is in an auditorium with a Standard Format Screen.</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b/>
          <w:color w:val="000000"/>
          <w:sz w:val="24"/>
        </w:rPr>
        <w:t>AMC Tonality Requirements</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Schedule 4.02</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American Multi-Cinema</w:t>
      </w:r>
      <w:r>
        <w:rPr>
          <w:rFonts w:ascii="Times New Roman" w:hAnsi="Times New Roman"/>
          <w:color w:val="000000"/>
          <w:sz w:val="20"/>
        </w:rPr>
        <w:t xml:space="preserve">” </w:t>
      </w:r>
      <w:r>
        <w:rPr>
          <w:rFonts w:ascii="Times New Roman" w:hAnsi="Times New Roman"/>
          <w:color w:val="000000"/>
          <w:sz w:val="24"/>
        </w:rPr>
        <w:t>has the meaning assigned to it in the preamble to this Agreement.</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4"/>
        </w:rPr>
        <w:t>Annual Minimum Guarantee</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2.05(e)</w:t>
      </w:r>
      <w:r>
        <w:rPr>
          <w:rFonts w:ascii="Times New Roman" w:hAnsi="Times New Roman"/>
          <w:color w:val="000000"/>
          <w:sz w:val="24"/>
        </w:rPr>
        <w:t>.</w:t>
      </w:r>
    </w:p>
    <w:p>
      <w:pPr>
        <w:pStyle w:val="TextBody"/>
        <w:bidi w:val="0"/>
        <w:spacing w:before="240" w:after="283"/>
        <w:jc w:val="left"/>
        <w:rPr/>
      </w:pPr>
      <w:r>
        <w:rPr>
          <w:color w:val="000000"/>
        </w:rPr>
        <w:t>“</w:t>
      </w:r>
      <w:r>
        <w:rPr>
          <w:rFonts w:ascii="Times New Roman" w:hAnsi="Times New Roman"/>
          <w:b/>
          <w:color w:val="000000"/>
          <w:sz w:val="24"/>
        </w:rPr>
        <w:t>Assignment and Assumption</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15.08</w:t>
      </w:r>
      <w:r>
        <w:rPr>
          <w:rFonts w:ascii="Times New Roman" w:hAnsi="Times New Roman"/>
          <w:color w:val="000000"/>
          <w:sz w:val="24"/>
        </w:rPr>
        <w:t>.</w:t>
      </w:r>
    </w:p>
    <w:p>
      <w:pPr>
        <w:pStyle w:val="TextBody"/>
        <w:bidi w:val="0"/>
        <w:spacing w:before="240" w:after="283"/>
        <w:jc w:val="left"/>
        <w:rPr/>
      </w:pPr>
      <w:r>
        <w:rPr>
          <w:color w:val="000000"/>
        </w:rPr>
        <w:t>“</w:t>
      </w:r>
      <w:r>
        <w:rPr>
          <w:rFonts w:ascii="Times New Roman" w:hAnsi="Times New Roman"/>
          <w:b/>
          <w:color w:val="000000"/>
          <w:sz w:val="24"/>
        </w:rPr>
        <w:t>Associated Provisions</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12.06</w:t>
      </w:r>
      <w:r>
        <w:rPr>
          <w:rFonts w:ascii="Times New Roman" w:hAnsi="Times New Roman"/>
          <w:color w:val="000000"/>
          <w:sz w:val="24"/>
        </w:rPr>
        <w:t>.</w:t>
      </w:r>
    </w:p>
    <w:p>
      <w:pPr>
        <w:pStyle w:val="TextBody"/>
        <w:bidi w:val="0"/>
        <w:spacing w:before="240" w:after="283"/>
        <w:jc w:val="left"/>
        <w:rPr/>
      </w:pPr>
      <w:r>
        <w:rPr>
          <w:color w:val="000000"/>
        </w:rPr>
        <w:t>“</w:t>
      </w:r>
      <w:r>
        <w:rPr>
          <w:rFonts w:ascii="Times New Roman" w:hAnsi="Times New Roman"/>
          <w:b/>
          <w:color w:val="000000"/>
          <w:sz w:val="24"/>
        </w:rPr>
        <w:t>Bankruptcy Code</w:t>
      </w:r>
      <w:r>
        <w:rPr>
          <w:rFonts w:ascii="Times New Roman" w:hAnsi="Times New Roman"/>
          <w:color w:val="000000"/>
          <w:sz w:val="20"/>
        </w:rPr>
        <w:t xml:space="preserve">” </w:t>
      </w:r>
      <w:r>
        <w:rPr>
          <w:rFonts w:ascii="Times New Roman" w:hAnsi="Times New Roman"/>
          <w:color w:val="000000"/>
          <w:sz w:val="24"/>
        </w:rPr>
        <w:t>means Title 11 of the United States Code (11 U.S.C. §101 et seq.), as amended from time to time.</w:t>
      </w:r>
    </w:p>
    <w:p>
      <w:pPr>
        <w:pStyle w:val="TextBody"/>
        <w:bidi w:val="0"/>
        <w:spacing w:before="240" w:after="283"/>
        <w:jc w:val="both"/>
        <w:rPr/>
      </w:pPr>
      <w:r>
        <w:rPr>
          <w:color w:val="000000"/>
        </w:rPr>
        <w:t>“</w:t>
      </w:r>
      <w:r>
        <w:rPr>
          <w:rFonts w:ascii="Times New Roman" w:hAnsi="Times New Roman"/>
          <w:b/>
          <w:color w:val="000000"/>
          <w:sz w:val="24"/>
        </w:rPr>
        <w:t>Beverage Agreement</w:t>
      </w:r>
      <w:r>
        <w:rPr>
          <w:rFonts w:ascii="Times New Roman" w:hAnsi="Times New Roman"/>
          <w:color w:val="000000"/>
          <w:sz w:val="20"/>
        </w:rPr>
        <w:t xml:space="preserve">” </w:t>
      </w:r>
      <w:r>
        <w:rPr>
          <w:rFonts w:ascii="Times New Roman" w:hAnsi="Times New Roman"/>
          <w:color w:val="000000"/>
          <w:sz w:val="24"/>
        </w:rPr>
        <w:t>means the Marketing, Advertising and Brand Presence Agreement by and between Coca-Cola North America, a division of The Coca-Cola Company, and AMC, dated as of January 1, 2021, and all exhibits and amendments thereto</w:t>
      </w:r>
      <w:r>
        <w:rPr>
          <w:rFonts w:ascii="Times New Roman" w:hAnsi="Times New Roman"/>
          <w:b/>
          <w:color w:val="000000"/>
          <w:sz w:val="24"/>
        </w:rPr>
        <w:t xml:space="preserve">, </w:t>
      </w:r>
      <w:r>
        <w:rPr>
          <w:rFonts w:ascii="Times New Roman" w:hAnsi="Times New Roman"/>
          <w:color w:val="000000"/>
          <w:sz w:val="24"/>
        </w:rPr>
        <w:t>as such agreement may be amended from time to time, and any subsequent agreements entered into by AMC and its beverage concessionaires at the expiration or termination of the agreement referenced above which is in effect on the Execution Date.</w:t>
      </w:r>
    </w:p>
    <w:p>
      <w:pPr>
        <w:pStyle w:val="TextBody"/>
        <w:bidi w:val="0"/>
        <w:spacing w:before="240" w:after="283"/>
        <w:jc w:val="left"/>
        <w:rPr/>
      </w:pPr>
      <w:r>
        <w:rPr>
          <w:color w:val="000000"/>
        </w:rPr>
        <w:t>“</w:t>
      </w:r>
      <w:r>
        <w:rPr>
          <w:rFonts w:ascii="Times New Roman" w:hAnsi="Times New Roman"/>
          <w:b/>
          <w:color w:val="000000"/>
          <w:sz w:val="24"/>
        </w:rPr>
        <w:t>Beverage Agreement Advertising Rate</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4.05(a)</w:t>
      </w:r>
      <w:r>
        <w:rPr>
          <w:rFonts w:ascii="Times New Roman" w:hAnsi="Times New Roman"/>
          <w:color w:val="000000"/>
          <w:sz w:val="24"/>
        </w:rPr>
        <w:t>.</w:t>
      </w:r>
    </w:p>
    <w:p>
      <w:pPr>
        <w:pStyle w:val="TextBody"/>
        <w:bidi w:val="0"/>
        <w:spacing w:before="240" w:after="283"/>
        <w:jc w:val="left"/>
        <w:rPr/>
      </w:pPr>
      <w:r>
        <w:rPr>
          <w:color w:val="000000"/>
        </w:rPr>
        <w:t>“</w:t>
      </w:r>
      <w:r>
        <w:rPr>
          <w:rFonts w:ascii="Times New Roman" w:hAnsi="Times New Roman"/>
          <w:b/>
          <w:color w:val="000000"/>
          <w:sz w:val="24"/>
        </w:rPr>
        <w:t>Beverage Compliance Report</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4.09(b)(i)</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left"/>
        <w:rPr/>
      </w:pPr>
      <w:r>
        <w:rPr>
          <w:color w:val="000000"/>
        </w:rPr>
        <w:t>“</w:t>
      </w:r>
      <w:r>
        <w:rPr>
          <w:rFonts w:ascii="Times New Roman" w:hAnsi="Times New Roman"/>
          <w:b/>
          <w:color w:val="000000"/>
          <w:sz w:val="24"/>
        </w:rPr>
        <w:t>Brand</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4.04(a)</w:t>
      </w:r>
      <w:r>
        <w:rPr>
          <w:rFonts w:ascii="Times New Roman" w:hAnsi="Times New Roman"/>
          <w:color w:val="000000"/>
          <w:sz w:val="24"/>
        </w:rPr>
        <w:t>.</w:t>
      </w:r>
    </w:p>
    <w:p>
      <w:pPr>
        <w:pStyle w:val="TextBody"/>
        <w:bidi w:val="0"/>
        <w:spacing w:before="240" w:after="283"/>
        <w:jc w:val="left"/>
        <w:rPr/>
      </w:pPr>
      <w:r>
        <w:rPr>
          <w:color w:val="000000"/>
        </w:rPr>
        <w:t>“</w:t>
      </w:r>
      <w:r>
        <w:rPr>
          <w:rFonts w:ascii="Times New Roman" w:hAnsi="Times New Roman"/>
          <w:b/>
          <w:color w:val="000000"/>
          <w:sz w:val="24"/>
        </w:rPr>
        <w:t>Branded Slots</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4.04(a)</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t>
      </w:r>
    </w:p>
    <w:p>
      <w:pPr>
        <w:pStyle w:val="TextBody"/>
        <w:bidi w:val="0"/>
        <w:spacing w:before="240" w:after="283"/>
        <w:jc w:val="left"/>
        <w:rPr/>
      </w:pPr>
      <w:r>
        <w:rPr>
          <w:color w:val="000000"/>
        </w:rPr>
        <w:t>“</w:t>
      </w:r>
      <w:r>
        <w:rPr>
          <w:rFonts w:ascii="Times New Roman" w:hAnsi="Times New Roman"/>
          <w:b/>
          <w:color w:val="000000"/>
          <w:sz w:val="24"/>
        </w:rPr>
        <w:t>Cinemark</w:t>
      </w:r>
      <w:r>
        <w:rPr>
          <w:rFonts w:ascii="Times New Roman" w:hAnsi="Times New Roman"/>
          <w:color w:val="000000"/>
          <w:sz w:val="20"/>
        </w:rPr>
        <w:t xml:space="preserve">” </w:t>
      </w:r>
      <w:r>
        <w:rPr>
          <w:rFonts w:ascii="Times New Roman" w:hAnsi="Times New Roman"/>
          <w:color w:val="000000"/>
          <w:sz w:val="24"/>
        </w:rPr>
        <w:t>means Cinemark USA, Inc., a Texas corporation.</w:t>
      </w:r>
    </w:p>
    <w:p>
      <w:pPr>
        <w:pStyle w:val="TextBody"/>
        <w:bidi w:val="0"/>
        <w:spacing w:before="240" w:after="283"/>
        <w:jc w:val="both"/>
        <w:rPr/>
      </w:pPr>
      <w:r>
        <w:rPr>
          <w:color w:val="000000"/>
        </w:rPr>
        <w:t>“</w:t>
      </w:r>
      <w:r>
        <w:rPr>
          <w:rFonts w:ascii="Times New Roman" w:hAnsi="Times New Roman"/>
          <w:b/>
          <w:color w:val="000000"/>
          <w:sz w:val="24"/>
        </w:rPr>
        <w:t>Cinemark Exhibitor Agreement</w:t>
      </w:r>
      <w:r>
        <w:rPr>
          <w:rFonts w:ascii="Times New Roman" w:hAnsi="Times New Roman"/>
          <w:color w:val="000000"/>
          <w:sz w:val="20"/>
        </w:rPr>
        <w:t xml:space="preserve">” </w:t>
      </w:r>
      <w:r>
        <w:rPr>
          <w:rFonts w:ascii="Times New Roman" w:hAnsi="Times New Roman"/>
          <w:color w:val="000000"/>
          <w:sz w:val="24"/>
        </w:rPr>
        <w:t>means the Amended and Restated Exhibitor Services Agreement between LLC and Cinemark, dated December 26, 2013, as the same may be amended, supplemented or otherwise modified from time to time.</w:t>
      </w:r>
    </w:p>
    <w:p>
      <w:pPr>
        <w:pStyle w:val="TextBody"/>
        <w:bidi w:val="0"/>
        <w:spacing w:before="240" w:after="283"/>
        <w:jc w:val="left"/>
        <w:rPr/>
      </w:pPr>
      <w:r>
        <w:rPr>
          <w:color w:val="000000"/>
        </w:rPr>
        <w:t>“</w:t>
      </w:r>
      <w:r>
        <w:rPr>
          <w:rFonts w:ascii="Times New Roman" w:hAnsi="Times New Roman"/>
          <w:b/>
          <w:color w:val="000000"/>
          <w:sz w:val="24"/>
        </w:rPr>
        <w:t>Client Limitation</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4.06(b)(i)</w:t>
      </w:r>
      <w:r>
        <w:rPr>
          <w:rFonts w:ascii="Times New Roman" w:hAnsi="Times New Roman"/>
          <w:color w:val="000000"/>
          <w:sz w:val="24"/>
        </w:rPr>
        <w:t>.</w:t>
      </w:r>
    </w:p>
    <w:p>
      <w:pPr>
        <w:pStyle w:val="TextBody"/>
        <w:bidi w:val="0"/>
        <w:spacing w:before="240" w:after="283"/>
        <w:jc w:val="left"/>
        <w:rPr/>
      </w:pPr>
      <w:r>
        <w:rPr>
          <w:color w:val="000000"/>
        </w:rPr>
        <w:t>“</w:t>
      </w:r>
      <w:r>
        <w:rPr>
          <w:rFonts w:ascii="Times New Roman" w:hAnsi="Times New Roman"/>
          <w:b/>
          <w:color w:val="000000"/>
          <w:sz w:val="24"/>
        </w:rPr>
        <w:t>Concessions</w:t>
      </w:r>
      <w:r>
        <w:rPr>
          <w:rFonts w:ascii="Times New Roman" w:hAnsi="Times New Roman"/>
          <w:color w:val="000000"/>
          <w:sz w:val="20"/>
        </w:rPr>
        <w:t xml:space="preserve">” </w:t>
      </w:r>
      <w:r>
        <w:rPr>
          <w:rFonts w:ascii="Times New Roman" w:hAnsi="Times New Roman"/>
          <w:color w:val="000000"/>
          <w:sz w:val="24"/>
        </w:rPr>
        <w:t>means popcorn, candy, and other food and beverage items, including alcohol sold in a Theatre.</w:t>
      </w:r>
    </w:p>
    <w:p>
      <w:pPr>
        <w:pStyle w:val="TextBody"/>
        <w:bidi w:val="0"/>
        <w:spacing w:before="240" w:after="283"/>
        <w:jc w:val="both"/>
        <w:rPr/>
      </w:pPr>
      <w:r>
        <w:rPr>
          <w:color w:val="000000"/>
        </w:rPr>
        <w:t>“</w:t>
      </w:r>
      <w:r>
        <w:rPr>
          <w:rFonts w:ascii="Times New Roman" w:hAnsi="Times New Roman"/>
          <w:b/>
          <w:color w:val="000000"/>
          <w:sz w:val="24"/>
        </w:rPr>
        <w:t>Confidential Information</w:t>
      </w:r>
      <w:r>
        <w:rPr>
          <w:rFonts w:ascii="Times New Roman" w:hAnsi="Times New Roman"/>
          <w:color w:val="000000"/>
          <w:sz w:val="20"/>
        </w:rPr>
        <w:t xml:space="preserve">” </w:t>
      </w:r>
      <w:r>
        <w:rPr>
          <w:rFonts w:ascii="Times New Roman" w:hAnsi="Times New Roman"/>
          <w:color w:val="000000"/>
          <w:sz w:val="24"/>
        </w:rPr>
        <w:t>means all documents and information concerning any other Party hereto furnished it by such other Party or its representatives in connection with the transactions contemplated by this Agreement (together with confidential information, including but not limited to Intellectual Property and other Proprietary Information of LLC), and shall include, by way of example and not limitation, the LLC Property, the AMC Property, the LLC Derived Works and the AMC Derived Works. Notwithstanding the foregoing, Confidential Information shall not include any information that can be shown to have been (i) previously known by the Party to which it is furnished lawfully and without breaching or having breached an obligation of such Party or the disclosing Party to keep such documents and information confidential, (ii) in the public domain through no fault of the disclosing Party, or (iii) independently developed by the disclosing Party without using or having used the Confidential Information.</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4"/>
        </w:rPr>
        <w:t>Contract Year</w:t>
      </w:r>
      <w:r>
        <w:rPr>
          <w:rFonts w:ascii="Times New Roman" w:hAnsi="Times New Roman"/>
          <w:color w:val="000000"/>
          <w:sz w:val="20"/>
        </w:rPr>
        <w:t xml:space="preserve">” </w:t>
      </w:r>
      <w:r>
        <w:rPr>
          <w:rFonts w:ascii="Times New Roman" w:hAnsi="Times New Roman"/>
          <w:color w:val="000000"/>
          <w:sz w:val="24"/>
        </w:rPr>
        <w:t>means each twelve (12)-month period during the Term, commencing on the Effective Date.</w:t>
      </w:r>
    </w:p>
    <w:p>
      <w:pPr>
        <w:pStyle w:val="TextBody"/>
        <w:bidi w:val="0"/>
        <w:spacing w:before="240" w:after="283"/>
        <w:jc w:val="left"/>
        <w:rPr/>
      </w:pPr>
      <w:r>
        <w:rPr>
          <w:color w:val="000000"/>
        </w:rPr>
        <w:t>“</w:t>
      </w:r>
      <w:r>
        <w:rPr>
          <w:rFonts w:ascii="Times New Roman" w:hAnsi="Times New Roman"/>
          <w:b/>
          <w:color w:val="000000"/>
          <w:sz w:val="24"/>
        </w:rPr>
        <w:t>Costs</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11.01(a)</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Digital Advertising Agreement</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6.02</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Digital Carousel</w:t>
      </w:r>
      <w:r>
        <w:rPr>
          <w:rFonts w:ascii="Times New Roman" w:hAnsi="Times New Roman"/>
          <w:color w:val="000000"/>
          <w:sz w:val="20"/>
        </w:rPr>
        <w:t xml:space="preserve">” </w:t>
      </w:r>
      <w:r>
        <w:rPr>
          <w:rFonts w:ascii="Times New Roman" w:hAnsi="Times New Roman"/>
          <w:color w:val="000000"/>
          <w:sz w:val="24"/>
        </w:rPr>
        <w:t>means a loop of slide advertising with minimal branding and entertainment content which is displayed before the Pre-Feature Program in Theatres via the Digital Content Network.</w:t>
      </w:r>
    </w:p>
    <w:p>
      <w:pPr>
        <w:pStyle w:val="TextBody"/>
        <w:bidi w:val="0"/>
        <w:spacing w:before="240" w:after="283"/>
        <w:jc w:val="left"/>
        <w:rPr/>
      </w:pPr>
      <w:r>
        <w:rPr>
          <w:color w:val="000000"/>
        </w:rPr>
        <w:t>“</w:t>
      </w:r>
      <w:r>
        <w:rPr>
          <w:rFonts w:ascii="Times New Roman" w:hAnsi="Times New Roman"/>
          <w:b/>
          <w:color w:val="000000"/>
          <w:sz w:val="24"/>
        </w:rPr>
        <w:t>Digital Cinema Equipment</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3.06(a)</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Digital Cinema Screen</w:t>
      </w:r>
      <w:r>
        <w:rPr>
          <w:rFonts w:ascii="Times New Roman" w:hAnsi="Times New Roman"/>
          <w:color w:val="000000"/>
          <w:sz w:val="20"/>
        </w:rPr>
        <w:t xml:space="preserve">” </w:t>
      </w:r>
      <w:r>
        <w:rPr>
          <w:rFonts w:ascii="Times New Roman" w:hAnsi="Times New Roman"/>
          <w:color w:val="000000"/>
          <w:sz w:val="24"/>
        </w:rPr>
        <w:t>means a screen in an auditorium in a Theatre that is equipped with Digital Cinema Equipment and such Digital Cinema Equipment is operational to provide the Advertising Services.</w:t>
      </w:r>
    </w:p>
    <w:p>
      <w:pPr>
        <w:pStyle w:val="TextBody"/>
        <w:bidi w:val="0"/>
        <w:spacing w:before="240" w:after="283"/>
        <w:jc w:val="both"/>
        <w:rPr/>
      </w:pPr>
      <w:r>
        <w:rPr>
          <w:color w:val="000000"/>
        </w:rPr>
        <w:t>“</w:t>
      </w:r>
      <w:r>
        <w:rPr>
          <w:rFonts w:ascii="Times New Roman" w:hAnsi="Times New Roman"/>
          <w:b/>
          <w:color w:val="000000"/>
          <w:sz w:val="24"/>
        </w:rPr>
        <w:t>Digital Cinema Services</w:t>
      </w:r>
      <w:r>
        <w:rPr>
          <w:rFonts w:ascii="Times New Roman" w:hAnsi="Times New Roman"/>
          <w:color w:val="000000"/>
          <w:sz w:val="20"/>
        </w:rPr>
        <w:t xml:space="preserve">” </w:t>
      </w:r>
      <w:r>
        <w:rPr>
          <w:rFonts w:ascii="Times New Roman" w:hAnsi="Times New Roman"/>
          <w:color w:val="000000"/>
          <w:sz w:val="24"/>
        </w:rPr>
        <w:t>means services related to the digital playback and display of feature films at a level of quality commensurate with that of 35 mm film release prints that includes high-resolution film scanners, digital image compression, high-speed data networking and storage, and advanced digital projection.</w:t>
      </w:r>
    </w:p>
    <w:p>
      <w:pPr>
        <w:pStyle w:val="TextBody"/>
        <w:bidi w:val="0"/>
        <w:spacing w:before="240" w:after="283"/>
        <w:jc w:val="both"/>
        <w:rPr/>
      </w:pPr>
      <w:r>
        <w:rPr>
          <w:color w:val="000000"/>
        </w:rPr>
        <w:t>“</w:t>
      </w:r>
      <w:r>
        <w:rPr>
          <w:rFonts w:ascii="Times New Roman" w:hAnsi="Times New Roman"/>
          <w:b/>
          <w:color w:val="000000"/>
          <w:sz w:val="24"/>
        </w:rPr>
        <w:t>Digital Content Network</w:t>
      </w:r>
      <w:r>
        <w:rPr>
          <w:rFonts w:ascii="Times New Roman" w:hAnsi="Times New Roman"/>
          <w:color w:val="000000"/>
          <w:sz w:val="20"/>
        </w:rPr>
        <w:t xml:space="preserve">” </w:t>
      </w:r>
      <w:r>
        <w:rPr>
          <w:rFonts w:ascii="Times New Roman" w:hAnsi="Times New Roman"/>
          <w:color w:val="000000"/>
          <w:sz w:val="24"/>
        </w:rPr>
        <w:t>means a network of LLC Equipment and third-party equipment and other facilities which provides for the electronic transmission of digital content</w:t>
      </w:r>
      <w:r>
        <w:rPr>
          <w:rFonts w:ascii="Times New Roman" w:hAnsi="Times New Roman"/>
          <w:b/>
          <w:color w:val="000000"/>
          <w:sz w:val="24"/>
        </w:rPr>
        <w:t xml:space="preserve">, </w:t>
      </w:r>
      <w:r>
        <w:rPr>
          <w:rFonts w:ascii="Times New Roman" w:hAnsi="Times New Roman"/>
          <w:color w:val="000000"/>
          <w:sz w:val="24"/>
        </w:rPr>
        <w:t>directly or indirectly, from a centrally-controlled location to Theatres, resulting in the “on- screen” exhibition of such content in such Theatres, either in Theatre auditoriums or on Lobby Screens.</w:t>
      </w:r>
    </w:p>
    <w:p>
      <w:pPr>
        <w:pStyle w:val="TextBody"/>
        <w:bidi w:val="0"/>
        <w:spacing w:before="240" w:after="283"/>
        <w:jc w:val="left"/>
        <w:rPr/>
      </w:pPr>
      <w:r>
        <w:rPr>
          <w:color w:val="000000"/>
        </w:rPr>
        <w:t>“</w:t>
      </w:r>
      <w:r>
        <w:rPr>
          <w:rFonts w:ascii="Times New Roman" w:hAnsi="Times New Roman"/>
          <w:b/>
          <w:color w:val="000000"/>
          <w:sz w:val="24"/>
        </w:rPr>
        <w:t>Digital Content Service</w:t>
      </w:r>
      <w:r>
        <w:rPr>
          <w:rFonts w:ascii="Times New Roman" w:hAnsi="Times New Roman"/>
          <w:color w:val="000000"/>
          <w:sz w:val="20"/>
        </w:rPr>
        <w:t xml:space="preserve">” </w:t>
      </w:r>
      <w:r>
        <w:rPr>
          <w:rFonts w:ascii="Times New Roman" w:hAnsi="Times New Roman"/>
          <w:color w:val="000000"/>
          <w:sz w:val="24"/>
        </w:rPr>
        <w:t>means the Pre-Feature Program, Policy Trailer and the Lobby Entertainment Program.</w:t>
      </w:r>
    </w:p>
    <w:p>
      <w:pPr>
        <w:pStyle w:val="TextBody"/>
        <w:bidi w:val="0"/>
        <w:spacing w:before="240" w:after="283"/>
        <w:jc w:val="left"/>
        <w:rPr/>
      </w:pPr>
      <w:r>
        <w:rPr>
          <w:color w:val="000000"/>
        </w:rPr>
        <w:t>“</w:t>
      </w:r>
      <w:r>
        <w:rPr>
          <w:rFonts w:ascii="Times New Roman" w:hAnsi="Times New Roman"/>
          <w:b/>
          <w:color w:val="000000"/>
          <w:sz w:val="24"/>
        </w:rPr>
        <w:t>Digital Programming Event</w:t>
      </w:r>
      <w:r>
        <w:rPr>
          <w:rFonts w:ascii="Times New Roman" w:hAnsi="Times New Roman"/>
          <w:color w:val="000000"/>
          <w:sz w:val="20"/>
        </w:rPr>
        <w:t xml:space="preserve">” </w:t>
      </w:r>
      <w:r>
        <w:rPr>
          <w:rFonts w:ascii="Times New Roman" w:hAnsi="Times New Roman"/>
          <w:color w:val="000000"/>
          <w:sz w:val="24"/>
        </w:rPr>
        <w:t>means any programming exhibited in Theatres that is not a feature film.</w:t>
      </w:r>
      <w:r>
        <w:rPr>
          <w:rFonts w:ascii="Times New Roman" w:hAnsi="Times New Roman"/>
          <w:color w:val="000000"/>
          <w:sz w:val="20"/>
        </w:rPr>
        <w:t xml:space="preserve"> </w:t>
      </w:r>
    </w:p>
    <w:p>
      <w:pPr>
        <w:pStyle w:val="TextBody"/>
        <w:bidi w:val="0"/>
        <w:spacing w:before="240" w:after="283"/>
        <w:jc w:val="left"/>
        <w:rPr/>
      </w:pPr>
      <w:r>
        <w:rPr>
          <w:color w:val="000000"/>
        </w:rPr>
        <w:t>“</w:t>
      </w:r>
      <w:r>
        <w:rPr>
          <w:rFonts w:ascii="Times New Roman" w:hAnsi="Times New Roman"/>
          <w:b/>
          <w:color w:val="000000"/>
          <w:sz w:val="24"/>
        </w:rPr>
        <w:t>Digital Programming Event Simulcast</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4.16</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left"/>
        <w:rPr/>
      </w:pPr>
      <w:r>
        <w:rPr>
          <w:color w:val="000000"/>
        </w:rPr>
        <w:t>“</w:t>
      </w:r>
      <w:r>
        <w:rPr>
          <w:rFonts w:ascii="Times New Roman" w:hAnsi="Times New Roman"/>
          <w:b/>
          <w:color w:val="000000"/>
          <w:sz w:val="24"/>
        </w:rPr>
        <w:t>Digital Screen</w:t>
      </w:r>
      <w:r>
        <w:rPr>
          <w:rFonts w:ascii="Times New Roman" w:hAnsi="Times New Roman"/>
          <w:color w:val="000000"/>
          <w:sz w:val="20"/>
        </w:rPr>
        <w:t xml:space="preserve">” </w:t>
      </w:r>
      <w:r>
        <w:rPr>
          <w:rFonts w:ascii="Times New Roman" w:hAnsi="Times New Roman"/>
          <w:color w:val="000000"/>
          <w:sz w:val="24"/>
        </w:rPr>
        <w:t>means a screen in an auditorium of a Digitized Theatre.</w:t>
      </w:r>
    </w:p>
    <w:p>
      <w:pPr>
        <w:pStyle w:val="TextBody"/>
        <w:bidi w:val="0"/>
        <w:spacing w:before="240" w:after="283"/>
        <w:jc w:val="both"/>
        <w:rPr/>
      </w:pPr>
      <w:r>
        <w:rPr>
          <w:color w:val="000000"/>
        </w:rPr>
        <w:t>“</w:t>
      </w:r>
      <w:r>
        <w:rPr>
          <w:rFonts w:ascii="Times New Roman" w:hAnsi="Times New Roman"/>
          <w:b/>
          <w:color w:val="000000"/>
          <w:sz w:val="24"/>
        </w:rPr>
        <w:t>Digitized Theatres</w:t>
      </w:r>
      <w:r>
        <w:rPr>
          <w:rFonts w:ascii="Times New Roman" w:hAnsi="Times New Roman"/>
          <w:color w:val="000000"/>
          <w:sz w:val="20"/>
        </w:rPr>
        <w:t xml:space="preserve">” </w:t>
      </w:r>
      <w:r>
        <w:rPr>
          <w:rFonts w:ascii="Times New Roman" w:hAnsi="Times New Roman"/>
          <w:color w:val="000000"/>
          <w:sz w:val="24"/>
        </w:rPr>
        <w:t>means all Theatres that are connected to the Digital Content Network, as of the Execution Date, and all Theatres that subsequently connect to the Digital Content Network, as of the date such connection is established</w:t>
      </w:r>
      <w:r>
        <w:rPr>
          <w:rFonts w:ascii="Times New Roman" w:hAnsi="Times New Roman"/>
          <w:b/>
          <w:color w:val="000000"/>
          <w:sz w:val="24"/>
        </w:rPr>
        <w:t>.</w:t>
      </w:r>
    </w:p>
    <w:p>
      <w:pPr>
        <w:pStyle w:val="TextBody"/>
        <w:bidi w:val="0"/>
        <w:spacing w:before="240" w:after="283"/>
        <w:jc w:val="both"/>
        <w:rPr/>
      </w:pPr>
      <w:r>
        <w:rPr>
          <w:color w:val="000000"/>
        </w:rPr>
        <w:t>“</w:t>
      </w:r>
      <w:r>
        <w:rPr>
          <w:rFonts w:ascii="Times New Roman" w:hAnsi="Times New Roman"/>
          <w:b/>
          <w:color w:val="000000"/>
          <w:sz w:val="24"/>
        </w:rPr>
        <w:t>Disposition</w:t>
      </w:r>
      <w:r>
        <w:rPr>
          <w:rFonts w:ascii="Times New Roman" w:hAnsi="Times New Roman"/>
          <w:color w:val="000000"/>
          <w:sz w:val="20"/>
        </w:rPr>
        <w:t xml:space="preserve">” </w:t>
      </w:r>
      <w:r>
        <w:rPr>
          <w:rFonts w:ascii="Times New Roman" w:hAnsi="Times New Roman"/>
          <w:color w:val="000000"/>
          <w:sz w:val="24"/>
        </w:rPr>
        <w:t>(including the term “</w:t>
      </w:r>
      <w:r>
        <w:rPr>
          <w:rFonts w:ascii="Times New Roman" w:hAnsi="Times New Roman"/>
          <w:b/>
          <w:color w:val="000000"/>
          <w:sz w:val="24"/>
        </w:rPr>
        <w:t>Disposed</w:t>
      </w:r>
      <w:r>
        <w:rPr>
          <w:rFonts w:ascii="Times New Roman" w:hAnsi="Times New Roman"/>
          <w:color w:val="000000"/>
          <w:sz w:val="20"/>
        </w:rPr>
        <w:t>”</w:t>
      </w:r>
      <w:r>
        <w:rPr>
          <w:rFonts w:ascii="Times New Roman" w:hAnsi="Times New Roman"/>
          <w:color w:val="000000"/>
          <w:sz w:val="24"/>
        </w:rPr>
        <w:t xml:space="preserve">) has the meaning assigned to it in </w:t>
      </w:r>
      <w:r>
        <w:rPr>
          <w:rFonts w:ascii="Times New Roman" w:hAnsi="Times New Roman"/>
          <w:color w:val="000000"/>
          <w:sz w:val="24"/>
          <w:u w:val="single"/>
        </w:rPr>
        <w:t>Section 2.03</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Dolby Cinema Screen</w:t>
      </w:r>
      <w:r>
        <w:rPr>
          <w:rFonts w:ascii="Times New Roman" w:hAnsi="Times New Roman"/>
          <w:color w:val="000000"/>
          <w:sz w:val="20"/>
        </w:rPr>
        <w:t xml:space="preserve">” </w:t>
      </w:r>
      <w:r>
        <w:rPr>
          <w:rFonts w:ascii="Times New Roman" w:hAnsi="Times New Roman"/>
          <w:color w:val="000000"/>
          <w:sz w:val="24"/>
        </w:rPr>
        <w:t>means Theatre screens dedicated to the exhibition of films using “Dolby Cinema” technology that include both Dolby Vision, or a replacement technology, and Dolby Atmos, or a replacement technology. Any Theatre screen that utilizes only one aspect of Dolby’s technology or that is not marketed specifically by AMC as a premium product offering will not be Dolby Cinema Screens.</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4"/>
        </w:rPr>
        <w:t>Dual Interface Architecture</w:t>
      </w:r>
      <w:r>
        <w:rPr>
          <w:rFonts w:ascii="Times New Roman" w:hAnsi="Times New Roman"/>
          <w:color w:val="000000"/>
          <w:sz w:val="20"/>
        </w:rPr>
        <w:t xml:space="preserve">” </w:t>
      </w:r>
      <w:r>
        <w:rPr>
          <w:rFonts w:ascii="Times New Roman" w:hAnsi="Times New Roman"/>
          <w:color w:val="000000"/>
          <w:sz w:val="24"/>
        </w:rPr>
        <w:t>means a delivery system in which the SMS and the DCN screen player connect to the same digital cinema projector (one projector with two play-back servers).</w:t>
      </w:r>
    </w:p>
    <w:p>
      <w:pPr>
        <w:pStyle w:val="TextBody"/>
        <w:bidi w:val="0"/>
        <w:spacing w:before="240" w:after="283"/>
        <w:jc w:val="both"/>
        <w:rPr/>
      </w:pPr>
      <w:r>
        <w:rPr>
          <w:color w:val="000000"/>
        </w:rPr>
        <w:t>“</w:t>
      </w:r>
      <w:r>
        <w:rPr>
          <w:rFonts w:ascii="Times New Roman" w:hAnsi="Times New Roman"/>
          <w:b/>
          <w:color w:val="000000"/>
          <w:sz w:val="24"/>
        </w:rPr>
        <w:t>Effective Date</w:t>
      </w:r>
      <w:r>
        <w:rPr>
          <w:rFonts w:ascii="Times New Roman" w:hAnsi="Times New Roman"/>
          <w:color w:val="000000"/>
          <w:sz w:val="20"/>
        </w:rPr>
        <w:t xml:space="preserve">” </w:t>
      </w:r>
      <w:r>
        <w:rPr>
          <w:rFonts w:ascii="Times New Roman" w:hAnsi="Times New Roman"/>
          <w:color w:val="000000"/>
          <w:sz w:val="24"/>
        </w:rPr>
        <w:t>has the meaning assigned to it in the recitals to this Agreement.</w:t>
      </w:r>
    </w:p>
    <w:p>
      <w:pPr>
        <w:pStyle w:val="TextBody"/>
        <w:bidi w:val="0"/>
        <w:spacing w:before="240" w:after="283"/>
        <w:jc w:val="both"/>
        <w:rPr/>
      </w:pPr>
      <w:r>
        <w:rPr>
          <w:color w:val="000000"/>
        </w:rPr>
        <w:t>“</w:t>
      </w:r>
      <w:r>
        <w:rPr>
          <w:rFonts w:ascii="Times New Roman" w:hAnsi="Times New Roman"/>
          <w:b/>
          <w:color w:val="000000"/>
          <w:sz w:val="24"/>
        </w:rPr>
        <w:t>Encumbered Theatres</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4.07(a)</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b/>
          <w:color w:val="000000"/>
          <w:sz w:val="24"/>
        </w:rPr>
        <w:t>Equipment</w:t>
      </w:r>
      <w:r>
        <w:rPr>
          <w:rFonts w:ascii="Times New Roman" w:hAnsi="Times New Roman"/>
          <w:color w:val="000000"/>
          <w:sz w:val="20"/>
        </w:rPr>
        <w:t xml:space="preserve">” </w:t>
      </w:r>
      <w:r>
        <w:rPr>
          <w:rFonts w:ascii="Times New Roman" w:hAnsi="Times New Roman"/>
          <w:color w:val="000000"/>
          <w:sz w:val="24"/>
        </w:rPr>
        <w:t>means the equipment and cabling, as prescribed by the terms of this Agreement, which is necessary to schedule, distribute, play, reconcile and otherwise transmit and receive the Advertising Services delivered by LLC pursuant to the terms of this Agreement, and a complete list of all such equipment located inside or on any Theatre building and the ownership thereof as of the Execution Date is set forth in the Specification Documentation. Lobby Equipment is addressed in Addendum A.</w:t>
      </w:r>
    </w:p>
    <w:p>
      <w:pPr>
        <w:pStyle w:val="TextBody"/>
        <w:bidi w:val="0"/>
        <w:spacing w:before="240" w:after="283"/>
        <w:jc w:val="both"/>
        <w:rPr/>
      </w:pPr>
      <w:r>
        <w:rPr>
          <w:color w:val="000000"/>
        </w:rPr>
        <w:t>“</w:t>
      </w:r>
      <w:r>
        <w:rPr>
          <w:rFonts w:ascii="Times New Roman" w:hAnsi="Times New Roman"/>
          <w:b/>
          <w:color w:val="000000"/>
          <w:sz w:val="24"/>
        </w:rPr>
        <w:t>Event Distributor</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4.16(a)</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b/>
          <w:color w:val="000000"/>
          <w:sz w:val="24"/>
        </w:rPr>
        <w:t>Event Simulcast Advertising Services</w:t>
      </w:r>
      <w:r>
        <w:rPr>
          <w:rFonts w:ascii="Times New Roman" w:hAnsi="Times New Roman"/>
          <w:color w:val="000000"/>
          <w:sz w:val="20"/>
        </w:rPr>
        <w:t xml:space="preserve">” </w:t>
      </w:r>
      <w:r>
        <w:rPr>
          <w:rFonts w:ascii="Times New Roman" w:hAnsi="Times New Roman"/>
          <w:color w:val="000000"/>
          <w:sz w:val="24"/>
        </w:rPr>
        <w:t xml:space="preserve">has the meaning assigned to it in Section 2 of </w:t>
      </w:r>
      <w:r>
        <w:rPr>
          <w:rFonts w:ascii="Times New Roman" w:hAnsi="Times New Roman"/>
          <w:color w:val="000000"/>
          <w:sz w:val="24"/>
          <w:u w:val="single"/>
        </w:rPr>
        <w:t>Exhibit A</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Event Sponsorship</w:t>
      </w:r>
      <w:r>
        <w:rPr>
          <w:rFonts w:ascii="Times New Roman" w:hAnsi="Times New Roman"/>
          <w:color w:val="000000"/>
          <w:sz w:val="20"/>
        </w:rPr>
        <w:t xml:space="preserve">” </w:t>
      </w:r>
      <w:r>
        <w:rPr>
          <w:rFonts w:ascii="Times New Roman" w:hAnsi="Times New Roman"/>
          <w:color w:val="000000"/>
          <w:sz w:val="24"/>
        </w:rPr>
        <w:t xml:space="preserve">has the meaning assigned to it in Section 2 of </w:t>
      </w:r>
      <w:r>
        <w:rPr>
          <w:rFonts w:ascii="Times New Roman" w:hAnsi="Times New Roman"/>
          <w:color w:val="000000"/>
          <w:sz w:val="24"/>
          <w:u w:val="single"/>
        </w:rPr>
        <w:t>Exhibit A</w:t>
      </w:r>
      <w:r>
        <w:rPr>
          <w:rFonts w:ascii="Times New Roman" w:hAnsi="Times New Roman"/>
          <w:color w:val="000000"/>
          <w:sz w:val="24"/>
        </w:rPr>
        <w:t>.</w:t>
      </w:r>
    </w:p>
    <w:p>
      <w:pPr>
        <w:pStyle w:val="TextBody"/>
        <w:bidi w:val="0"/>
        <w:spacing w:before="240" w:after="283"/>
        <w:jc w:val="left"/>
        <w:rPr/>
      </w:pPr>
      <w:r>
        <w:rPr>
          <w:color w:val="000000"/>
        </w:rPr>
        <w:t>“</w:t>
      </w:r>
      <w:r>
        <w:rPr>
          <w:rFonts w:ascii="Times New Roman" w:hAnsi="Times New Roman"/>
          <w:b/>
          <w:color w:val="000000"/>
          <w:sz w:val="24"/>
        </w:rPr>
        <w:t>Event Trailer</w:t>
      </w:r>
      <w:r>
        <w:rPr>
          <w:rFonts w:ascii="Times New Roman" w:hAnsi="Times New Roman"/>
          <w:color w:val="000000"/>
          <w:sz w:val="20"/>
        </w:rPr>
        <w:t xml:space="preserve">” </w:t>
      </w:r>
      <w:r>
        <w:rPr>
          <w:rFonts w:ascii="Times New Roman" w:hAnsi="Times New Roman"/>
          <w:color w:val="000000"/>
          <w:sz w:val="24"/>
        </w:rPr>
        <w:t>means a promotion for a Digital Programming Event that is exhibited in the Theatres after Showtime.</w:t>
      </w:r>
    </w:p>
    <w:p>
      <w:pPr>
        <w:pStyle w:val="TextBody"/>
        <w:bidi w:val="0"/>
        <w:spacing w:before="240" w:after="283"/>
        <w:jc w:val="left"/>
        <w:rPr/>
      </w:pPr>
      <w:r>
        <w:rPr>
          <w:color w:val="000000"/>
        </w:rPr>
        <w:t>“</w:t>
      </w:r>
      <w:r>
        <w:rPr>
          <w:rFonts w:ascii="Times New Roman" w:hAnsi="Times New Roman"/>
          <w:b/>
          <w:color w:val="000000"/>
          <w:sz w:val="24"/>
        </w:rPr>
        <w:t>Excluded Theatres</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4.12</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b/>
          <w:color w:val="000000"/>
          <w:sz w:val="24"/>
        </w:rPr>
        <w:t>Execution Date</w:t>
      </w:r>
      <w:r>
        <w:rPr>
          <w:rFonts w:ascii="Times New Roman" w:hAnsi="Times New Roman"/>
          <w:color w:val="000000"/>
          <w:sz w:val="20"/>
        </w:rPr>
        <w:t xml:space="preserve">” </w:t>
      </w:r>
      <w:r>
        <w:rPr>
          <w:rFonts w:ascii="Times New Roman" w:hAnsi="Times New Roman"/>
          <w:color w:val="000000"/>
          <w:sz w:val="24"/>
        </w:rPr>
        <w:t>has the meaning assigned to it in the preamble to this Agreement.</w:t>
      </w:r>
    </w:p>
    <w:p>
      <w:pPr>
        <w:pStyle w:val="TextBody"/>
        <w:bidi w:val="0"/>
        <w:spacing w:before="240" w:after="283"/>
        <w:jc w:val="left"/>
        <w:rPr/>
      </w:pPr>
      <w:r>
        <w:rPr>
          <w:color w:val="000000"/>
        </w:rPr>
        <w:t>“</w:t>
      </w:r>
      <w:r>
        <w:rPr>
          <w:rFonts w:ascii="Times New Roman" w:hAnsi="Times New Roman"/>
          <w:b/>
          <w:color w:val="000000"/>
          <w:sz w:val="24"/>
        </w:rPr>
        <w:t>Fiscal Year</w:t>
      </w:r>
      <w:r>
        <w:rPr>
          <w:rFonts w:ascii="Times New Roman" w:hAnsi="Times New Roman"/>
          <w:color w:val="000000"/>
          <w:sz w:val="20"/>
        </w:rPr>
        <w:t xml:space="preserve">” </w:t>
      </w:r>
      <w:r>
        <w:rPr>
          <w:rFonts w:ascii="Times New Roman" w:hAnsi="Times New Roman"/>
          <w:color w:val="000000"/>
          <w:sz w:val="24"/>
        </w:rPr>
        <w:t>means the fiscal year of the LLC.</w:t>
      </w:r>
    </w:p>
    <w:p>
      <w:pPr>
        <w:pStyle w:val="TextBody"/>
        <w:bidi w:val="0"/>
        <w:spacing w:before="240" w:after="283"/>
        <w:jc w:val="left"/>
        <w:rPr/>
      </w:pPr>
      <w:r>
        <w:rPr>
          <w:color w:val="000000"/>
        </w:rPr>
        <w:t>“</w:t>
      </w:r>
      <w:r>
        <w:rPr>
          <w:rFonts w:ascii="Times New Roman" w:hAnsi="Times New Roman"/>
          <w:b/>
          <w:color w:val="000000"/>
          <w:sz w:val="24"/>
        </w:rPr>
        <w:t>Flight</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4.01(a)</w:t>
      </w:r>
      <w:r>
        <w:rPr>
          <w:rFonts w:ascii="Times New Roman" w:hAnsi="Times New Roman"/>
          <w:color w:val="000000"/>
          <w:sz w:val="24"/>
        </w:rPr>
        <w:t>.</w:t>
      </w:r>
    </w:p>
    <w:p>
      <w:pPr>
        <w:pStyle w:val="TextBody"/>
        <w:bidi w:val="0"/>
        <w:spacing w:before="240" w:after="283"/>
        <w:jc w:val="left"/>
        <w:rPr/>
      </w:pPr>
      <w:r>
        <w:rPr>
          <w:color w:val="000000"/>
        </w:rPr>
        <w:t>“</w:t>
      </w:r>
      <w:r>
        <w:rPr>
          <w:rFonts w:ascii="Times New Roman" w:hAnsi="Times New Roman"/>
          <w:b/>
          <w:color w:val="000000"/>
          <w:sz w:val="24"/>
        </w:rPr>
        <w:t>Future Theatres</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3.01</w:t>
      </w:r>
      <w:r>
        <w:rPr>
          <w:rFonts w:ascii="Times New Roman" w:hAnsi="Times New Roman"/>
          <w:color w:val="000000"/>
          <w:sz w:val="24"/>
        </w:rPr>
        <w:t>.</w:t>
      </w:r>
    </w:p>
    <w:p>
      <w:pPr>
        <w:pStyle w:val="TextBody"/>
        <w:bidi w:val="0"/>
        <w:spacing w:before="240" w:after="283"/>
        <w:jc w:val="left"/>
        <w:rPr/>
      </w:pPr>
      <w:r>
        <w:rPr>
          <w:color w:val="000000"/>
        </w:rPr>
        <w:t>“</w:t>
      </w:r>
      <w:r>
        <w:rPr>
          <w:rFonts w:ascii="Times New Roman" w:hAnsi="Times New Roman"/>
          <w:b/>
          <w:color w:val="000000"/>
          <w:sz w:val="24"/>
        </w:rPr>
        <w:t>GAAP</w:t>
      </w:r>
      <w:r>
        <w:rPr>
          <w:rFonts w:ascii="Times New Roman" w:hAnsi="Times New Roman"/>
          <w:color w:val="000000"/>
          <w:sz w:val="20"/>
        </w:rPr>
        <w:t xml:space="preserve">” </w:t>
      </w:r>
      <w:r>
        <w:rPr>
          <w:rFonts w:ascii="Times New Roman" w:hAnsi="Times New Roman"/>
          <w:color w:val="000000"/>
          <w:sz w:val="24"/>
        </w:rPr>
        <w:t>means United States generally accepted accounting principles, consistently applied.</w:t>
      </w:r>
    </w:p>
    <w:p>
      <w:pPr>
        <w:pStyle w:val="TextBody"/>
        <w:bidi w:val="0"/>
        <w:spacing w:before="240" w:after="283"/>
        <w:jc w:val="both"/>
        <w:rPr/>
      </w:pPr>
      <w:r>
        <w:rPr>
          <w:color w:val="000000"/>
        </w:rPr>
        <w:t>“</w:t>
      </w:r>
      <w:r>
        <w:rPr>
          <w:rFonts w:ascii="Times New Roman" w:hAnsi="Times New Roman"/>
          <w:b/>
          <w:color w:val="000000"/>
          <w:sz w:val="24"/>
        </w:rPr>
        <w:t>Governmental Authority</w:t>
      </w:r>
      <w:r>
        <w:rPr>
          <w:rFonts w:ascii="Times New Roman" w:hAnsi="Times New Roman"/>
          <w:color w:val="000000"/>
          <w:sz w:val="20"/>
        </w:rPr>
        <w:t xml:space="preserve">” </w:t>
      </w:r>
      <w:r>
        <w:rPr>
          <w:rFonts w:ascii="Times New Roman" w:hAnsi="Times New Roman"/>
          <w:color w:val="000000"/>
          <w:sz w:val="24"/>
        </w:rPr>
        <w:t>means any nation or government, any state or other political subdivision thereof, and any entity exercising executive, legislative, judicial, regulatory or administrative functions of or pertaining to government.</w:t>
      </w:r>
    </w:p>
    <w:p>
      <w:pPr>
        <w:pStyle w:val="TextBody"/>
        <w:bidi w:val="0"/>
        <w:spacing w:before="240" w:after="283"/>
        <w:jc w:val="left"/>
        <w:rPr/>
      </w:pPr>
      <w:r>
        <w:rPr>
          <w:color w:val="000000"/>
        </w:rPr>
        <w:t>“</w:t>
      </w:r>
      <w:r>
        <w:rPr>
          <w:rFonts w:ascii="Times New Roman" w:hAnsi="Times New Roman"/>
          <w:b/>
          <w:color w:val="000000"/>
          <w:sz w:val="24"/>
        </w:rPr>
        <w:t>IMAX Screens</w:t>
      </w:r>
      <w:r>
        <w:rPr>
          <w:rFonts w:ascii="Times New Roman" w:hAnsi="Times New Roman"/>
          <w:color w:val="000000"/>
          <w:sz w:val="20"/>
        </w:rPr>
        <w:t xml:space="preserve">” </w:t>
      </w:r>
      <w:r>
        <w:rPr>
          <w:rFonts w:ascii="Times New Roman" w:hAnsi="Times New Roman"/>
          <w:color w:val="000000"/>
          <w:sz w:val="23"/>
        </w:rPr>
        <w:t xml:space="preserve">means </w:t>
      </w:r>
      <w:r>
        <w:rPr>
          <w:rFonts w:ascii="Times New Roman" w:hAnsi="Times New Roman"/>
          <w:color w:val="000000"/>
          <w:sz w:val="24"/>
        </w:rPr>
        <w:t>Theatre screens dedicated to the exhibition of films using “IMAX” technology.</w:t>
      </w:r>
      <w:r>
        <w:rPr>
          <w:rFonts w:ascii="Times New Roman" w:hAnsi="Times New Roman"/>
          <w:color w:val="000000"/>
          <w:sz w:val="20"/>
        </w:rPr>
        <w:t xml:space="preserve"> </w:t>
      </w:r>
    </w:p>
    <w:p>
      <w:pPr>
        <w:pStyle w:val="TextBody"/>
        <w:bidi w:val="0"/>
        <w:spacing w:before="240" w:after="283"/>
        <w:jc w:val="left"/>
        <w:rPr/>
      </w:pPr>
      <w:r>
        <w:rPr>
          <w:color w:val="000000"/>
        </w:rPr>
        <w:t>“</w:t>
      </w:r>
      <w:r>
        <w:rPr>
          <w:rFonts w:ascii="Times New Roman" w:hAnsi="Times New Roman"/>
          <w:b/>
          <w:color w:val="000000"/>
          <w:sz w:val="24"/>
        </w:rPr>
        <w:t>Indemnifying Party</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11.01(c)</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left"/>
        <w:rPr/>
      </w:pPr>
      <w:r>
        <w:rPr>
          <w:color w:val="000000"/>
        </w:rPr>
        <w:t>“</w:t>
      </w:r>
      <w:r>
        <w:rPr>
          <w:rFonts w:ascii="Times New Roman" w:hAnsi="Times New Roman"/>
          <w:b/>
          <w:color w:val="000000"/>
          <w:sz w:val="24"/>
        </w:rPr>
        <w:t>Infringement</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12.02</w:t>
      </w:r>
      <w:r>
        <w:rPr>
          <w:rFonts w:ascii="Times New Roman" w:hAnsi="Times New Roman"/>
          <w:color w:val="000000"/>
          <w:sz w:val="24"/>
        </w:rPr>
        <w:t>.</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color w:val="000000"/>
        </w:rPr>
        <w:t>“</w:t>
      </w:r>
      <w:r>
        <w:rPr>
          <w:rFonts w:ascii="Times New Roman" w:hAnsi="Times New Roman"/>
          <w:b/>
          <w:color w:val="000000"/>
          <w:sz w:val="24"/>
        </w:rPr>
        <w:t>Initial Term</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9.01</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Intellectual Property</w:t>
      </w:r>
      <w:r>
        <w:rPr>
          <w:rFonts w:ascii="Times New Roman" w:hAnsi="Times New Roman"/>
          <w:color w:val="000000"/>
          <w:sz w:val="20"/>
        </w:rPr>
        <w:t xml:space="preserve">” </w:t>
      </w:r>
      <w:r>
        <w:rPr>
          <w:rFonts w:ascii="Times New Roman" w:hAnsi="Times New Roman"/>
          <w:color w:val="000000"/>
          <w:sz w:val="24"/>
        </w:rPr>
        <w:t>means all intellectual property, including but not limited to all U.S., state and foreign (i) (A) patents, inventions, discoveries, processes and designs; (B) copyrights and works of authorship in any media; (C) trademarks, service marks, trade names, trade dress and other source indicators and the goodwill of the business symbolized thereby, (D) software; and (E) trade secrets and other confidential or proprietary documents, ideas, plans and information; (ii) registrations, applications and recordings related thereto; (iii) rights to obtain renewals, extensions, continuations or similar legal protections related thereto; and (iv) rights to bring an action at law or in equity for the infringement or other impairment thereof.</w:t>
      </w:r>
    </w:p>
    <w:p>
      <w:pPr>
        <w:pStyle w:val="TextBody"/>
        <w:bidi w:val="0"/>
        <w:spacing w:before="240" w:after="283"/>
        <w:jc w:val="left"/>
        <w:rPr/>
      </w:pPr>
      <w:r>
        <w:rPr>
          <w:color w:val="000000"/>
        </w:rPr>
        <w:t>“</w:t>
      </w:r>
      <w:r>
        <w:rPr>
          <w:rFonts w:ascii="Times New Roman" w:hAnsi="Times New Roman"/>
          <w:b/>
          <w:color w:val="000000"/>
          <w:sz w:val="24"/>
        </w:rPr>
        <w:t>Inventory</w:t>
      </w:r>
      <w:r>
        <w:rPr>
          <w:rFonts w:ascii="Times New Roman" w:hAnsi="Times New Roman"/>
          <w:color w:val="000000"/>
          <w:sz w:val="20"/>
        </w:rPr>
        <w:t xml:space="preserve">” </w:t>
      </w:r>
      <w:r>
        <w:rPr>
          <w:rFonts w:ascii="Times New Roman" w:hAnsi="Times New Roman"/>
          <w:color w:val="000000"/>
          <w:sz w:val="24"/>
        </w:rPr>
        <w:t>means any advertising or other content.</w:t>
      </w:r>
    </w:p>
    <w:p>
      <w:pPr>
        <w:pStyle w:val="TextBody"/>
        <w:bidi w:val="0"/>
        <w:spacing w:before="240" w:after="283"/>
        <w:jc w:val="both"/>
        <w:rPr/>
      </w:pPr>
      <w:r>
        <w:rPr>
          <w:color w:val="000000"/>
        </w:rPr>
        <w:t>“</w:t>
      </w:r>
      <w:r>
        <w:rPr>
          <w:rFonts w:ascii="Times New Roman" w:hAnsi="Times New Roman"/>
          <w:b/>
          <w:color w:val="000000"/>
          <w:sz w:val="24"/>
        </w:rPr>
        <w:t>Joint Venture Termination and Settlement Agreement</w:t>
      </w:r>
      <w:r>
        <w:rPr>
          <w:rFonts w:ascii="Times New Roman" w:hAnsi="Times New Roman"/>
          <w:color w:val="000000"/>
          <w:sz w:val="20"/>
        </w:rPr>
        <w:t xml:space="preserve">” </w:t>
      </w:r>
      <w:r>
        <w:rPr>
          <w:rFonts w:ascii="Times New Roman" w:hAnsi="Times New Roman"/>
          <w:color w:val="000000"/>
          <w:sz w:val="24"/>
        </w:rPr>
        <w:t>has the meaning assigned to it in Section 6.01.</w:t>
      </w:r>
    </w:p>
    <w:p>
      <w:pPr>
        <w:pStyle w:val="TextBody"/>
        <w:bidi w:val="0"/>
        <w:spacing w:before="240" w:after="283"/>
        <w:jc w:val="both"/>
        <w:rPr/>
      </w:pPr>
      <w:r>
        <w:rPr>
          <w:color w:val="000000"/>
        </w:rPr>
        <w:t>“</w:t>
      </w:r>
      <w:r>
        <w:rPr>
          <w:rFonts w:ascii="Times New Roman" w:hAnsi="Times New Roman"/>
          <w:b/>
          <w:color w:val="000000"/>
          <w:sz w:val="24"/>
        </w:rPr>
        <w:t>License Agreement</w:t>
      </w:r>
      <w:r>
        <w:rPr>
          <w:rFonts w:ascii="Times New Roman" w:hAnsi="Times New Roman"/>
          <w:color w:val="000000"/>
          <w:sz w:val="20"/>
        </w:rPr>
        <w:t xml:space="preserve">” </w:t>
      </w:r>
      <w:r>
        <w:rPr>
          <w:rFonts w:ascii="Times New Roman" w:hAnsi="Times New Roman"/>
          <w:color w:val="000000"/>
          <w:sz w:val="24"/>
        </w:rPr>
        <w:t>means that certain Second Amended and Restated Software License Agreement, dated as of February 13, 2007, among LLC, AMC, and the other parties thereto, and as such agreement may be amended, supplemented or otherwise modified from time to time.</w:t>
      </w:r>
    </w:p>
    <w:p>
      <w:pPr>
        <w:pStyle w:val="TextBody"/>
        <w:bidi w:val="0"/>
        <w:spacing w:before="240" w:after="283"/>
        <w:jc w:val="both"/>
        <w:rPr/>
      </w:pPr>
      <w:r>
        <w:rPr>
          <w:color w:val="000000"/>
        </w:rPr>
        <w:t>“</w:t>
      </w:r>
      <w:r>
        <w:rPr>
          <w:rFonts w:ascii="Times New Roman" w:hAnsi="Times New Roman"/>
          <w:b/>
          <w:color w:val="000000"/>
          <w:sz w:val="24"/>
        </w:rPr>
        <w:t>LLC Agreement</w:t>
      </w:r>
      <w:r>
        <w:rPr>
          <w:rFonts w:ascii="Times New Roman" w:hAnsi="Times New Roman"/>
          <w:color w:val="000000"/>
          <w:sz w:val="20"/>
        </w:rPr>
        <w:t xml:space="preserve">” </w:t>
      </w:r>
      <w:r>
        <w:rPr>
          <w:rFonts w:ascii="Times New Roman" w:hAnsi="Times New Roman"/>
          <w:color w:val="000000"/>
          <w:sz w:val="24"/>
        </w:rPr>
        <w:t>has the meaning assigned to it in the recitals to this Agreement.</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b/>
          <w:color w:val="000000"/>
          <w:sz w:val="24"/>
        </w:rPr>
        <w:t>LLC Confirmation</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3.06(a)</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LLC Derived Works</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13.02(a)</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LLC Equipment</w:t>
      </w:r>
      <w:r>
        <w:rPr>
          <w:rFonts w:ascii="Times New Roman" w:hAnsi="Times New Roman"/>
          <w:color w:val="000000"/>
          <w:sz w:val="20"/>
        </w:rPr>
        <w:t xml:space="preserve">” </w:t>
      </w:r>
      <w:r>
        <w:rPr>
          <w:rFonts w:ascii="Times New Roman" w:hAnsi="Times New Roman"/>
          <w:color w:val="000000"/>
          <w:sz w:val="24"/>
        </w:rPr>
        <w:t>means the Equipment owned by LLC pursuant to the terms of this Agreement.</w:t>
      </w:r>
    </w:p>
    <w:p>
      <w:pPr>
        <w:pStyle w:val="TextBody"/>
        <w:bidi w:val="0"/>
        <w:spacing w:before="240" w:after="283"/>
        <w:jc w:val="both"/>
        <w:rPr/>
      </w:pPr>
      <w:r>
        <w:rPr>
          <w:color w:val="000000"/>
        </w:rPr>
        <w:t>“</w:t>
      </w:r>
      <w:r>
        <w:rPr>
          <w:rFonts w:ascii="Times New Roman" w:hAnsi="Times New Roman"/>
          <w:b/>
          <w:color w:val="000000"/>
          <w:sz w:val="24"/>
        </w:rPr>
        <w:t>LLC Marks</w:t>
      </w:r>
      <w:r>
        <w:rPr>
          <w:rFonts w:ascii="Times New Roman" w:hAnsi="Times New Roman"/>
          <w:color w:val="000000"/>
          <w:sz w:val="20"/>
        </w:rPr>
        <w:t xml:space="preserve">” </w:t>
      </w:r>
      <w:r>
        <w:rPr>
          <w:rFonts w:ascii="Times New Roman" w:hAnsi="Times New Roman"/>
          <w:color w:val="000000"/>
          <w:sz w:val="24"/>
        </w:rPr>
        <w:t>means the trademarks, service marks, logos, slogans and/or designs owned by LLC or otherwise contributed by LLC for use under this Agreement, in any and all forms, formats and styles, including as may be used in the Brand (as defined herein), as may be modified from time-to-time all as notified to AMC from time to time by LLC.</w:t>
      </w:r>
    </w:p>
    <w:p>
      <w:pPr>
        <w:pStyle w:val="TextBody"/>
        <w:bidi w:val="0"/>
        <w:spacing w:before="240" w:after="283"/>
        <w:jc w:val="both"/>
        <w:rPr/>
      </w:pPr>
      <w:r>
        <w:rPr>
          <w:color w:val="000000"/>
        </w:rPr>
        <w:t>“</w:t>
      </w:r>
      <w:r>
        <w:rPr>
          <w:rFonts w:ascii="Times New Roman" w:hAnsi="Times New Roman"/>
          <w:b/>
          <w:color w:val="000000"/>
          <w:sz w:val="24"/>
        </w:rPr>
        <w:t>LLC Net Revenue per Attendee</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2.05(b)(i)(C)</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LLC Optional Termination Right</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9.03(b)</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LLC Platinum Spot Net Revenue per Attendee</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2.05(c)(i)(B)</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LLC Political Revenue per Attendee</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Schedule 4.02</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LLC Property</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13.01(a)</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LLC Quality Standards</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7.02(c)</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4"/>
        </w:rPr>
        <w:t>Lobby Entertainment Program</w:t>
      </w:r>
      <w:r>
        <w:rPr>
          <w:rFonts w:ascii="Times New Roman" w:hAnsi="Times New Roman"/>
          <w:color w:val="000000"/>
          <w:sz w:val="20"/>
        </w:rPr>
        <w:t xml:space="preserve">” </w:t>
      </w:r>
      <w:r>
        <w:rPr>
          <w:rFonts w:ascii="Times New Roman" w:hAnsi="Times New Roman"/>
          <w:color w:val="000000"/>
          <w:sz w:val="24"/>
        </w:rPr>
        <w:t xml:space="preserve">means a program of digital content exhibited on Lobby Screens (as defined in </w:t>
      </w:r>
      <w:r>
        <w:rPr>
          <w:rFonts w:ascii="Times New Roman" w:hAnsi="Times New Roman"/>
          <w:color w:val="000000"/>
          <w:sz w:val="24"/>
          <w:u w:val="single"/>
        </w:rPr>
        <w:t>Addendum A</w:t>
      </w:r>
      <w:r>
        <w:rPr>
          <w:rFonts w:ascii="Times New Roman" w:hAnsi="Times New Roman"/>
          <w:color w:val="000000"/>
          <w:sz w:val="24"/>
        </w:rPr>
        <w:t xml:space="preserve">) which is distributed by LLC through the Digital Content Network for exhibition in Digitized Theatres, upon the terms set forth in </w:t>
      </w:r>
      <w:r>
        <w:rPr>
          <w:rFonts w:ascii="Times New Roman" w:hAnsi="Times New Roman"/>
          <w:color w:val="000000"/>
          <w:sz w:val="24"/>
          <w:u w:val="single"/>
        </w:rPr>
        <w:t>Addendum A</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Lobby Equipment</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Addendum A</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Lobby Promotions</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Addendum A</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Lobby Revenue Share</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Addendum A</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Lobby Screens</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Addendum A</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Low Resolution Projection System</w:t>
      </w:r>
      <w:r>
        <w:rPr>
          <w:rFonts w:ascii="Times New Roman" w:hAnsi="Times New Roman"/>
          <w:color w:val="000000"/>
          <w:sz w:val="20"/>
        </w:rPr>
        <w:t xml:space="preserve">” </w:t>
      </w:r>
      <w:r>
        <w:rPr>
          <w:rFonts w:ascii="Times New Roman" w:hAnsi="Times New Roman"/>
          <w:color w:val="000000"/>
          <w:sz w:val="24"/>
        </w:rPr>
        <w:t>means a digital projection system deployed in Theatres that (i) has a maximum resolution less than 2K (i.e., a resolution of less than 2048×1080), and (ii) is similar in functionality to the low-resolution projection systems currently deployed in Theatres as of the Execution Date.</w:t>
      </w:r>
    </w:p>
    <w:p>
      <w:pPr>
        <w:pStyle w:val="TextBody"/>
        <w:bidi w:val="0"/>
        <w:spacing w:before="240" w:after="283"/>
        <w:jc w:val="left"/>
        <w:rPr/>
      </w:pPr>
      <w:r>
        <w:rPr>
          <w:color w:val="000000"/>
        </w:rPr>
        <w:t>“</w:t>
      </w:r>
      <w:r>
        <w:rPr>
          <w:rFonts w:ascii="Times New Roman" w:hAnsi="Times New Roman"/>
          <w:b/>
          <w:color w:val="000000"/>
          <w:sz w:val="24"/>
        </w:rPr>
        <w:t>Marketing Materials</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7.02(a)</w:t>
      </w:r>
      <w:r>
        <w:rPr>
          <w:rFonts w:ascii="Times New Roman" w:hAnsi="Times New Roman"/>
          <w:color w:val="000000"/>
          <w:sz w:val="24"/>
        </w:rPr>
        <w:t>.</w:t>
      </w:r>
    </w:p>
    <w:p>
      <w:pPr>
        <w:pStyle w:val="TextBody"/>
        <w:bidi w:val="0"/>
        <w:spacing w:before="240" w:after="283"/>
        <w:jc w:val="left"/>
        <w:rPr/>
      </w:pPr>
      <w:r>
        <w:rPr>
          <w:color w:val="000000"/>
        </w:rPr>
        <w:t>“</w:t>
      </w:r>
      <w:r>
        <w:rPr>
          <w:rFonts w:ascii="Times New Roman" w:hAnsi="Times New Roman"/>
          <w:b/>
          <w:color w:val="000000"/>
          <w:sz w:val="24"/>
        </w:rPr>
        <w:t>MFN Litigation</w:t>
      </w:r>
      <w:r>
        <w:rPr>
          <w:rFonts w:ascii="Times New Roman" w:hAnsi="Times New Roman"/>
          <w:color w:val="000000"/>
          <w:sz w:val="20"/>
        </w:rPr>
        <w:t xml:space="preserve">” </w:t>
      </w:r>
      <w:r>
        <w:rPr>
          <w:rFonts w:ascii="Times New Roman" w:hAnsi="Times New Roman"/>
          <w:color w:val="000000"/>
          <w:sz w:val="24"/>
        </w:rPr>
        <w:t>means the Bankruptcy Appeals as defined in the Joint Venture Termination and Settlement Agreement, including any all appeals, remands and further proceedings resulting from such action.</w:t>
      </w:r>
    </w:p>
    <w:p>
      <w:pPr>
        <w:pStyle w:val="TextBody"/>
        <w:bidi w:val="0"/>
        <w:spacing w:before="240" w:after="283"/>
        <w:jc w:val="both"/>
        <w:rPr/>
      </w:pPr>
      <w:r>
        <w:rPr>
          <w:color w:val="000000"/>
        </w:rPr>
        <w:t>“</w:t>
      </w:r>
      <w:r>
        <w:rPr>
          <w:rFonts w:ascii="Times New Roman" w:hAnsi="Times New Roman"/>
          <w:b/>
          <w:color w:val="000000"/>
          <w:sz w:val="24"/>
        </w:rPr>
        <w:t>Monthly Total</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2.05(g)</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Monthly Total Payment</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2.05(g)</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Muvico</w:t>
      </w:r>
      <w:r>
        <w:rPr>
          <w:rFonts w:ascii="Times New Roman" w:hAnsi="Times New Roman"/>
          <w:color w:val="000000"/>
          <w:sz w:val="20"/>
        </w:rPr>
        <w:t xml:space="preserve">” </w:t>
      </w:r>
      <w:r>
        <w:rPr>
          <w:rFonts w:ascii="Times New Roman" w:hAnsi="Times New Roman"/>
          <w:color w:val="000000"/>
          <w:sz w:val="24"/>
        </w:rPr>
        <w:t>has the meaning assigned to it in the preamble to this Agreement.</w:t>
      </w:r>
    </w:p>
    <w:p>
      <w:pPr>
        <w:pStyle w:val="TextBody"/>
        <w:bidi w:val="0"/>
        <w:spacing w:before="240" w:after="283"/>
        <w:jc w:val="both"/>
        <w:rPr/>
      </w:pPr>
      <w:r>
        <w:rPr>
          <w:color w:val="000000"/>
        </w:rPr>
        <w:t>“</w:t>
      </w:r>
      <w:r>
        <w:rPr>
          <w:rFonts w:ascii="Times New Roman" w:hAnsi="Times New Roman"/>
          <w:b/>
          <w:color w:val="000000"/>
          <w:sz w:val="24"/>
        </w:rPr>
        <w:t>National CineMedia</w:t>
      </w:r>
      <w:r>
        <w:rPr>
          <w:rFonts w:ascii="Times New Roman" w:hAnsi="Times New Roman"/>
          <w:color w:val="000000"/>
          <w:sz w:val="20"/>
        </w:rPr>
        <w:t xml:space="preserve">” </w:t>
      </w:r>
      <w:r>
        <w:rPr>
          <w:rFonts w:ascii="Times New Roman" w:hAnsi="Times New Roman"/>
          <w:color w:val="000000"/>
          <w:sz w:val="24"/>
        </w:rPr>
        <w:t>means National CineMedia, Inc.</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b/>
          <w:color w:val="000000"/>
          <w:sz w:val="24"/>
        </w:rPr>
        <w:t>Net Revenue</w:t>
      </w:r>
      <w:r>
        <w:rPr>
          <w:rFonts w:ascii="Times New Roman" w:hAnsi="Times New Roman"/>
          <w:color w:val="000000"/>
          <w:sz w:val="20"/>
        </w:rPr>
        <w:t xml:space="preserve">” </w:t>
      </w:r>
      <w:r>
        <w:rPr>
          <w:rFonts w:ascii="Times New Roman" w:hAnsi="Times New Roman"/>
          <w:color w:val="000000"/>
          <w:sz w:val="24"/>
        </w:rPr>
        <w:t>means, with respect to a specific advertising or promotional content campaign for which LLC recognizes revenue in an applicable period, the excess of (a) the total amount received by LLC from third parties for such campaign in such period, less [***].</w:t>
      </w:r>
    </w:p>
    <w:p>
      <w:pPr>
        <w:pStyle w:val="TextBody"/>
        <w:bidi w:val="0"/>
        <w:spacing w:before="240" w:after="283"/>
        <w:jc w:val="left"/>
        <w:rPr/>
      </w:pPr>
      <w:r>
        <w:rPr>
          <w:color w:val="000000"/>
        </w:rPr>
        <w:t>“</w:t>
      </w:r>
      <w:r>
        <w:rPr>
          <w:rFonts w:ascii="Times New Roman" w:hAnsi="Times New Roman"/>
          <w:b/>
          <w:color w:val="000000"/>
          <w:sz w:val="24"/>
        </w:rPr>
        <w:t>Non-Digitized Theatres</w:t>
      </w:r>
      <w:r>
        <w:rPr>
          <w:rFonts w:ascii="Times New Roman" w:hAnsi="Times New Roman"/>
          <w:color w:val="000000"/>
          <w:sz w:val="20"/>
        </w:rPr>
        <w:t xml:space="preserve">” </w:t>
      </w:r>
      <w:r>
        <w:rPr>
          <w:rFonts w:ascii="Times New Roman" w:hAnsi="Times New Roman"/>
          <w:color w:val="000000"/>
          <w:sz w:val="24"/>
        </w:rPr>
        <w:t>means Theatres that are not Digitized Theatres.</w:t>
      </w:r>
    </w:p>
    <w:p>
      <w:pPr>
        <w:pStyle w:val="TextBody"/>
        <w:bidi w:val="0"/>
        <w:spacing w:before="240" w:after="283"/>
        <w:jc w:val="left"/>
        <w:rPr/>
      </w:pPr>
      <w:r>
        <w:rPr>
          <w:color w:val="000000"/>
        </w:rPr>
        <w:t>“</w:t>
      </w:r>
      <w:r>
        <w:rPr>
          <w:rFonts w:ascii="Times New Roman" w:hAnsi="Times New Roman"/>
          <w:b/>
          <w:color w:val="000000"/>
          <w:sz w:val="24"/>
        </w:rPr>
        <w:t>Original Agreement</w:t>
      </w:r>
      <w:r>
        <w:rPr>
          <w:rFonts w:ascii="Times New Roman" w:hAnsi="Times New Roman"/>
          <w:color w:val="000000"/>
          <w:sz w:val="20"/>
        </w:rPr>
        <w:t xml:space="preserve">” </w:t>
      </w:r>
      <w:r>
        <w:rPr>
          <w:rFonts w:ascii="Times New Roman" w:hAnsi="Times New Roman"/>
          <w:color w:val="000000"/>
          <w:sz w:val="24"/>
        </w:rPr>
        <w:t>has the meaning assigned to it in the recitals of this Agreement.</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b/>
          <w:color w:val="000000"/>
          <w:sz w:val="24"/>
        </w:rPr>
        <w:t>Original Payment Structure</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15.14</w:t>
      </w:r>
      <w:r>
        <w:rPr>
          <w:rFonts w:ascii="Times New Roman" w:hAnsi="Times New Roman"/>
          <w:color w:val="000000"/>
          <w:sz w:val="24"/>
        </w:rPr>
        <w:t>.</w:t>
      </w:r>
    </w:p>
    <w:p>
      <w:pPr>
        <w:pStyle w:val="TextBody"/>
        <w:bidi w:val="0"/>
        <w:spacing w:before="240" w:after="283"/>
        <w:jc w:val="left"/>
        <w:rPr/>
      </w:pPr>
      <w:r>
        <w:rPr>
          <w:color w:val="000000"/>
        </w:rPr>
        <w:t>“</w:t>
      </w:r>
      <w:r>
        <w:rPr>
          <w:rFonts w:ascii="Times New Roman" w:hAnsi="Times New Roman"/>
          <w:b/>
          <w:color w:val="000000"/>
          <w:sz w:val="24"/>
        </w:rPr>
        <w:t>Party</w:t>
      </w:r>
      <w:r>
        <w:rPr>
          <w:rFonts w:ascii="Times New Roman" w:hAnsi="Times New Roman"/>
          <w:color w:val="000000"/>
          <w:sz w:val="20"/>
        </w:rPr>
        <w:t xml:space="preserve">” </w:t>
      </w:r>
      <w:r>
        <w:rPr>
          <w:rFonts w:ascii="Times New Roman" w:hAnsi="Times New Roman"/>
          <w:color w:val="000000"/>
          <w:sz w:val="24"/>
        </w:rPr>
        <w:t>has the meaning assigned to it in the preamble of this Agreement.</w:t>
      </w:r>
      <w:r>
        <w:rPr>
          <w:rFonts w:ascii="Times New Roman" w:hAnsi="Times New Roman"/>
          <w:color w:val="000000"/>
          <w:sz w:val="20"/>
        </w:rPr>
        <w:t xml:space="preserve"> </w:t>
      </w:r>
    </w:p>
    <w:p>
      <w:pPr>
        <w:pStyle w:val="TextBody"/>
        <w:bidi w:val="0"/>
        <w:spacing w:before="240" w:after="283"/>
        <w:jc w:val="left"/>
        <w:rPr/>
      </w:pPr>
      <w:r>
        <w:rPr>
          <w:color w:val="000000"/>
        </w:rPr>
        <w:t>“</w:t>
      </w:r>
      <w:r>
        <w:rPr>
          <w:rFonts w:ascii="Times New Roman" w:hAnsi="Times New Roman"/>
          <w:b/>
          <w:color w:val="000000"/>
          <w:sz w:val="24"/>
        </w:rPr>
        <w:t>Permitted Transfer</w:t>
      </w:r>
      <w:r>
        <w:rPr>
          <w:rFonts w:ascii="Times New Roman" w:hAnsi="Times New Roman"/>
          <w:color w:val="000000"/>
          <w:sz w:val="20"/>
        </w:rPr>
        <w:t xml:space="preserve">” </w:t>
      </w:r>
      <w:r>
        <w:rPr>
          <w:rFonts w:ascii="Times New Roman" w:hAnsi="Times New Roman"/>
          <w:color w:val="000000"/>
          <w:sz w:val="24"/>
        </w:rPr>
        <w:t>means:</w:t>
      </w:r>
    </w:p>
    <w:p>
      <w:pPr>
        <w:pStyle w:val="TextBody"/>
        <w:bidi w:val="0"/>
        <w:spacing w:before="240" w:after="283"/>
        <w:jc w:val="both"/>
        <w:rPr>
          <w:rFonts w:ascii="Times New Roman" w:hAnsi="Times New Roman"/>
          <w:sz w:val="20"/>
        </w:rPr>
      </w:pPr>
      <w:r>
        <w:rPr>
          <w:rFonts w:ascii="Times New Roman" w:hAnsi="Times New Roman"/>
          <w:b/>
          <w:color w:val="000000"/>
          <w:sz w:val="23"/>
        </w:rPr>
        <w:t xml:space="preserve">(a) </w:t>
      </w:r>
      <w:r>
        <w:rPr>
          <w:rFonts w:ascii="Times New Roman" w:hAnsi="Times New Roman"/>
          <w:color w:val="000000"/>
          <w:sz w:val="24"/>
        </w:rPr>
        <w:t>by operation of law or otherwise, the direct or indirect change in control, merger, consolidation or acquisition of all or substantially all of the assets of LLC or AMC, as applicable,</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color w:val="000000"/>
          <w:sz w:val="23"/>
        </w:rPr>
        <w:t xml:space="preserve">(b) </w:t>
      </w:r>
      <w:r>
        <w:rPr>
          <w:rFonts w:ascii="Times New Roman" w:hAnsi="Times New Roman"/>
          <w:color w:val="000000"/>
          <w:sz w:val="24"/>
        </w:rPr>
        <w:t>the assignment of this Agreement by AMC to an Affiliate in connection with a bona fide business purpose, provided such Affiliate executes a joinder to this Agreement,</w:t>
      </w:r>
    </w:p>
    <w:p>
      <w:pPr>
        <w:pStyle w:val="TextBody"/>
        <w:bidi w:val="0"/>
        <w:spacing w:before="240" w:after="283"/>
        <w:jc w:val="both"/>
        <w:rPr>
          <w:rFonts w:ascii="Times New Roman" w:hAnsi="Times New Roman"/>
          <w:sz w:val="20"/>
        </w:rPr>
      </w:pPr>
      <w:r>
        <w:rPr>
          <w:rFonts w:ascii="Times New Roman" w:hAnsi="Times New Roman"/>
          <w:b/>
          <w:color w:val="000000"/>
          <w:sz w:val="23"/>
        </w:rPr>
        <w:t xml:space="preserve">(c) </w:t>
      </w:r>
      <w:r>
        <w:rPr>
          <w:rFonts w:ascii="Times New Roman" w:hAnsi="Times New Roman"/>
          <w:color w:val="000000"/>
          <w:sz w:val="24"/>
        </w:rPr>
        <w:t>with respect to the rights and obligations of LLC under this Agreement, (i) the grant of a security interest by LLC in this Agreement and all rights and obligations of LLC hereunder to a lender, group of lenders, or an administrative agent in connection with a credit agreement or other secured debt agreement, (ii) the assignment or other transfer of such rights and obligations to the lender, group of lenders, or an administrative agent or other third party upon the exercise of remedies in accordance with LLC’s existing credit agreement or other secured debt and/or any other secured debt to be entered into or issued by LLC and the subsequent assignment or other transfer of such rights and obligations by the lender, group of lenders, or an administrative agent to a third party, or</w:t>
      </w:r>
    </w:p>
    <w:p>
      <w:pPr>
        <w:pStyle w:val="TextBody"/>
        <w:bidi w:val="0"/>
        <w:spacing w:before="240" w:after="283"/>
        <w:jc w:val="both"/>
        <w:rPr>
          <w:rFonts w:ascii="Times New Roman" w:hAnsi="Times New Roman"/>
          <w:sz w:val="20"/>
        </w:rPr>
      </w:pPr>
      <w:r>
        <w:rPr>
          <w:rFonts w:ascii="Times New Roman" w:hAnsi="Times New Roman"/>
          <w:b/>
          <w:color w:val="000000"/>
          <w:sz w:val="23"/>
        </w:rPr>
        <w:t xml:space="preserve">(d) </w:t>
      </w:r>
      <w:r>
        <w:rPr>
          <w:rFonts w:ascii="Times New Roman" w:hAnsi="Times New Roman"/>
          <w:color w:val="000000"/>
          <w:sz w:val="24"/>
        </w:rPr>
        <w:t>in the event that LLC becomes a debtor in a case under the Bankruptcy Code, the assumption and/or assignment by LLC of this Agreement under section 365 of the Bankruptcy Code, notwithstanding the provisions of section 365(c) thereof.</w:t>
      </w:r>
    </w:p>
    <w:p>
      <w:pPr>
        <w:pStyle w:val="TextBody"/>
        <w:bidi w:val="0"/>
        <w:spacing w:before="240" w:after="283"/>
        <w:jc w:val="both"/>
        <w:rPr/>
      </w:pPr>
      <w:r>
        <w:rPr>
          <w:color w:val="000000"/>
        </w:rPr>
        <w:t>“</w:t>
      </w:r>
      <w:r>
        <w:rPr>
          <w:rFonts w:ascii="Times New Roman" w:hAnsi="Times New Roman"/>
          <w:b/>
          <w:color w:val="000000"/>
          <w:sz w:val="24"/>
        </w:rPr>
        <w:t>Person</w:t>
      </w:r>
      <w:r>
        <w:rPr>
          <w:rFonts w:ascii="Times New Roman" w:hAnsi="Times New Roman"/>
          <w:color w:val="000000"/>
          <w:sz w:val="20"/>
        </w:rPr>
        <w:t xml:space="preserve">” </w:t>
      </w:r>
      <w:r>
        <w:rPr>
          <w:rFonts w:ascii="Times New Roman" w:hAnsi="Times New Roman"/>
          <w:color w:val="000000"/>
          <w:sz w:val="24"/>
        </w:rPr>
        <w:t>means any individual, corporation, limited liability company, partnership, trust, joint stock company, business trust, unincorporated association, joint venture, Governmental Authority or other entity or organization of any nature whatsoever or any Group of two or more of the foregoing.</w:t>
      </w:r>
    </w:p>
    <w:p>
      <w:pPr>
        <w:pStyle w:val="TextBody"/>
        <w:bidi w:val="0"/>
        <w:spacing w:before="240" w:after="283"/>
        <w:jc w:val="both"/>
        <w:rPr/>
      </w:pPr>
      <w:r>
        <w:rPr>
          <w:color w:val="000000"/>
        </w:rPr>
        <w:t>“</w:t>
      </w:r>
      <w:r>
        <w:rPr>
          <w:rFonts w:ascii="Times New Roman" w:hAnsi="Times New Roman"/>
          <w:b/>
          <w:color w:val="000000"/>
          <w:sz w:val="24"/>
        </w:rPr>
        <w:t>Platinum Spot</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4.01(b)(i)(B)</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b/>
          <w:color w:val="000000"/>
          <w:sz w:val="24"/>
        </w:rPr>
        <w:t>Platinum Spot Revenue Share</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2.05(c)</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Play List</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4.01(a)</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b/>
          <w:color w:val="000000"/>
          <w:sz w:val="24"/>
        </w:rPr>
        <w:t>Policy Trailer</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4.04(b)</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Political Advertising</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Schedule 4.02.</w:t>
      </w:r>
    </w:p>
    <w:p>
      <w:pPr>
        <w:pStyle w:val="TextBody"/>
        <w:bidi w:val="0"/>
        <w:spacing w:before="240" w:after="283"/>
        <w:jc w:val="both"/>
        <w:rPr/>
      </w:pPr>
      <w:r>
        <w:rPr>
          <w:color w:val="000000"/>
        </w:rPr>
        <w:t>“</w:t>
      </w:r>
      <w:r>
        <w:rPr>
          <w:rFonts w:ascii="Times New Roman" w:hAnsi="Times New Roman"/>
          <w:b/>
          <w:color w:val="000000"/>
          <w:sz w:val="24"/>
        </w:rPr>
        <w:t>Political Revenue Share</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Schedule 4.02.</w:t>
      </w:r>
    </w:p>
    <w:p>
      <w:pPr>
        <w:pStyle w:val="TextBody"/>
        <w:bidi w:val="0"/>
        <w:spacing w:before="240" w:after="283"/>
        <w:jc w:val="both"/>
        <w:rPr/>
      </w:pPr>
      <w:r>
        <w:rPr>
          <w:color w:val="000000"/>
        </w:rPr>
        <w:t>“</w:t>
      </w:r>
      <w:r>
        <w:rPr>
          <w:rFonts w:ascii="Times New Roman" w:hAnsi="Times New Roman"/>
          <w:b/>
          <w:color w:val="000000"/>
          <w:sz w:val="24"/>
        </w:rPr>
        <w:t>Pre-Feature Program</w:t>
      </w:r>
      <w:r>
        <w:rPr>
          <w:rFonts w:ascii="Times New Roman" w:hAnsi="Times New Roman"/>
          <w:color w:val="000000"/>
          <w:sz w:val="20"/>
        </w:rPr>
        <w:t xml:space="preserve">” </w:t>
      </w:r>
      <w:r>
        <w:rPr>
          <w:rFonts w:ascii="Times New Roman" w:hAnsi="Times New Roman"/>
          <w:color w:val="000000"/>
          <w:sz w:val="24"/>
        </w:rPr>
        <w:t>means a program of digital content of (i) between 20 and 25 minutes in length that is distributed by LLC through the Digital Content Network for exhibition in Theatres beginning 15 to 20 minutes prior to Showtime (the “</w:t>
      </w:r>
      <w:r>
        <w:rPr>
          <w:rFonts w:ascii="Times New Roman" w:hAnsi="Times New Roman"/>
          <w:b/>
          <w:color w:val="000000"/>
          <w:sz w:val="24"/>
        </w:rPr>
        <w:t>Preshow</w:t>
      </w:r>
      <w:r>
        <w:rPr>
          <w:rFonts w:ascii="Times New Roman" w:hAnsi="Times New Roman"/>
          <w:color w:val="000000"/>
          <w:sz w:val="20"/>
        </w:rPr>
        <w:t>”</w:t>
      </w:r>
      <w:r>
        <w:rPr>
          <w:rFonts w:ascii="Times New Roman" w:hAnsi="Times New Roman"/>
          <w:color w:val="000000"/>
          <w:sz w:val="24"/>
        </w:rPr>
        <w:t xml:space="preserve">) and ending 5 minutes immediately following Showtime (as further described in </w:t>
      </w:r>
      <w:r>
        <w:rPr>
          <w:rFonts w:ascii="Times New Roman" w:hAnsi="Times New Roman"/>
          <w:color w:val="000000"/>
          <w:sz w:val="24"/>
          <w:u w:val="single"/>
        </w:rPr>
        <w:t>Section 4.01(b)</w:t>
      </w:r>
      <w:r>
        <w:rPr>
          <w:rFonts w:ascii="Times New Roman" w:hAnsi="Times New Roman"/>
          <w:color w:val="000000"/>
          <w:sz w:val="24"/>
        </w:rPr>
        <w:t>) (the “</w:t>
      </w:r>
      <w:r>
        <w:rPr>
          <w:rFonts w:ascii="Times New Roman" w:hAnsi="Times New Roman"/>
          <w:b/>
          <w:color w:val="000000"/>
          <w:sz w:val="24"/>
        </w:rPr>
        <w:t>Postshow</w:t>
      </w:r>
      <w:r>
        <w:rPr>
          <w:rFonts w:ascii="Times New Roman" w:hAnsi="Times New Roman"/>
          <w:color w:val="000000"/>
          <w:sz w:val="20"/>
        </w:rPr>
        <w:t>”</w:t>
      </w:r>
      <w:r>
        <w:rPr>
          <w:rFonts w:ascii="Times New Roman" w:hAnsi="Times New Roman"/>
          <w:color w:val="000000"/>
          <w:sz w:val="24"/>
        </w:rPr>
        <w:t>) of a feature film or Digital Programming Event and (ii) the Platinum Spot.</w:t>
      </w:r>
    </w:p>
    <w:p>
      <w:pPr>
        <w:pStyle w:val="TextBody"/>
        <w:bidi w:val="0"/>
        <w:spacing w:before="240" w:after="283"/>
        <w:jc w:val="both"/>
        <w:rPr/>
      </w:pPr>
      <w:r>
        <w:rPr>
          <w:color w:val="000000"/>
        </w:rPr>
        <w:t>“</w:t>
      </w:r>
      <w:r>
        <w:rPr>
          <w:rFonts w:ascii="Times New Roman" w:hAnsi="Times New Roman"/>
          <w:b/>
          <w:color w:val="000000"/>
          <w:sz w:val="24"/>
        </w:rPr>
        <w:t>Pre-Feature Programming Schedule</w:t>
      </w:r>
      <w:r>
        <w:rPr>
          <w:rFonts w:ascii="Times New Roman" w:hAnsi="Times New Roman"/>
          <w:color w:val="000000"/>
          <w:sz w:val="20"/>
        </w:rPr>
        <w:t xml:space="preserve">” </w:t>
      </w:r>
      <w:r>
        <w:rPr>
          <w:rFonts w:ascii="Times New Roman" w:hAnsi="Times New Roman"/>
          <w:color w:val="000000"/>
          <w:sz w:val="24"/>
        </w:rPr>
        <w:t>means the schedule for the Pre-Feature Program as developed from time to time by LLC after consultation with AMC.</w:t>
      </w:r>
    </w:p>
    <w:p>
      <w:pPr>
        <w:pStyle w:val="TextBody"/>
        <w:bidi w:val="0"/>
        <w:spacing w:before="240" w:after="283"/>
        <w:jc w:val="both"/>
        <w:rPr/>
      </w:pPr>
      <w:r>
        <w:rPr>
          <w:color w:val="000000"/>
        </w:rPr>
        <w:t>“</w:t>
      </w:r>
      <w:r>
        <w:rPr>
          <w:rFonts w:ascii="Times New Roman" w:hAnsi="Times New Roman"/>
          <w:b/>
          <w:color w:val="000000"/>
          <w:sz w:val="24"/>
        </w:rPr>
        <w:t>Premium Large Format Screen</w:t>
      </w:r>
      <w:r>
        <w:rPr>
          <w:rFonts w:ascii="Times New Roman" w:hAnsi="Times New Roman"/>
          <w:color w:val="000000"/>
          <w:sz w:val="20"/>
        </w:rPr>
        <w:t xml:space="preserve">” </w:t>
      </w:r>
      <w:r>
        <w:rPr>
          <w:rFonts w:ascii="Times New Roman" w:hAnsi="Times New Roman"/>
          <w:color w:val="000000"/>
          <w:sz w:val="24"/>
        </w:rPr>
        <w:t>means a large format screen that uses premium technology licensed or otherwise provided by a third-party, and is marketed and sold by AMC as a premium large format. As of the date hereof, the parties agree that only IMAX Screens, Dolby Cinema Screens, 4DX Screens, and multi-projector ScreenX Screens are Premium Large Format Screens. [***]</w:t>
      </w:r>
    </w:p>
    <w:p>
      <w:pPr>
        <w:pStyle w:val="TextBody"/>
        <w:bidi w:val="0"/>
        <w:spacing w:before="240" w:after="283"/>
        <w:jc w:val="both"/>
        <w:rPr/>
      </w:pPr>
      <w:r>
        <w:rPr>
          <w:color w:val="000000"/>
        </w:rPr>
        <w:t>“</w:t>
      </w:r>
      <w:r>
        <w:rPr>
          <w:rFonts w:ascii="Times New Roman" w:hAnsi="Times New Roman"/>
          <w:b/>
          <w:color w:val="000000"/>
          <w:sz w:val="24"/>
        </w:rPr>
        <w:t>Projection System</w:t>
      </w:r>
      <w:r>
        <w:rPr>
          <w:rFonts w:ascii="Times New Roman" w:hAnsi="Times New Roman"/>
          <w:color w:val="000000"/>
          <w:sz w:val="20"/>
        </w:rPr>
        <w:t xml:space="preserve">” </w:t>
      </w:r>
      <w:r>
        <w:rPr>
          <w:rFonts w:ascii="Times New Roman" w:hAnsi="Times New Roman"/>
          <w:color w:val="000000"/>
          <w:sz w:val="24"/>
        </w:rPr>
        <w:t>means, collectively, a digital projection system including at least the following components: a digital projector with a minimum resolution of 2K, a digital</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cinema playout system (server or media block) and a screen management system for the relevant Screen.</w:t>
      </w:r>
    </w:p>
    <w:p>
      <w:pPr>
        <w:pStyle w:val="TextBody"/>
        <w:bidi w:val="0"/>
        <w:spacing w:before="240" w:after="283"/>
        <w:jc w:val="both"/>
        <w:rPr/>
      </w:pPr>
      <w:r>
        <w:rPr>
          <w:color w:val="000000"/>
        </w:rPr>
        <w:t>“</w:t>
      </w:r>
      <w:r>
        <w:rPr>
          <w:rFonts w:ascii="Times New Roman" w:hAnsi="Times New Roman"/>
          <w:b/>
          <w:color w:val="000000"/>
          <w:sz w:val="24"/>
        </w:rPr>
        <w:t>Proprietary Information</w:t>
      </w:r>
      <w:r>
        <w:rPr>
          <w:rFonts w:ascii="Times New Roman" w:hAnsi="Times New Roman"/>
          <w:color w:val="000000"/>
          <w:sz w:val="20"/>
        </w:rPr>
        <w:t xml:space="preserve">” </w:t>
      </w:r>
      <w:r>
        <w:rPr>
          <w:rFonts w:ascii="Times New Roman" w:hAnsi="Times New Roman"/>
          <w:color w:val="000000"/>
          <w:sz w:val="24"/>
        </w:rPr>
        <w:t>means all Intellectual Property, including but not limited to information of a technological or business nature, whether written or oral and if written, however produced or reproduced, received by or otherwise disclosed to the receiving Party from or by the disclosing Party that is marked proprietary or confidential or bears a marking of like import, or that the disclosing Party states is to be considered proprietary or confidential, or that a reasonable person would consider proprietary or confidential under the circumstances of its disclosure.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 xml:space="preserve">PSA Trailer” </w:t>
      </w:r>
      <w:r>
        <w:rPr>
          <w:rFonts w:ascii="Times New Roman" w:hAnsi="Times New Roman"/>
          <w:color w:val="000000"/>
          <w:sz w:val="24"/>
        </w:rPr>
        <w:t>means up to 30 seconds for AMC approved fundraising or public service/awareness campaign and that may contain the display of any trademark, service mark, logo or other branding of the charitable organizations and/or AMC suppliers/vendors sponsoring such campaign that is exhibited in the Theatres after Showtime. PSA Trailers may not contain blatant advertising for AMC suppliers/vendors sponsoring the message and will satisfy all requirements of a Sponsor Message. AMC may also include PSA Trailer content in its Branded Slots or Policy Trailer.</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b/>
          <w:color w:val="000000"/>
          <w:sz w:val="24"/>
        </w:rPr>
        <w:t>Renewal Term</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9.01</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left"/>
        <w:rPr/>
      </w:pPr>
      <w:r>
        <w:rPr>
          <w:color w:val="000000"/>
        </w:rPr>
        <w:t>“</w:t>
      </w:r>
      <w:r>
        <w:rPr>
          <w:rFonts w:ascii="Times New Roman" w:hAnsi="Times New Roman"/>
          <w:b/>
          <w:color w:val="000000"/>
          <w:sz w:val="24"/>
        </w:rPr>
        <w:t>Representatives</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11.01(a)</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Revenue Share</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2.05(b)</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b/>
          <w:color w:val="000000"/>
          <w:sz w:val="24"/>
        </w:rPr>
        <w:t>Reverted Agreement</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9.03(c)</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Run-Out Obligations</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4.07(a)</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Showtime</w:t>
      </w:r>
      <w:r>
        <w:rPr>
          <w:rFonts w:ascii="Times New Roman" w:hAnsi="Times New Roman"/>
          <w:color w:val="000000"/>
          <w:sz w:val="20"/>
        </w:rPr>
        <w:t xml:space="preserve">” </w:t>
      </w:r>
      <w:r>
        <w:rPr>
          <w:rFonts w:ascii="Times New Roman" w:hAnsi="Times New Roman"/>
          <w:color w:val="000000"/>
          <w:sz w:val="24"/>
        </w:rPr>
        <w:t>means the advertised showtime for a feature film or a Digital Programming Event, which will include the period of time for the Postshow, Trailers and other permitted content prior to the actual start of the feature film or a Digital Programming Event. If local laws or regulations require advertisement of the actual start time of the feature film or Digital Programming Event, the Parties will cooperate to determine compliance approaches that minimize the impact on the Pre-Feature Program, the Postshow and Trailers, provided, however, that AMC shall not be required to take any action that it reasonably determines would be violative of such laws or regulations.</w:t>
      </w:r>
    </w:p>
    <w:p>
      <w:pPr>
        <w:pStyle w:val="TextBody"/>
        <w:bidi w:val="0"/>
        <w:spacing w:before="240" w:after="283"/>
        <w:jc w:val="both"/>
        <w:rPr/>
      </w:pPr>
      <w:r>
        <w:rPr>
          <w:color w:val="000000"/>
        </w:rPr>
        <w:t>“</w:t>
      </w:r>
      <w:r>
        <w:rPr>
          <w:rFonts w:ascii="Times New Roman" w:hAnsi="Times New Roman"/>
          <w:b/>
          <w:color w:val="000000"/>
          <w:sz w:val="24"/>
        </w:rPr>
        <w:t>Software</w:t>
      </w:r>
      <w:r>
        <w:rPr>
          <w:rFonts w:ascii="Times New Roman" w:hAnsi="Times New Roman"/>
          <w:color w:val="000000"/>
          <w:sz w:val="20"/>
        </w:rPr>
        <w:t xml:space="preserve">” </w:t>
      </w:r>
      <w:r>
        <w:rPr>
          <w:rFonts w:ascii="Times New Roman" w:hAnsi="Times New Roman"/>
          <w:color w:val="000000"/>
          <w:sz w:val="24"/>
        </w:rPr>
        <w:t>means the software owned by, and/or licensed to, LLC or its direct or indirect Subsidiaries and which is installed on either LLC Equipment or AMC Equipment and used in connection with delivery of the Digital Content Service and the Digital Carousel.</w:t>
      </w:r>
    </w:p>
    <w:p>
      <w:pPr>
        <w:pStyle w:val="TextBody"/>
        <w:bidi w:val="0"/>
        <w:spacing w:before="240" w:after="283"/>
        <w:jc w:val="both"/>
        <w:rPr/>
      </w:pPr>
      <w:r>
        <w:rPr>
          <w:color w:val="000000"/>
        </w:rPr>
        <w:t>“</w:t>
      </w:r>
      <w:r>
        <w:rPr>
          <w:rFonts w:ascii="Times New Roman" w:hAnsi="Times New Roman"/>
          <w:b/>
          <w:color w:val="000000"/>
          <w:sz w:val="24"/>
        </w:rPr>
        <w:t>Special Promotions</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4.13</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Specification Documentation</w:t>
      </w:r>
      <w:r>
        <w:rPr>
          <w:rFonts w:ascii="Times New Roman" w:hAnsi="Times New Roman"/>
          <w:color w:val="000000"/>
          <w:sz w:val="20"/>
        </w:rPr>
        <w:t xml:space="preserve">” </w:t>
      </w:r>
      <w:r>
        <w:rPr>
          <w:rFonts w:ascii="Times New Roman" w:hAnsi="Times New Roman"/>
          <w:color w:val="000000"/>
          <w:sz w:val="24"/>
        </w:rPr>
        <w:t>means documentation relating to technical specifications or other matters relating to this Agreement, that is mutually agreed upon by the Parties from time-to-time.</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4"/>
        </w:rPr>
        <w:t>Sponsor</w:t>
      </w:r>
      <w:r>
        <w:rPr>
          <w:rFonts w:ascii="Times New Roman" w:hAnsi="Times New Roman"/>
          <w:color w:val="000000"/>
          <w:sz w:val="20"/>
        </w:rPr>
        <w:t xml:space="preserve">” </w:t>
      </w:r>
      <w:r>
        <w:rPr>
          <w:rFonts w:ascii="Times New Roman" w:hAnsi="Times New Roman"/>
          <w:color w:val="000000"/>
          <w:sz w:val="24"/>
        </w:rPr>
        <w:t>means any Person that, financially or through the provision of goods or services, supports the production, distribution, underwriting or marketing of a Digital Programming Event.</w:t>
      </w:r>
    </w:p>
    <w:p>
      <w:pPr>
        <w:pStyle w:val="TextBody"/>
        <w:bidi w:val="0"/>
        <w:spacing w:before="240" w:after="283"/>
        <w:jc w:val="left"/>
        <w:rPr/>
      </w:pPr>
      <w:r>
        <w:rPr>
          <w:color w:val="000000"/>
        </w:rPr>
        <w:t>“</w:t>
      </w:r>
      <w:r>
        <w:rPr>
          <w:rFonts w:ascii="Times New Roman" w:hAnsi="Times New Roman"/>
          <w:b/>
          <w:color w:val="000000"/>
          <w:sz w:val="24"/>
        </w:rPr>
        <w:t>Sponsor Message</w:t>
      </w:r>
      <w:r>
        <w:rPr>
          <w:rFonts w:ascii="Times New Roman" w:hAnsi="Times New Roman"/>
          <w:color w:val="000000"/>
          <w:sz w:val="20"/>
        </w:rPr>
        <w:t xml:space="preserve">” </w:t>
      </w:r>
      <w:r>
        <w:rPr>
          <w:rFonts w:ascii="Times New Roman" w:hAnsi="Times New Roman"/>
          <w:color w:val="000000"/>
          <w:sz w:val="24"/>
        </w:rPr>
        <w:t>means a marketing message from a Sponsor that may be exhibited under the conditions, restrictions and requirements identified herein.</w:t>
      </w:r>
    </w:p>
    <w:p>
      <w:pPr>
        <w:pStyle w:val="TextBody"/>
        <w:bidi w:val="0"/>
        <w:spacing w:before="240" w:after="283"/>
        <w:jc w:val="both"/>
        <w:rPr/>
      </w:pPr>
      <w:r>
        <w:rPr>
          <w:color w:val="000000"/>
        </w:rPr>
        <w:t>“</w:t>
      </w:r>
      <w:r>
        <w:rPr>
          <w:rFonts w:ascii="Times New Roman" w:hAnsi="Times New Roman"/>
          <w:b/>
          <w:color w:val="000000"/>
          <w:sz w:val="24"/>
        </w:rPr>
        <w:t>Standard Format Screen</w:t>
      </w:r>
      <w:r>
        <w:rPr>
          <w:rFonts w:ascii="Times New Roman" w:hAnsi="Times New Roman"/>
          <w:color w:val="000000"/>
          <w:sz w:val="20"/>
        </w:rPr>
        <w:t xml:space="preserve">” </w:t>
      </w:r>
      <w:r>
        <w:rPr>
          <w:rFonts w:ascii="Times New Roman" w:hAnsi="Times New Roman"/>
          <w:color w:val="000000"/>
          <w:sz w:val="24"/>
        </w:rPr>
        <w:t>means any screen that is not a Premium Large Format Screen.</w:t>
      </w:r>
      <w:r>
        <w:rPr>
          <w:rFonts w:ascii="Times New Roman" w:hAnsi="Times New Roman"/>
          <w:color w:val="000000"/>
          <w:sz w:val="20"/>
        </w:rPr>
        <w:t xml:space="preserve"> </w:t>
      </w:r>
    </w:p>
    <w:p>
      <w:pPr>
        <w:pStyle w:val="TextBody"/>
        <w:bidi w:val="0"/>
        <w:spacing w:before="240" w:after="283"/>
        <w:jc w:val="left"/>
        <w:rPr/>
      </w:pPr>
      <w:r>
        <w:rPr>
          <w:color w:val="000000"/>
        </w:rPr>
        <w:t>“</w:t>
      </w:r>
      <w:r>
        <w:rPr>
          <w:rFonts w:ascii="Times New Roman" w:hAnsi="Times New Roman"/>
          <w:b/>
          <w:color w:val="000000"/>
          <w:sz w:val="24"/>
        </w:rPr>
        <w:t>Strategic LEN Programs</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4.06(b)(ii)</w:t>
      </w:r>
      <w:r>
        <w:rPr>
          <w:rFonts w:ascii="Times New Roman" w:hAnsi="Times New Roman"/>
          <w:color w:val="000000"/>
          <w:sz w:val="24"/>
        </w:rPr>
        <w:t>.</w:t>
      </w:r>
    </w:p>
    <w:p>
      <w:pPr>
        <w:pStyle w:val="TextBody"/>
        <w:bidi w:val="0"/>
        <w:spacing w:before="240" w:after="283"/>
        <w:jc w:val="left"/>
        <w:rPr/>
      </w:pPr>
      <w:r>
        <w:rPr>
          <w:color w:val="000000"/>
        </w:rPr>
        <w:t>“</w:t>
      </w:r>
      <w:r>
        <w:rPr>
          <w:rFonts w:ascii="Times New Roman" w:hAnsi="Times New Roman"/>
          <w:b/>
          <w:color w:val="000000"/>
          <w:sz w:val="24"/>
        </w:rPr>
        <w:t>Strategic Lobby Programs</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4.06(b)(iii)</w:t>
      </w:r>
      <w:r>
        <w:rPr>
          <w:rFonts w:ascii="Times New Roman" w:hAnsi="Times New Roman"/>
          <w:color w:val="000000"/>
          <w:sz w:val="24"/>
        </w:rPr>
        <w:t>.</w:t>
      </w:r>
    </w:p>
    <w:p>
      <w:pPr>
        <w:pStyle w:val="TextBody"/>
        <w:bidi w:val="0"/>
        <w:spacing w:before="240" w:after="283"/>
        <w:jc w:val="left"/>
        <w:rPr/>
      </w:pPr>
      <w:r>
        <w:rPr>
          <w:color w:val="000000"/>
        </w:rPr>
        <w:t>“</w:t>
      </w:r>
      <w:r>
        <w:rPr>
          <w:rFonts w:ascii="Times New Roman" w:hAnsi="Times New Roman"/>
          <w:b/>
          <w:color w:val="000000"/>
          <w:sz w:val="24"/>
        </w:rPr>
        <w:t>Strategic Programs</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4.06(b)</w:t>
      </w:r>
      <w:r>
        <w:rPr>
          <w:rFonts w:ascii="Times New Roman" w:hAnsi="Times New Roman"/>
          <w:color w:val="000000"/>
          <w:sz w:val="24"/>
        </w:rPr>
        <w:t>.</w:t>
      </w:r>
    </w:p>
    <w:p>
      <w:pPr>
        <w:pStyle w:val="TextBody"/>
        <w:bidi w:val="0"/>
        <w:spacing w:before="240" w:after="283"/>
        <w:jc w:val="left"/>
        <w:rPr/>
      </w:pPr>
      <w:r>
        <w:rPr>
          <w:color w:val="000000"/>
        </w:rPr>
        <w:t>“</w:t>
      </w:r>
      <w:r>
        <w:rPr>
          <w:rFonts w:ascii="Times New Roman" w:hAnsi="Times New Roman"/>
          <w:b/>
          <w:color w:val="000000"/>
          <w:sz w:val="24"/>
        </w:rPr>
        <w:t>Strategic Relationship</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4.06(b)</w:t>
      </w:r>
      <w:r>
        <w:rPr>
          <w:rFonts w:ascii="Times New Roman" w:hAnsi="Times New Roman"/>
          <w:color w:val="000000"/>
          <w:sz w:val="24"/>
        </w:rPr>
        <w:t>.</w:t>
      </w:r>
    </w:p>
    <w:p>
      <w:pPr>
        <w:pStyle w:val="TextBody"/>
        <w:bidi w:val="0"/>
        <w:spacing w:before="240" w:after="283"/>
        <w:jc w:val="left"/>
        <w:rPr/>
      </w:pPr>
      <w:r>
        <w:rPr>
          <w:color w:val="000000"/>
        </w:rPr>
        <w:t>“</w:t>
      </w:r>
      <w:r>
        <w:rPr>
          <w:rFonts w:ascii="Times New Roman" w:hAnsi="Times New Roman"/>
          <w:b/>
          <w:color w:val="000000"/>
          <w:sz w:val="24"/>
        </w:rPr>
        <w:t>Subsidiary</w:t>
      </w:r>
      <w:r>
        <w:rPr>
          <w:rFonts w:ascii="Times New Roman" w:hAnsi="Times New Roman"/>
          <w:color w:val="000000"/>
          <w:sz w:val="20"/>
        </w:rPr>
        <w:t xml:space="preserve">” </w:t>
      </w:r>
      <w:r>
        <w:rPr>
          <w:rFonts w:ascii="Times New Roman" w:hAnsi="Times New Roman"/>
          <w:color w:val="000000"/>
          <w:sz w:val="24"/>
        </w:rPr>
        <w:t>means, with respect to any Person, (i) a corporation a majority of whose capital stock with the general voting power under ordinary circumstances to vote in the election of directors of such corporation (irrespective of whether or not, at the time, any other class or classes of securities shall have, or might have, voting power by reason of the happening of any contingency) is at the time beneficially owned by such Person, by one or more Subsidiaries of such Person or by such Person and one or more Subsidiaries thereof or (ii) any other Person (other than a corporation), including a joint venture, a general or limited partnership or a limited liability company, in which such Person, one or more Subsidiaries thereof or such Person and one or more Subsidiaries thereof, directly or indirectly, at the date of determination thereof, beneficially own a majority ownership interest entitled to vote in the election of directors, managers or trustees thereof (or other Persons performing such functions) or act as the general partner or managing member of such other Person.</w:t>
      </w:r>
      <w:r>
        <w:rPr>
          <w:rFonts w:ascii="Times New Roman" w:hAnsi="Times New Roman"/>
          <w:color w:val="000000"/>
          <w:sz w:val="20"/>
        </w:rPr>
        <w:t xml:space="preserve"> </w:t>
      </w:r>
    </w:p>
    <w:p>
      <w:pPr>
        <w:pStyle w:val="TextBody"/>
        <w:bidi w:val="0"/>
        <w:spacing w:before="240" w:after="283"/>
        <w:jc w:val="left"/>
        <w:rPr/>
      </w:pPr>
      <w:r>
        <w:rPr>
          <w:color w:val="000000"/>
        </w:rPr>
        <w:t>“</w:t>
      </w:r>
      <w:r>
        <w:rPr>
          <w:rFonts w:ascii="Times New Roman" w:hAnsi="Times New Roman"/>
          <w:b/>
          <w:color w:val="000000"/>
          <w:sz w:val="24"/>
        </w:rPr>
        <w:t>Term</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9.01</w:t>
      </w:r>
      <w:r>
        <w:rPr>
          <w:rFonts w:ascii="Times New Roman" w:hAnsi="Times New Roman"/>
          <w:color w:val="000000"/>
          <w:sz w:val="24"/>
        </w:rPr>
        <w:t>.</w:t>
      </w:r>
    </w:p>
    <w:p>
      <w:pPr>
        <w:pStyle w:val="TextBody"/>
        <w:bidi w:val="0"/>
        <w:spacing w:before="240" w:after="283"/>
        <w:jc w:val="left"/>
        <w:rPr/>
      </w:pPr>
      <w:r>
        <w:rPr>
          <w:color w:val="000000"/>
        </w:rPr>
        <w:t>“</w:t>
      </w:r>
      <w:r>
        <w:rPr>
          <w:rFonts w:ascii="Times New Roman" w:hAnsi="Times New Roman"/>
          <w:b/>
          <w:color w:val="000000"/>
          <w:sz w:val="24"/>
        </w:rPr>
        <w:t>Territory</w:t>
      </w:r>
      <w:r>
        <w:rPr>
          <w:rFonts w:ascii="Times New Roman" w:hAnsi="Times New Roman"/>
          <w:color w:val="000000"/>
          <w:sz w:val="20"/>
        </w:rPr>
        <w:t xml:space="preserve">” </w:t>
      </w:r>
      <w:r>
        <w:rPr>
          <w:rFonts w:ascii="Times New Roman" w:hAnsi="Times New Roman"/>
          <w:color w:val="000000"/>
          <w:sz w:val="24"/>
        </w:rPr>
        <w:t>means the 50 states of the United States of America and the District of Columbia.</w:t>
      </w:r>
    </w:p>
    <w:p>
      <w:pPr>
        <w:pStyle w:val="TextBody"/>
        <w:bidi w:val="0"/>
        <w:spacing w:before="240" w:after="283"/>
        <w:jc w:val="both"/>
        <w:rPr/>
      </w:pPr>
      <w:r>
        <w:rPr>
          <w:color w:val="000000"/>
        </w:rPr>
        <w:t>“</w:t>
      </w:r>
      <w:r>
        <w:rPr>
          <w:rFonts w:ascii="Times New Roman" w:hAnsi="Times New Roman"/>
          <w:b/>
          <w:color w:val="000000"/>
          <w:sz w:val="24"/>
        </w:rPr>
        <w:t>Theatre Advertising</w:t>
      </w:r>
      <w:r>
        <w:rPr>
          <w:rFonts w:ascii="Times New Roman" w:hAnsi="Times New Roman"/>
          <w:color w:val="000000"/>
          <w:sz w:val="20"/>
        </w:rPr>
        <w:t xml:space="preserve">” </w:t>
      </w:r>
      <w:r>
        <w:rPr>
          <w:rFonts w:ascii="Times New Roman" w:hAnsi="Times New Roman"/>
          <w:color w:val="000000"/>
          <w:sz w:val="24"/>
        </w:rPr>
        <w:t>means advertisement of one or more of the following activities associated with operation of the Theatres of AMC or its Affiliates: (A) the availability and price of Concessions available in the Theatre, which will not include any mention of purchase or consumption outside the Theatre, (B) AMC’s gift cards, loyalty programs and other items related to AMC’s business in the Theatres, (C) events or services presented by AMC including without limitation business meetings, church services or other events, (D) vendors of services (other than film-related vendors or vendors for Digital Programming Events) provided to the Theatres, provided such promotion is incidental to the vendor’s service such as, but without limitation, online or telephone ticketing or other alternative delivery sources for the same, credit cards, bank cards, charge cards, debit cards, gift cards and other consumer payment devices, or (E) AMC branded popcorn or other merchandise available outside of Theatres, which may include a reference to the availability in retail outlets by name. Theatre Advertising includes the display of concession menus, movie listings, Showtimes and pricing information. Theatre Advertising may include QR codes, url addresses, social media identifiers, and the</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logos and trademarks of Concession suppliers and producers and distributors of feature films or Digital Programming Events. Theatre Advertising may not contain blatant advertising for AMC suppliers/vendors or any retail outlets, and AMC may not sell, charge, or market the Theatre Advertising to any third-party and will satisfy all requirements of a Sponsor Message. Provided, however, that AMC shall not be prohibited from receiving customary promotional discounts, rebates, allowances or similar incentives from its suppliers/vendors in connection with its purchases of goods and services that are not a material inducement to entering into the arrangement.</w:t>
      </w:r>
    </w:p>
    <w:p>
      <w:pPr>
        <w:pStyle w:val="TextBody"/>
        <w:bidi w:val="0"/>
        <w:spacing w:before="240" w:after="283"/>
        <w:jc w:val="both"/>
        <w:rPr/>
      </w:pPr>
      <w:r>
        <w:rPr>
          <w:color w:val="000000"/>
        </w:rPr>
        <w:t>“</w:t>
      </w:r>
      <w:r>
        <w:rPr>
          <w:rFonts w:ascii="Times New Roman" w:hAnsi="Times New Roman"/>
          <w:b/>
          <w:color w:val="000000"/>
          <w:sz w:val="24"/>
        </w:rPr>
        <w:t>Theatre Maintenance Fee per Digital Cinema Screen</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Schedule 2.05(h)</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Theatres</w:t>
      </w:r>
      <w:r>
        <w:rPr>
          <w:rFonts w:ascii="Times New Roman" w:hAnsi="Times New Roman"/>
          <w:color w:val="000000"/>
          <w:sz w:val="20"/>
        </w:rPr>
        <w:t xml:space="preserve">” </w:t>
      </w:r>
      <w:r>
        <w:rPr>
          <w:rFonts w:ascii="Times New Roman" w:hAnsi="Times New Roman"/>
          <w:color w:val="000000"/>
          <w:sz w:val="24"/>
        </w:rPr>
        <w:t xml:space="preserve">means from time-to-time, as applicable, all theatres in the Territory owned by AMC or an Affiliate of AMC or as to which AMC or an Affiliate of AMC has a controlling interest or operational control, except as provided in </w:t>
      </w:r>
      <w:r>
        <w:rPr>
          <w:rFonts w:ascii="Times New Roman" w:hAnsi="Times New Roman"/>
          <w:color w:val="000000"/>
          <w:sz w:val="24"/>
          <w:u w:val="single"/>
        </w:rPr>
        <w:t>Sections 2.02</w:t>
      </w:r>
      <w:r>
        <w:rPr>
          <w:rFonts w:ascii="Times New Roman" w:hAnsi="Times New Roman"/>
          <w:color w:val="000000"/>
          <w:sz w:val="24"/>
        </w:rPr>
        <w:t xml:space="preserve">, </w:t>
      </w:r>
      <w:r>
        <w:rPr>
          <w:rFonts w:ascii="Times New Roman" w:hAnsi="Times New Roman"/>
          <w:color w:val="000000"/>
          <w:sz w:val="24"/>
          <w:u w:val="single"/>
        </w:rPr>
        <w:t>4.07</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4.12</w:t>
      </w:r>
      <w:r>
        <w:rPr>
          <w:rFonts w:ascii="Times New Roman" w:hAnsi="Times New Roman"/>
          <w:color w:val="000000"/>
          <w:sz w:val="20"/>
        </w:rPr>
        <w:t xml:space="preserve"> </w:t>
      </w:r>
      <w:r>
        <w:rPr>
          <w:rFonts w:ascii="Times New Roman" w:hAnsi="Times New Roman"/>
          <w:color w:val="000000"/>
          <w:sz w:val="24"/>
        </w:rPr>
        <w:t xml:space="preserve">or as may be mutually agreed by the Parties in writing. The foregoing notwithstanding, no motion picture theatre located outside of the Territory shall be a Theatre without LLC’s prior written consent. Theatre includes all parts of the physical facilities inside a theatre building to which the public has access. The Theatres that are initially subject to this Agreement are listed on </w:t>
      </w:r>
      <w:r>
        <w:rPr>
          <w:rFonts w:ascii="Times New Roman" w:hAnsi="Times New Roman"/>
          <w:color w:val="000000"/>
          <w:sz w:val="24"/>
          <w:u w:val="single"/>
        </w:rPr>
        <w:t>Schedule 1.01</w:t>
      </w:r>
      <w:r>
        <w:rPr>
          <w:rFonts w:ascii="Times New Roman" w:hAnsi="Times New Roman"/>
          <w:color w:val="000000"/>
          <w:sz w:val="24"/>
        </w:rPr>
        <w:t>, which may be amended from time to time by the Parties as Additional Theatres become Theatres or Dispositions occur.</w:t>
      </w:r>
    </w:p>
    <w:p>
      <w:pPr>
        <w:pStyle w:val="TextBody"/>
        <w:bidi w:val="0"/>
        <w:spacing w:before="240" w:after="283"/>
        <w:jc w:val="both"/>
        <w:rPr/>
      </w:pPr>
      <w:r>
        <w:rPr>
          <w:color w:val="000000"/>
        </w:rPr>
        <w:t>“</w:t>
      </w:r>
      <w:r>
        <w:rPr>
          <w:rFonts w:ascii="Times New Roman" w:hAnsi="Times New Roman"/>
          <w:b/>
          <w:color w:val="000000"/>
          <w:sz w:val="24"/>
        </w:rPr>
        <w:t>TMS</w:t>
      </w:r>
      <w:r>
        <w:rPr>
          <w:rFonts w:ascii="Times New Roman" w:hAnsi="Times New Roman"/>
          <w:color w:val="000000"/>
          <w:sz w:val="20"/>
        </w:rPr>
        <w:t xml:space="preserve">” </w:t>
      </w:r>
      <w:r>
        <w:rPr>
          <w:rFonts w:ascii="Times New Roman" w:hAnsi="Times New Roman"/>
          <w:color w:val="000000"/>
          <w:sz w:val="24"/>
        </w:rPr>
        <w:t>means a digital cinema theatre management server.</w:t>
      </w:r>
    </w:p>
    <w:p>
      <w:pPr>
        <w:pStyle w:val="TextBody"/>
        <w:bidi w:val="0"/>
        <w:spacing w:before="240" w:after="283"/>
        <w:jc w:val="both"/>
        <w:rPr/>
      </w:pPr>
      <w:r>
        <w:rPr>
          <w:color w:val="000000"/>
        </w:rPr>
        <w:t>“</w:t>
      </w:r>
      <w:r>
        <w:rPr>
          <w:rFonts w:ascii="Times New Roman" w:hAnsi="Times New Roman"/>
          <w:b/>
          <w:color w:val="000000"/>
          <w:sz w:val="24"/>
        </w:rPr>
        <w:t>Total Campaign Attendance</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2.05(b)(i)(D)</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Trailer</w:t>
      </w:r>
      <w:r>
        <w:rPr>
          <w:rFonts w:ascii="Times New Roman" w:hAnsi="Times New Roman"/>
          <w:color w:val="000000"/>
          <w:sz w:val="20"/>
        </w:rPr>
        <w:t xml:space="preserve">” </w:t>
      </w:r>
      <w:r>
        <w:rPr>
          <w:rFonts w:ascii="Times New Roman" w:hAnsi="Times New Roman"/>
          <w:color w:val="000000"/>
          <w:sz w:val="24"/>
        </w:rPr>
        <w:t>means a promotion secured by AMC, directly or indirectly, for a feature film that is exhibited in the Theatres after the Postshow.</w:t>
      </w:r>
    </w:p>
    <w:p>
      <w:pPr>
        <w:pStyle w:val="TextBody"/>
        <w:bidi w:val="0"/>
        <w:spacing w:before="240" w:after="283"/>
        <w:jc w:val="both"/>
        <w:rPr/>
      </w:pPr>
      <w:r>
        <w:rPr>
          <w:color w:val="000000"/>
        </w:rPr>
        <w:t>“</w:t>
      </w:r>
      <w:r>
        <w:rPr>
          <w:rFonts w:ascii="Times New Roman" w:hAnsi="Times New Roman"/>
          <w:b/>
          <w:color w:val="000000"/>
          <w:sz w:val="24"/>
        </w:rPr>
        <w:t>Trailer Position</w:t>
      </w:r>
      <w:r>
        <w:rPr>
          <w:rFonts w:ascii="Times New Roman" w:hAnsi="Times New Roman"/>
          <w:color w:val="000000"/>
          <w:sz w:val="20"/>
        </w:rPr>
        <w:t xml:space="preserve">” </w:t>
      </w:r>
      <w:r>
        <w:rPr>
          <w:rFonts w:ascii="Times New Roman" w:hAnsi="Times New Roman"/>
          <w:color w:val="000000"/>
          <w:sz w:val="24"/>
        </w:rPr>
        <w:t>means a specified Inventory slot directly preceding the applicable Trailer. For example, “Third Trailer Position” means a slot directly preceding the third Trailer prior to the feature film or Digital Programming Event. For the avoidance of doubt, trailer positions are counted backward from the last trailer, with the last trailer having the “First Trailer Position”. Trailer Position shall be determined without distinction of certain trailers as attached trailers (i.e. the “First Trailer Position” is the last trailer played regardless of whether it is considered an attached trailer).</w:t>
      </w:r>
    </w:p>
    <w:p>
      <w:pPr>
        <w:pStyle w:val="TextBody"/>
        <w:bidi w:val="0"/>
        <w:spacing w:before="240" w:after="283"/>
        <w:jc w:val="both"/>
        <w:rPr/>
      </w:pPr>
      <w:r>
        <w:rPr>
          <w:color w:val="000000"/>
        </w:rPr>
        <w:t>“</w:t>
      </w:r>
      <w:r>
        <w:rPr>
          <w:rFonts w:ascii="Times New Roman" w:hAnsi="Times New Roman"/>
          <w:b/>
          <w:color w:val="000000"/>
          <w:sz w:val="24"/>
        </w:rPr>
        <w:t>Upgrade Request</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3.05</w:t>
      </w:r>
      <w:r>
        <w:rPr>
          <w:rFonts w:ascii="Times New Roman" w:hAnsi="Times New Roman"/>
          <w:color w:val="000000"/>
          <w:sz w:val="24"/>
        </w:rPr>
        <w:t>.</w:t>
      </w:r>
    </w:p>
    <w:p>
      <w:pPr>
        <w:pStyle w:val="Heading1"/>
        <w:bidi w:val="0"/>
        <w:spacing w:before="240" w:after="283"/>
        <w:jc w:val="center"/>
        <w:rPr>
          <w:rFonts w:ascii="Times New Roman" w:hAnsi="Times New Roman"/>
          <w:sz w:val="20"/>
        </w:rPr>
      </w:pPr>
      <w:r>
        <w:rPr>
          <w:rFonts w:ascii="Times New Roman" w:hAnsi="Times New Roman"/>
          <w:color w:val="000000"/>
          <w:sz w:val="24"/>
        </w:rPr>
        <w:t xml:space="preserve">Article 2. </w:t>
      </w:r>
      <w:r>
        <w:rPr>
          <w:rFonts w:ascii="Times New Roman" w:hAnsi="Times New Roman"/>
          <w:color w:val="000000"/>
          <w:sz w:val="24"/>
          <w:u w:val="single"/>
        </w:rPr>
        <w:br/>
        <w:br/>
        <w:t>PARTICIPATION AND FEES</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2.01 </w:t>
      </w:r>
      <w:r>
        <w:rPr>
          <w:rFonts w:ascii="Times New Roman" w:hAnsi="Times New Roman"/>
          <w:color w:val="000000"/>
          <w:sz w:val="24"/>
          <w:u w:val="single"/>
        </w:rPr>
        <w:t>Theatre Service Participation</w:t>
      </w:r>
      <w:r>
        <w:rPr>
          <w:rFonts w:ascii="Times New Roman" w:hAnsi="Times New Roman"/>
          <w:b w:val="false"/>
          <w:color w:val="000000"/>
          <w:sz w:val="24"/>
        </w:rPr>
        <w:t xml:space="preserve">. During the Term, LLC shall provide all aspects of the Advertising Services to AMC and AMC shall exhibit and otherwise participate in such aspects of the Advertising Services, on the terms and conditions set forth herein. Subject to the provisions of </w:t>
      </w:r>
      <w:r>
        <w:rPr>
          <w:rFonts w:ascii="Times New Roman" w:hAnsi="Times New Roman"/>
          <w:b w:val="false"/>
          <w:color w:val="000000"/>
          <w:sz w:val="24"/>
          <w:u w:val="single"/>
        </w:rPr>
        <w:t>Section 4.07</w:t>
      </w:r>
      <w:r>
        <w:rPr>
          <w:rFonts w:ascii="Times New Roman" w:hAnsi="Times New Roman"/>
          <w:color w:val="000000"/>
          <w:sz w:val="20"/>
        </w:rPr>
        <w:t xml:space="preserve"> </w:t>
      </w:r>
      <w:r>
        <w:rPr>
          <w:rFonts w:ascii="Times New Roman" w:hAnsi="Times New Roman"/>
          <w:b w:val="false"/>
          <w:color w:val="000000"/>
          <w:sz w:val="24"/>
        </w:rPr>
        <w:t>(AMC Run-Out Obligations), during the Term all Theatres will participate in the Advertising Services as Digitized Theatres.</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color w:val="000000"/>
          <w:sz w:val="24"/>
          <w:u w:val="single"/>
        </w:rPr>
        <w:t>Digitized Theatres</w:t>
      </w:r>
      <w:r>
        <w:rPr>
          <w:rFonts w:ascii="Times New Roman" w:hAnsi="Times New Roman"/>
          <w:b w:val="false"/>
          <w:color w:val="000000"/>
          <w:sz w:val="24"/>
        </w:rPr>
        <w:t xml:space="preserve">. During the Term, pursuant to the terms of </w:t>
      </w:r>
      <w:r>
        <w:rPr>
          <w:rFonts w:ascii="Times New Roman" w:hAnsi="Times New Roman"/>
          <w:b w:val="false"/>
          <w:color w:val="000000"/>
          <w:sz w:val="24"/>
          <w:u w:val="single"/>
        </w:rPr>
        <w:t>Section 4.01</w:t>
      </w:r>
      <w:r>
        <w:rPr>
          <w:rFonts w:ascii="Times New Roman" w:hAnsi="Times New Roman"/>
          <w:color w:val="000000"/>
          <w:sz w:val="20"/>
        </w:rPr>
        <w:t xml:space="preserve"> </w:t>
      </w:r>
      <w:r>
        <w:rPr>
          <w:rFonts w:ascii="Times New Roman" w:hAnsi="Times New Roman"/>
          <w:b w:val="false"/>
          <w:color w:val="000000"/>
          <w:sz w:val="24"/>
        </w:rPr>
        <w:t xml:space="preserve">(Content and Distribution of the Digital Content Service), LLC will provide the following Advertising Services to the Digitized Theatres, and all Digitized Theatres will, subject to the terms of </w:t>
      </w:r>
      <w:r>
        <w:rPr>
          <w:rFonts w:ascii="Times New Roman" w:hAnsi="Times New Roman"/>
          <w:b w:val="false"/>
          <w:color w:val="000000"/>
          <w:sz w:val="24"/>
          <w:u w:val="single"/>
        </w:rPr>
        <w:t>Section 4.11</w:t>
      </w:r>
      <w:r>
        <w:rPr>
          <w:rFonts w:ascii="Times New Roman" w:hAnsi="Times New Roman"/>
          <w:color w:val="000000"/>
          <w:sz w:val="20"/>
        </w:rPr>
        <w:t xml:space="preserve"> </w:t>
      </w:r>
      <w:r>
        <w:rPr>
          <w:rFonts w:ascii="Times New Roman" w:hAnsi="Times New Roman"/>
          <w:b w:val="false"/>
          <w:color w:val="000000"/>
          <w:sz w:val="24"/>
        </w:rPr>
        <w:t xml:space="preserve">(Customer Access to Pre-Feature Program), participate in (i) the Pre-Feature Program, (ii) the Policy Trailer and (iii) the Lobby Entertainment Program (as described in </w:t>
      </w:r>
      <w:r>
        <w:rPr>
          <w:rFonts w:ascii="Times New Roman" w:hAnsi="Times New Roman"/>
          <w:b w:val="false"/>
          <w:color w:val="000000"/>
          <w:sz w:val="24"/>
          <w:u w:val="single"/>
        </w:rPr>
        <w:t>Addendum A</w:t>
      </w:r>
      <w:r>
        <w:rPr>
          <w:rFonts w:ascii="Times New Roman" w:hAnsi="Times New Roman"/>
          <w:b w:val="false"/>
          <w:color w:val="000000"/>
          <w:sz w:val="24"/>
        </w:rPr>
        <w:t xml:space="preserve">). Additionally, LLC may provide the Digital Carousel during the period beginning after the preceding feature film (or, in the case of the first feature film of the day, beginning after the opening of the auditorium doors for that film) until the beginning of the Pre-Feature Program and, if LLC provides the Digital Carousel, then all Digitized Theatres will, subject to the terms of </w:t>
      </w:r>
      <w:r>
        <w:rPr>
          <w:rFonts w:ascii="Times New Roman" w:hAnsi="Times New Roman"/>
          <w:b w:val="false"/>
          <w:color w:val="000000"/>
          <w:sz w:val="24"/>
          <w:u w:val="single"/>
        </w:rPr>
        <w:t>Section 4.11</w:t>
      </w:r>
      <w:r>
        <w:rPr>
          <w:rFonts w:ascii="Times New Roman" w:hAnsi="Times New Roman"/>
          <w:color w:val="000000"/>
          <w:sz w:val="20"/>
        </w:rPr>
        <w:t xml:space="preserve"> </w:t>
      </w:r>
      <w:r>
        <w:rPr>
          <w:rFonts w:ascii="Times New Roman" w:hAnsi="Times New Roman"/>
          <w:b w:val="false"/>
          <w:color w:val="000000"/>
          <w:sz w:val="24"/>
        </w:rPr>
        <w:t>(Customer Access to Pre-Feature Program), participate in the Digital Carousel.</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(b) </w:t>
      </w:r>
      <w:r>
        <w:rPr>
          <w:rFonts w:ascii="Times New Roman" w:hAnsi="Times New Roman"/>
          <w:b w:val="false"/>
          <w:color w:val="000000"/>
          <w:sz w:val="24"/>
          <w:u w:val="single"/>
        </w:rPr>
        <w:t>Non-Digitized Theatres</w:t>
      </w:r>
      <w:r>
        <w:rPr>
          <w:rFonts w:ascii="Times New Roman" w:hAnsi="Times New Roman"/>
          <w:b w:val="false"/>
          <w:color w:val="000000"/>
          <w:sz w:val="24"/>
        </w:rPr>
        <w:t>. Non-Digitized Theatres will not participate in, nor will LLC be obligated to provide to any Non-Digitized Theatre, the Pre-Feature Program or any other Advertising Services without LLC’s prior written consent. AMC will use commercially reasonable efforts to convert any existing or future acquired Non-Digitized Theatres to Digitized Theatres.</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(c) </w:t>
      </w:r>
      <w:r>
        <w:rPr>
          <w:rFonts w:ascii="Times New Roman" w:hAnsi="Times New Roman"/>
          <w:b w:val="false"/>
          <w:color w:val="000000"/>
          <w:sz w:val="24"/>
          <w:u w:val="single"/>
        </w:rPr>
        <w:t>Lobby Promotions</w:t>
      </w:r>
      <w:r>
        <w:rPr>
          <w:rFonts w:ascii="Times New Roman" w:hAnsi="Times New Roman"/>
          <w:b w:val="false"/>
          <w:color w:val="000000"/>
          <w:sz w:val="24"/>
        </w:rPr>
        <w:t xml:space="preserve">. LLC shall provide Lobby Promotions to Theatres and Theatres shall participate in Lobby Promotions as described in </w:t>
      </w:r>
      <w:r>
        <w:rPr>
          <w:rFonts w:ascii="Times New Roman" w:hAnsi="Times New Roman"/>
          <w:b w:val="false"/>
          <w:color w:val="000000"/>
          <w:sz w:val="24"/>
          <w:u w:val="single"/>
        </w:rPr>
        <w:t>Addendum A</w:t>
      </w:r>
      <w:r>
        <w:rPr>
          <w:rFonts w:ascii="Times New Roman" w:hAnsi="Times New Roman"/>
          <w:b w:val="false"/>
          <w:color w:val="000000"/>
          <w:sz w:val="24"/>
        </w:rPr>
        <w:t>.</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(d) </w:t>
      </w:r>
      <w:r>
        <w:rPr>
          <w:rFonts w:ascii="Times New Roman" w:hAnsi="Times New Roman"/>
          <w:b w:val="false"/>
          <w:color w:val="000000"/>
          <w:sz w:val="24"/>
          <w:u w:val="single"/>
        </w:rPr>
        <w:t>Modifications</w:t>
      </w:r>
      <w:r>
        <w:rPr>
          <w:rFonts w:ascii="Times New Roman" w:hAnsi="Times New Roman"/>
          <w:b w:val="false"/>
          <w:color w:val="000000"/>
          <w:sz w:val="24"/>
        </w:rPr>
        <w:t>. The Parties agree that the rights and obligations to provide and participate in elements of the Advertising Services, as set forth immediately above, may be modified during the Term upon mutual written agreement of the Parties.</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(e) </w:t>
      </w:r>
      <w:r>
        <w:rPr>
          <w:rFonts w:ascii="Times New Roman" w:hAnsi="Times New Roman"/>
          <w:b w:val="false"/>
          <w:color w:val="000000"/>
          <w:sz w:val="24"/>
          <w:u w:val="single"/>
        </w:rPr>
        <w:t>Rights to Transfer Theatres</w:t>
      </w:r>
      <w:r>
        <w:rPr>
          <w:rFonts w:ascii="Times New Roman" w:hAnsi="Times New Roman"/>
          <w:b w:val="false"/>
          <w:color w:val="000000"/>
          <w:sz w:val="24"/>
        </w:rPr>
        <w:t>. The Parties agree that nothing in this Agreement is intended to, nor shall, bind or otherwise limit AMC’s or its Affiliates’ rights and abilities in its sole discretion from time to time to close, sell, acquire or otherwise transfer any interest in (including by mortgage or otherwise) any theatre.</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2.02 </w:t>
      </w:r>
      <w:r>
        <w:rPr>
          <w:rFonts w:ascii="Times New Roman" w:hAnsi="Times New Roman"/>
          <w:color w:val="000000"/>
          <w:sz w:val="24"/>
          <w:u w:val="single"/>
        </w:rPr>
        <w:t>Addition of Theatres</w:t>
      </w:r>
      <w:r>
        <w:rPr>
          <w:rFonts w:ascii="Times New Roman" w:hAnsi="Times New Roman"/>
          <w:b w:val="false"/>
          <w:color w:val="000000"/>
          <w:sz w:val="24"/>
        </w:rPr>
        <w:t>.</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color w:val="000000"/>
          <w:sz w:val="24"/>
          <w:u w:val="single"/>
        </w:rPr>
        <w:t>Additional Theatres</w:t>
      </w:r>
      <w:r>
        <w:rPr>
          <w:rFonts w:ascii="Times New Roman" w:hAnsi="Times New Roman"/>
          <w:b w:val="false"/>
          <w:color w:val="000000"/>
          <w:sz w:val="24"/>
        </w:rPr>
        <w:t xml:space="preserve">. Subject to </w:t>
      </w:r>
      <w:r>
        <w:rPr>
          <w:rFonts w:ascii="Times New Roman" w:hAnsi="Times New Roman"/>
          <w:b w:val="false"/>
          <w:color w:val="000000"/>
          <w:sz w:val="24"/>
          <w:u w:val="single"/>
        </w:rPr>
        <w:t>Schedule 2.02(a)</w:t>
      </w:r>
      <w:r>
        <w:rPr>
          <w:rFonts w:ascii="Times New Roman" w:hAnsi="Times New Roman"/>
          <w:b w:val="false"/>
          <w:color w:val="000000"/>
          <w:sz w:val="24"/>
        </w:rPr>
        <w:t xml:space="preserve">, LLC must consent in writing to the provision of Advertising Services to any Additional Theatre. Any Additional Theatre approved by LLC must be equipped to receive the Digital Content Service via the Digital Content Network, may not be a Non-Digitized Theatre (without LLC’s written consent), and shall participate in the Digital Content Service on the terms set forth in </w:t>
      </w:r>
      <w:r>
        <w:rPr>
          <w:rFonts w:ascii="Times New Roman" w:hAnsi="Times New Roman"/>
          <w:b w:val="false"/>
          <w:color w:val="000000"/>
          <w:sz w:val="24"/>
          <w:u w:val="single"/>
        </w:rPr>
        <w:t>Section 2.01</w:t>
      </w:r>
      <w:r>
        <w:rPr>
          <w:rFonts w:ascii="Times New Roman" w:hAnsi="Times New Roman"/>
          <w:b w:val="false"/>
          <w:color w:val="000000"/>
          <w:sz w:val="24"/>
        </w:rPr>
        <w:t xml:space="preserve">. AMC will use commercially reasonable efforts to notify LLC at least 90 days prior to the date that AMC anticipates LLC being able to provide Advertising Services to an Additional Theatre, and will include at least the following information: (1) address, (2) the number and types of screens, (3) AMC’s plans to improve or alter the Theatre, and (4) the number of attendees in the Additional Theatre during each of the previous 5 years (or in the case of a newly built theatre, the estimated attendance used by AMC in making the decision to build the theatre and any internal adjustments to that estimate). If LLC does not consent to the provision of Advertising Services to an Additional Theatre, then such Additional Theatre will not be subject to the exclusivity and mandatory participation restrictions set forth in </w:t>
      </w:r>
      <w:r>
        <w:rPr>
          <w:rFonts w:ascii="Times New Roman" w:hAnsi="Times New Roman"/>
          <w:b w:val="false"/>
          <w:color w:val="000000"/>
          <w:sz w:val="24"/>
          <w:u w:val="single"/>
        </w:rPr>
        <w:t>Section 2.04</w:t>
      </w:r>
      <w:r>
        <w:rPr>
          <w:rFonts w:ascii="Times New Roman" w:hAnsi="Times New Roman"/>
          <w:b w:val="false"/>
          <w:color w:val="000000"/>
          <w:sz w:val="24"/>
        </w:rPr>
        <w:t xml:space="preserve">. In the event that LLC consents to an Additional Theatre that was previously receiving advertising services from a third-party, </w:t>
      </w:r>
      <w:r>
        <w:rPr>
          <w:rFonts w:ascii="Times New Roman" w:hAnsi="Times New Roman"/>
          <w:b w:val="false"/>
          <w:color w:val="000000"/>
          <w:sz w:val="24"/>
          <w:u w:val="single"/>
        </w:rPr>
        <w:t>Section 4.07</w:t>
      </w:r>
      <w:r>
        <w:rPr>
          <w:rFonts w:ascii="Times New Roman" w:hAnsi="Times New Roman"/>
          <w:color w:val="000000"/>
          <w:sz w:val="20"/>
        </w:rPr>
        <w:t xml:space="preserve"> </w:t>
      </w:r>
      <w:r>
        <w:rPr>
          <w:rFonts w:ascii="Times New Roman" w:hAnsi="Times New Roman"/>
          <w:b w:val="false"/>
          <w:color w:val="000000"/>
          <w:sz w:val="24"/>
        </w:rPr>
        <w:t>will apply.</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(b) </w:t>
      </w:r>
      <w:r>
        <w:rPr>
          <w:rFonts w:ascii="Times New Roman" w:hAnsi="Times New Roman"/>
          <w:b w:val="false"/>
          <w:color w:val="000000"/>
          <w:sz w:val="24"/>
          <w:u w:val="single"/>
        </w:rPr>
        <w:t>AMC Party</w:t>
      </w:r>
      <w:r>
        <w:rPr>
          <w:rFonts w:ascii="Times New Roman" w:hAnsi="Times New Roman"/>
          <w:b w:val="false"/>
          <w:color w:val="000000"/>
          <w:sz w:val="24"/>
        </w:rPr>
        <w:t>. In the event that an Additional Theatre expected to receive Advertising Services is owned, operated, or managed by an entity that is not a signatory to this Agreement, then AMC will cause such entity to sign a joinder in a form reasonably acceptable to LLC causing such entity to become a Party to this Agreement.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2.03 </w:t>
      </w:r>
      <w:r>
        <w:rPr>
          <w:rFonts w:ascii="Times New Roman" w:hAnsi="Times New Roman"/>
          <w:color w:val="000000"/>
          <w:sz w:val="24"/>
          <w:u w:val="single"/>
        </w:rPr>
        <w:t>Disposition of Theatres</w:t>
      </w:r>
      <w:r>
        <w:rPr>
          <w:rFonts w:ascii="Times New Roman" w:hAnsi="Times New Roman"/>
          <w:b w:val="false"/>
          <w:color w:val="000000"/>
          <w:sz w:val="24"/>
        </w:rPr>
        <w:t>.</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color w:val="000000"/>
          <w:sz w:val="24"/>
          <w:u w:val="single"/>
        </w:rPr>
        <w:t>Disposition</w:t>
      </w:r>
      <w:r>
        <w:rPr>
          <w:rFonts w:ascii="Times New Roman" w:hAnsi="Times New Roman"/>
          <w:b w:val="false"/>
          <w:color w:val="000000"/>
          <w:sz w:val="24"/>
        </w:rPr>
        <w:t>. AMC shall provide LLC prompt written notice after the sale, transfer, permanent closure or other disposition of a Theatre (other than as the result of a Permitted Transfer) or the permanent loss of any Theatre lease (a “</w:t>
      </w:r>
      <w:r>
        <w:rPr>
          <w:rFonts w:ascii="Times New Roman" w:hAnsi="Times New Roman"/>
          <w:color w:val="000000"/>
          <w:sz w:val="24"/>
        </w:rPr>
        <w:t>Disposition</w:t>
      </w:r>
      <w:r>
        <w:rPr>
          <w:rFonts w:ascii="Times New Roman" w:hAnsi="Times New Roman"/>
          <w:color w:val="000000"/>
          <w:sz w:val="20"/>
        </w:rPr>
        <w:t>”</w:t>
      </w:r>
      <w:r>
        <w:rPr>
          <w:rFonts w:ascii="Times New Roman" w:hAnsi="Times New Roman"/>
          <w:b w:val="false"/>
          <w:color w:val="000000"/>
          <w:sz w:val="24"/>
        </w:rPr>
        <w:t>). The decision to sell, close or otherwise dispose of any Theatre shall be in AMC’s sole and absolute discretion. Any such Theatre shall cease to be a Theatre for all purposes under this Agreement; and, if so determined by AMC and agreed by LLC (which agreement shall not be unreasonably or untimely withheld), then unless LLC and the applicable third party(ies) enter into an agreement for LLC to provide advertising services, then the Parties will agree on a date and time at which LLC shall be permitted to enter the affected Theatre(s) and remove any LLC Property. In the event LLC fails to remove any LLC Property within the timeframe the Parties agree upon for such removal, AMC or such third-party transferee shall have the right to remove and dispose of such LLC Property in its sole discretion; provided that any Software included in the LLC Property shall be removed and returned to LLC at LLC’s expense.</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2.04 </w:t>
      </w:r>
      <w:r>
        <w:rPr>
          <w:rFonts w:ascii="Times New Roman" w:hAnsi="Times New Roman"/>
          <w:color w:val="000000"/>
          <w:sz w:val="24"/>
          <w:u w:val="single"/>
        </w:rPr>
        <w:t>Mandatory Participation</w:t>
      </w:r>
      <w:r>
        <w:rPr>
          <w:rFonts w:ascii="Times New Roman" w:hAnsi="Times New Roman"/>
          <w:b w:val="false"/>
          <w:color w:val="000000"/>
          <w:sz w:val="24"/>
        </w:rPr>
        <w:t xml:space="preserve">. Mandatory Participation. During the Term, except as expressly provided in this Agreement, including </w:t>
      </w:r>
      <w:r>
        <w:rPr>
          <w:rFonts w:ascii="Times New Roman" w:hAnsi="Times New Roman"/>
          <w:b w:val="false"/>
          <w:color w:val="000000"/>
          <w:sz w:val="24"/>
          <w:u w:val="single"/>
        </w:rPr>
        <w:t>Sections 4.01(b)</w:t>
      </w:r>
      <w:r>
        <w:rPr>
          <w:rFonts w:ascii="Times New Roman" w:hAnsi="Times New Roman"/>
          <w:color w:val="000000"/>
          <w:sz w:val="20"/>
        </w:rPr>
        <w:t xml:space="preserve"> </w:t>
      </w:r>
      <w:r>
        <w:rPr>
          <w:rFonts w:ascii="Times New Roman" w:hAnsi="Times New Roman"/>
          <w:b w:val="false"/>
          <w:color w:val="000000"/>
          <w:sz w:val="24"/>
        </w:rPr>
        <w:t xml:space="preserve">(Pre-Feature Programs), </w:t>
      </w:r>
      <w:r>
        <w:rPr>
          <w:rFonts w:ascii="Times New Roman" w:hAnsi="Times New Roman"/>
          <w:b w:val="false"/>
          <w:color w:val="000000"/>
          <w:sz w:val="24"/>
          <w:u w:val="single"/>
        </w:rPr>
        <w:t>4.04</w:t>
      </w:r>
      <w:r>
        <w:rPr>
          <w:rFonts w:ascii="Times New Roman" w:hAnsi="Times New Roman"/>
          <w:color w:val="000000"/>
          <w:sz w:val="20"/>
        </w:rPr>
        <w:t xml:space="preserve"> </w:t>
      </w:r>
      <w:r>
        <w:rPr>
          <w:rFonts w:ascii="Times New Roman" w:hAnsi="Times New Roman"/>
          <w:b w:val="false"/>
          <w:color w:val="000000"/>
          <w:sz w:val="24"/>
        </w:rPr>
        <w:t xml:space="preserve">(Policy Trailer; Branded Slots), </w:t>
      </w:r>
      <w:r>
        <w:rPr>
          <w:rFonts w:ascii="Times New Roman" w:hAnsi="Times New Roman"/>
          <w:b w:val="false"/>
          <w:color w:val="000000"/>
          <w:sz w:val="24"/>
          <w:u w:val="single"/>
        </w:rPr>
        <w:t>4.05(a)</w:t>
      </w:r>
      <w:r>
        <w:rPr>
          <w:rFonts w:ascii="Times New Roman" w:hAnsi="Times New Roman"/>
          <w:color w:val="000000"/>
          <w:sz w:val="20"/>
        </w:rPr>
        <w:t xml:space="preserve"> </w:t>
      </w:r>
      <w:r>
        <w:rPr>
          <w:rFonts w:ascii="Times New Roman" w:hAnsi="Times New Roman"/>
          <w:b w:val="false"/>
          <w:color w:val="000000"/>
          <w:sz w:val="24"/>
        </w:rPr>
        <w:t xml:space="preserve">(Beverage Agreements), </w:t>
      </w:r>
      <w:r>
        <w:rPr>
          <w:rFonts w:ascii="Times New Roman" w:hAnsi="Times New Roman"/>
          <w:b w:val="false"/>
          <w:color w:val="000000"/>
          <w:sz w:val="24"/>
          <w:u w:val="single"/>
        </w:rPr>
        <w:t>4.06</w:t>
      </w:r>
      <w:r>
        <w:rPr>
          <w:rFonts w:ascii="Times New Roman" w:hAnsi="Times New Roman"/>
          <w:color w:val="000000"/>
          <w:sz w:val="20"/>
        </w:rPr>
        <w:t xml:space="preserve"> </w:t>
      </w:r>
      <w:r>
        <w:rPr>
          <w:rFonts w:ascii="Times New Roman" w:hAnsi="Times New Roman"/>
          <w:b w:val="false"/>
          <w:color w:val="000000"/>
          <w:sz w:val="24"/>
        </w:rPr>
        <w:t xml:space="preserve">(Other AMC Advertising Agreements), </w:t>
      </w:r>
      <w:r>
        <w:rPr>
          <w:rFonts w:ascii="Times New Roman" w:hAnsi="Times New Roman"/>
          <w:b w:val="false"/>
          <w:color w:val="000000"/>
          <w:sz w:val="24"/>
          <w:u w:val="single"/>
        </w:rPr>
        <w:t>4.07</w:t>
      </w:r>
      <w:r>
        <w:rPr>
          <w:rFonts w:ascii="Times New Roman" w:hAnsi="Times New Roman"/>
          <w:color w:val="000000"/>
          <w:sz w:val="20"/>
        </w:rPr>
        <w:t xml:space="preserve"> </w:t>
      </w:r>
      <w:r>
        <w:rPr>
          <w:rFonts w:ascii="Times New Roman" w:hAnsi="Times New Roman"/>
          <w:b w:val="false"/>
          <w:color w:val="000000"/>
          <w:sz w:val="24"/>
        </w:rPr>
        <w:t xml:space="preserve">(AMC Run-Out Obligations), </w:t>
      </w:r>
      <w:r>
        <w:rPr>
          <w:rFonts w:ascii="Times New Roman" w:hAnsi="Times New Roman"/>
          <w:b w:val="false"/>
          <w:color w:val="000000"/>
          <w:sz w:val="24"/>
          <w:u w:val="single"/>
        </w:rPr>
        <w:t>4.10(b)</w:t>
      </w:r>
      <w:r>
        <w:rPr>
          <w:rFonts w:ascii="Times New Roman" w:hAnsi="Times New Roman"/>
          <w:color w:val="000000"/>
          <w:sz w:val="20"/>
        </w:rPr>
        <w:t xml:space="preserve"> </w:t>
      </w:r>
      <w:r>
        <w:rPr>
          <w:rFonts w:ascii="Times New Roman" w:hAnsi="Times New Roman"/>
          <w:b w:val="false"/>
          <w:color w:val="000000"/>
          <w:sz w:val="24"/>
        </w:rPr>
        <w:t xml:space="preserve">(Event Trailers), </w:t>
      </w:r>
      <w:r>
        <w:rPr>
          <w:rFonts w:ascii="Times New Roman" w:hAnsi="Times New Roman"/>
          <w:b w:val="false"/>
          <w:color w:val="000000"/>
          <w:sz w:val="24"/>
          <w:u w:val="single"/>
        </w:rPr>
        <w:t>4.16(a)</w:t>
      </w:r>
      <w:r>
        <w:rPr>
          <w:rFonts w:ascii="Times New Roman" w:hAnsi="Times New Roman"/>
          <w:color w:val="000000"/>
          <w:sz w:val="20"/>
        </w:rPr>
        <w:t xml:space="preserve"> </w:t>
      </w:r>
      <w:r>
        <w:rPr>
          <w:rFonts w:ascii="Times New Roman" w:hAnsi="Times New Roman"/>
          <w:b w:val="false"/>
          <w:color w:val="000000"/>
          <w:sz w:val="24"/>
        </w:rPr>
        <w:t xml:space="preserve">and </w:t>
      </w:r>
      <w:r>
        <w:rPr>
          <w:rFonts w:ascii="Times New Roman" w:hAnsi="Times New Roman"/>
          <w:b w:val="false"/>
          <w:color w:val="000000"/>
          <w:sz w:val="24"/>
          <w:u w:val="single"/>
        </w:rPr>
        <w:t>(b)</w:t>
      </w:r>
      <w:r>
        <w:rPr>
          <w:rFonts w:ascii="Times New Roman" w:hAnsi="Times New Roman"/>
          <w:color w:val="000000"/>
          <w:sz w:val="20"/>
        </w:rPr>
        <w:t xml:space="preserve"> </w:t>
      </w:r>
      <w:r>
        <w:rPr>
          <w:rFonts w:ascii="Times New Roman" w:hAnsi="Times New Roman"/>
          <w:b w:val="false"/>
          <w:color w:val="000000"/>
          <w:sz w:val="24"/>
        </w:rPr>
        <w:t xml:space="preserve">(Digital Programming Event Simulcast), </w:t>
      </w:r>
      <w:r>
        <w:rPr>
          <w:rFonts w:ascii="Times New Roman" w:hAnsi="Times New Roman"/>
          <w:b w:val="false"/>
          <w:color w:val="000000"/>
          <w:sz w:val="24"/>
          <w:u w:val="single"/>
        </w:rPr>
        <w:t>4.17</w:t>
      </w:r>
      <w:r>
        <w:rPr>
          <w:rFonts w:ascii="Times New Roman" w:hAnsi="Times New Roman"/>
          <w:color w:val="000000"/>
          <w:sz w:val="20"/>
        </w:rPr>
        <w:t xml:space="preserve"> </w:t>
      </w:r>
      <w:r>
        <w:rPr>
          <w:rFonts w:ascii="Times New Roman" w:hAnsi="Times New Roman"/>
          <w:b w:val="false"/>
          <w:color w:val="000000"/>
          <w:sz w:val="24"/>
        </w:rPr>
        <w:t xml:space="preserve">(Event Sponsorships; Sponsor Message), </w:t>
      </w:r>
      <w:r>
        <w:rPr>
          <w:rFonts w:ascii="Times New Roman" w:hAnsi="Times New Roman"/>
          <w:b w:val="false"/>
          <w:color w:val="000000"/>
          <w:sz w:val="24"/>
          <w:u w:val="single"/>
        </w:rPr>
        <w:t>Exhibit A</w:t>
      </w:r>
      <w:r>
        <w:rPr>
          <w:rFonts w:ascii="Times New Roman" w:hAnsi="Times New Roman"/>
          <w:color w:val="000000"/>
          <w:sz w:val="20"/>
        </w:rPr>
        <w:t xml:space="preserve"> </w:t>
      </w:r>
      <w:r>
        <w:rPr>
          <w:rFonts w:ascii="Times New Roman" w:hAnsi="Times New Roman"/>
          <w:b w:val="false"/>
          <w:color w:val="000000"/>
          <w:sz w:val="24"/>
        </w:rPr>
        <w:t xml:space="preserve">(Description of Advertising Services), and </w:t>
      </w:r>
      <w:r>
        <w:rPr>
          <w:rFonts w:ascii="Times New Roman" w:hAnsi="Times New Roman"/>
          <w:b w:val="false"/>
          <w:color w:val="000000"/>
          <w:sz w:val="24"/>
          <w:u w:val="single"/>
        </w:rPr>
        <w:t>Addendum A</w:t>
      </w:r>
      <w:r>
        <w:rPr>
          <w:rFonts w:ascii="Times New Roman" w:hAnsi="Times New Roman"/>
          <w:color w:val="000000"/>
          <w:sz w:val="20"/>
        </w:rPr>
        <w:t xml:space="preserve"> </w:t>
      </w:r>
      <w:r>
        <w:rPr>
          <w:rFonts w:ascii="Times New Roman" w:hAnsi="Times New Roman"/>
          <w:b w:val="false"/>
          <w:color w:val="000000"/>
          <w:sz w:val="24"/>
        </w:rPr>
        <w:t xml:space="preserve">(Lobby Entertainment Program and Lobby Promotions), AMC shall subscribe for and LLC shall be the exclusive provider to the Theatres of the services specifically set forth in the definition of the “Advertising Services.” Except as expressly provided in this Agreement, during the Term, AMC shall neither engage nor permit a third party (excluding third party designees of LLC as provided hereunder) to provide, or itself provide, to a Theatre any of the services specifically set forth in the definition of “Advertising Services” set forth in </w:t>
      </w:r>
      <w:r>
        <w:rPr>
          <w:rFonts w:ascii="Times New Roman" w:hAnsi="Times New Roman"/>
          <w:b w:val="false"/>
          <w:color w:val="000000"/>
          <w:sz w:val="24"/>
          <w:u w:val="single"/>
        </w:rPr>
        <w:t>Exhibit A</w:t>
      </w:r>
      <w:r>
        <w:rPr>
          <w:rFonts w:ascii="Times New Roman" w:hAnsi="Times New Roman"/>
          <w:b w:val="false"/>
          <w:color w:val="000000"/>
          <w:sz w:val="24"/>
        </w:rPr>
        <w:t xml:space="preserve">. Nothing in this Agreement shall limit or affect (i) LLC’s ability to contract or enter into any relationship with any Person or entity for any product, service, or otherwise, whether or not similar to any products or services provided by LLC under this Agreement, or (ii) AMC’s ability to contract or enter into any relationship with any Person or entity for any product, service, or otherwise, other than the services that will be provided exclusively by LLC as set forth in this </w:t>
      </w:r>
      <w:r>
        <w:rPr>
          <w:rFonts w:ascii="Times New Roman" w:hAnsi="Times New Roman"/>
          <w:b w:val="false"/>
          <w:color w:val="000000"/>
          <w:sz w:val="24"/>
          <w:u w:val="single"/>
        </w:rPr>
        <w:t>Section 2.04</w:t>
      </w:r>
      <w:r>
        <w:rPr>
          <w:rFonts w:ascii="Times New Roman" w:hAnsi="Times New Roman"/>
          <w:b w:val="false"/>
          <w:color w:val="000000"/>
          <w:sz w:val="24"/>
        </w:rPr>
        <w:t>. All rights with respect to advertising and promotions not explicitly granted hereunder are reserved to AMC, including without limitation AMC’s ability to offer and sell advertising to any third party on any website on the Internet, its telephone ticketing service or other alternative media sources used for ticketing.</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2.05 </w:t>
      </w:r>
      <w:r>
        <w:rPr>
          <w:rFonts w:ascii="Times New Roman" w:hAnsi="Times New Roman"/>
          <w:color w:val="000000"/>
          <w:sz w:val="24"/>
          <w:u w:val="single"/>
        </w:rPr>
        <w:t>Revenue Share; Minimum Guarantee; Theatre Maintenance Fee</w:t>
      </w:r>
      <w:r>
        <w:rPr>
          <w:rFonts w:ascii="Times New Roman" w:hAnsi="Times New Roman"/>
          <w:b w:val="false"/>
          <w:color w:val="000000"/>
          <w:sz w:val="24"/>
        </w:rPr>
        <w:t>.</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color w:val="000000"/>
          <w:sz w:val="24"/>
          <w:u w:val="single"/>
        </w:rPr>
        <w:t>Fees</w:t>
      </w:r>
      <w:r>
        <w:rPr>
          <w:rFonts w:ascii="Times New Roman" w:hAnsi="Times New Roman"/>
          <w:b w:val="false"/>
          <w:color w:val="000000"/>
          <w:sz w:val="24"/>
        </w:rPr>
        <w:t>. In consideration for the exclusive right to provide the Advertising Services, with respect to each Fiscal Year, LLC shall pay AMC (1) an amount equal to the greater of (i) the Revenue Share, and (ii) the aggregate Annual Minimum Guarantee with respect to such Fiscal Year, plus (2) the (i) Platinum Spot Revenue Share, (ii) the Lobby</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Revenue Share, and (iii) Political Revenue Share. The Revenue Share payment for the 2025 Fiscal Year is addressed in </w:t>
      </w:r>
      <w:r>
        <w:rPr>
          <w:rFonts w:ascii="Times New Roman" w:hAnsi="Times New Roman"/>
          <w:b w:val="false"/>
          <w:color w:val="000000"/>
          <w:sz w:val="24"/>
          <w:u w:val="single"/>
        </w:rPr>
        <w:t>Section 2.05(b)(ii)</w:t>
      </w:r>
      <w:r>
        <w:rPr>
          <w:rFonts w:ascii="Times New Roman" w:hAnsi="Times New Roman"/>
          <w:b w:val="false"/>
          <w:color w:val="000000"/>
          <w:sz w:val="24"/>
        </w:rPr>
        <w:t>.</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(b) </w:t>
      </w:r>
      <w:r>
        <w:rPr>
          <w:rFonts w:ascii="Times New Roman" w:hAnsi="Times New Roman"/>
          <w:b w:val="false"/>
          <w:color w:val="000000"/>
          <w:sz w:val="24"/>
          <w:u w:val="single"/>
        </w:rPr>
        <w:t>Revenue Share</w:t>
      </w:r>
      <w:r>
        <w:rPr>
          <w:rFonts w:ascii="Times New Roman" w:hAnsi="Times New Roman"/>
          <w:b w:val="false"/>
          <w:color w:val="000000"/>
          <w:sz w:val="24"/>
        </w:rPr>
        <w:t>. The revenue share amount (excluding the Platinum Spot, Lobby Revenue, or Political Advertising) (the “</w:t>
      </w:r>
      <w:r>
        <w:rPr>
          <w:rFonts w:ascii="Times New Roman" w:hAnsi="Times New Roman"/>
          <w:color w:val="000000"/>
          <w:sz w:val="24"/>
        </w:rPr>
        <w:t>Revenue Share</w:t>
      </w:r>
      <w:r>
        <w:rPr>
          <w:rFonts w:ascii="Times New Roman" w:hAnsi="Times New Roman"/>
          <w:color w:val="000000"/>
          <w:sz w:val="20"/>
        </w:rPr>
        <w:t>”</w:t>
      </w:r>
      <w:r>
        <w:rPr>
          <w:rFonts w:ascii="Times New Roman" w:hAnsi="Times New Roman"/>
          <w:b w:val="false"/>
          <w:color w:val="000000"/>
          <w:sz w:val="24"/>
        </w:rPr>
        <w:t xml:space="preserve">) to be paid for a specific AMC Revenue per Attendee Range pursuant to </w:t>
      </w:r>
      <w:r>
        <w:rPr>
          <w:rFonts w:ascii="Times New Roman" w:hAnsi="Times New Roman"/>
          <w:b w:val="false"/>
          <w:color w:val="000000"/>
          <w:sz w:val="24"/>
          <w:u w:val="single"/>
        </w:rPr>
        <w:t>Section 2.05(a)</w:t>
      </w:r>
      <w:r>
        <w:rPr>
          <w:rFonts w:ascii="Times New Roman" w:hAnsi="Times New Roman"/>
          <w:color w:val="000000"/>
          <w:sz w:val="20"/>
        </w:rPr>
        <w:t xml:space="preserve"> </w:t>
      </w:r>
      <w:r>
        <w:rPr>
          <w:rFonts w:ascii="Times New Roman" w:hAnsi="Times New Roman"/>
          <w:b w:val="false"/>
          <w:color w:val="000000"/>
          <w:sz w:val="24"/>
        </w:rPr>
        <w:t>will be determined by calculating the product of: (i) the AMC Attendance for the applicable period, multiplied by (ii) the sum of the product of AMC Revenue per Attendee multiplied by the Revenue Share Percentage for each applicable Level set forth in the grid below (the “</w:t>
      </w:r>
      <w:r>
        <w:rPr>
          <w:rFonts w:ascii="Times New Roman" w:hAnsi="Times New Roman"/>
          <w:color w:val="000000"/>
          <w:sz w:val="24"/>
        </w:rPr>
        <w:t>AMC Revenue per Attendee Grid</w:t>
      </w:r>
      <w:r>
        <w:rPr>
          <w:rFonts w:ascii="Times New Roman" w:hAnsi="Times New Roman"/>
          <w:color w:val="000000"/>
          <w:sz w:val="20"/>
        </w:rPr>
        <w:t>”</w:t>
      </w:r>
      <w:r>
        <w:rPr>
          <w:rFonts w:ascii="Times New Roman" w:hAnsi="Times New Roman"/>
          <w:b w:val="false"/>
          <w:color w:val="000000"/>
          <w:sz w:val="24"/>
        </w:rPr>
        <w:t>). The Revenue Share for each level in the AMC Revenue per Attendee Grid shall only be calculated based upon the revenue included in each range and the amount of each grid level shall be added together to calculate the final Revenue Share amount.</w:t>
      </w:r>
    </w:p>
    <w:p>
      <w:pPr>
        <w:pStyle w:val="TextBody"/>
        <w:bidi w:val="0"/>
        <w:spacing w:before="2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762"/>
        <w:gridCol w:w="3901"/>
        <w:gridCol w:w="2276"/>
        <w:gridCol w:w="3266"/>
      </w:tblGrid>
      <w:tr>
        <w:trPr/>
        <w:tc>
          <w:tcPr>
            <w:tcW w:w="762"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ind w:left="0" w:right="0" w:firstLine="101"/>
              <w:jc w:val="left"/>
              <w:rPr>
                <w:sz w:val="4"/>
                <w:szCs w:val="4"/>
              </w:rPr>
            </w:pPr>
            <w:r>
              <w:rPr>
                <w:sz w:val="4"/>
                <w:szCs w:val="4"/>
              </w:rPr>
            </w:r>
          </w:p>
        </w:tc>
      </w:tr>
      <w:tr>
        <w:trPr/>
        <w:tc>
          <w:tcPr>
            <w:tcW w:w="76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ind w:left="0" w:right="0" w:firstLine="101"/>
              <w:jc w:val="both"/>
              <w:rPr>
                <w:rFonts w:ascii="Times New Roman" w:hAnsi="Times New Roman"/>
                <w:color w:val="000000"/>
                <w:sz w:val="24"/>
              </w:rPr>
            </w:pPr>
            <w:r>
              <w:rPr>
                <w:rFonts w:ascii="Times New Roman" w:hAnsi="Times New Roman"/>
                <w:color w:val="000000"/>
                <w:sz w:val="24"/>
              </w:rPr>
              <w:t>Level</w:t>
            </w:r>
          </w:p>
        </w:tc>
        <w:tc>
          <w:tcPr>
            <w:tcW w:w="390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ind w:left="0" w:right="0" w:firstLine="101"/>
              <w:jc w:val="both"/>
              <w:rPr>
                <w:rFonts w:ascii="Times New Roman" w:hAnsi="Times New Roman"/>
                <w:color w:val="000000"/>
                <w:sz w:val="24"/>
              </w:rPr>
            </w:pPr>
            <w:r>
              <w:rPr>
                <w:rFonts w:ascii="Times New Roman" w:hAnsi="Times New Roman"/>
                <w:color w:val="000000"/>
                <w:sz w:val="24"/>
              </w:rPr>
              <w:t>AMC Revenue per Attendee Range</w:t>
            </w:r>
          </w:p>
        </w:tc>
        <w:tc>
          <w:tcPr>
            <w:tcW w:w="227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ind w:left="0" w:right="0" w:firstLine="101"/>
              <w:jc w:val="both"/>
              <w:rPr>
                <w:rFonts w:ascii="Times New Roman" w:hAnsi="Times New Roman"/>
                <w:color w:val="000000"/>
                <w:sz w:val="24"/>
              </w:rPr>
            </w:pPr>
            <w:r>
              <w:rPr>
                <w:rFonts w:ascii="Times New Roman" w:hAnsi="Times New Roman"/>
                <w:color w:val="000000"/>
                <w:sz w:val="24"/>
              </w:rPr>
              <w:t>Revenue Share Percentage</w:t>
            </w:r>
          </w:p>
        </w:tc>
        <w:tc>
          <w:tcPr>
            <w:tcW w:w="326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ind w:left="0" w:right="0" w:firstLine="101"/>
              <w:jc w:val="both"/>
              <w:rPr>
                <w:rFonts w:ascii="Times New Roman" w:hAnsi="Times New Roman"/>
                <w:color w:val="000000"/>
                <w:sz w:val="24"/>
              </w:rPr>
            </w:pPr>
            <w:r>
              <w:rPr>
                <w:rFonts w:ascii="Times New Roman" w:hAnsi="Times New Roman"/>
                <w:color w:val="000000"/>
                <w:sz w:val="24"/>
              </w:rPr>
              <w:t>Maximum Fee per Attendee for the Level</w:t>
            </w:r>
          </w:p>
        </w:tc>
      </w:tr>
      <w:tr>
        <w:trPr/>
        <w:tc>
          <w:tcPr>
            <w:tcW w:w="76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101"/>
              <w:jc w:val="both"/>
              <w:rPr>
                <w:rFonts w:ascii="Times New Roman" w:hAnsi="Times New Roman"/>
                <w:color w:val="000000"/>
                <w:sz w:val="24"/>
              </w:rPr>
            </w:pPr>
            <w:r>
              <w:rPr>
                <w:rFonts w:ascii="Times New Roman" w:hAnsi="Times New Roman"/>
                <w:color w:val="000000"/>
                <w:sz w:val="24"/>
              </w:rPr>
              <w:t>1</w:t>
            </w:r>
          </w:p>
        </w:tc>
        <w:tc>
          <w:tcPr>
            <w:tcW w:w="39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101"/>
              <w:jc w:val="both"/>
              <w:rPr>
                <w:rFonts w:ascii="Times New Roman" w:hAnsi="Times New Roman"/>
                <w:color w:val="000000"/>
                <w:sz w:val="24"/>
              </w:rPr>
            </w:pPr>
            <w:r>
              <w:rPr>
                <w:rFonts w:ascii="Times New Roman" w:hAnsi="Times New Roman"/>
                <w:color w:val="000000"/>
                <w:sz w:val="24"/>
              </w:rPr>
              <w:t>Up to $[***]</w:t>
            </w:r>
          </w:p>
        </w:tc>
        <w:tc>
          <w:tcPr>
            <w:tcW w:w="22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101"/>
              <w:jc w:val="both"/>
              <w:rPr>
                <w:rFonts w:ascii="Times New Roman" w:hAnsi="Times New Roman"/>
                <w:color w:val="000000"/>
                <w:sz w:val="24"/>
              </w:rPr>
            </w:pPr>
            <w:r>
              <w:rPr>
                <w:rFonts w:ascii="Times New Roman" w:hAnsi="Times New Roman"/>
                <w:color w:val="000000"/>
                <w:sz w:val="24"/>
              </w:rPr>
              <w:t>[***]</w:t>
            </w:r>
          </w:p>
        </w:tc>
        <w:tc>
          <w:tcPr>
            <w:tcW w:w="32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101"/>
              <w:jc w:val="both"/>
              <w:rPr>
                <w:rFonts w:ascii="Times New Roman" w:hAnsi="Times New Roman"/>
                <w:color w:val="000000"/>
                <w:sz w:val="24"/>
              </w:rPr>
            </w:pPr>
            <w:r>
              <w:rPr>
                <w:rFonts w:ascii="Times New Roman" w:hAnsi="Times New Roman"/>
                <w:color w:val="000000"/>
                <w:sz w:val="24"/>
              </w:rPr>
              <w:t>[***]</w:t>
            </w:r>
          </w:p>
        </w:tc>
      </w:tr>
      <w:tr>
        <w:trPr/>
        <w:tc>
          <w:tcPr>
            <w:tcW w:w="76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101"/>
              <w:jc w:val="both"/>
              <w:rPr>
                <w:rFonts w:ascii="Times New Roman" w:hAnsi="Times New Roman"/>
                <w:color w:val="000000"/>
                <w:sz w:val="24"/>
              </w:rPr>
            </w:pPr>
            <w:r>
              <w:rPr>
                <w:rFonts w:ascii="Times New Roman" w:hAnsi="Times New Roman"/>
                <w:color w:val="000000"/>
                <w:sz w:val="24"/>
              </w:rPr>
              <w:t>2</w:t>
            </w:r>
          </w:p>
        </w:tc>
        <w:tc>
          <w:tcPr>
            <w:tcW w:w="39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101"/>
              <w:jc w:val="both"/>
              <w:rPr>
                <w:rFonts w:ascii="Times New Roman" w:hAnsi="Times New Roman"/>
                <w:color w:val="000000"/>
                <w:sz w:val="24"/>
              </w:rPr>
            </w:pPr>
            <w:r>
              <w:rPr>
                <w:rFonts w:ascii="Times New Roman" w:hAnsi="Times New Roman"/>
                <w:color w:val="000000"/>
                <w:sz w:val="24"/>
              </w:rPr>
              <w:t>Greater than $[***] and less than or equal to $[***]</w:t>
            </w:r>
          </w:p>
        </w:tc>
        <w:tc>
          <w:tcPr>
            <w:tcW w:w="22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101"/>
              <w:jc w:val="both"/>
              <w:rPr>
                <w:rFonts w:ascii="Times New Roman" w:hAnsi="Times New Roman"/>
                <w:color w:val="000000"/>
                <w:sz w:val="24"/>
              </w:rPr>
            </w:pPr>
            <w:r>
              <w:rPr>
                <w:rFonts w:ascii="Times New Roman" w:hAnsi="Times New Roman"/>
                <w:color w:val="000000"/>
                <w:sz w:val="24"/>
              </w:rPr>
              <w:t>[***]</w:t>
            </w:r>
          </w:p>
        </w:tc>
        <w:tc>
          <w:tcPr>
            <w:tcW w:w="32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101"/>
              <w:jc w:val="both"/>
              <w:rPr>
                <w:rFonts w:ascii="Times New Roman" w:hAnsi="Times New Roman"/>
                <w:color w:val="000000"/>
                <w:sz w:val="24"/>
              </w:rPr>
            </w:pPr>
            <w:r>
              <w:rPr>
                <w:rFonts w:ascii="Times New Roman" w:hAnsi="Times New Roman"/>
                <w:color w:val="000000"/>
                <w:sz w:val="24"/>
              </w:rPr>
              <w:t>[***]</w:t>
            </w:r>
          </w:p>
        </w:tc>
      </w:tr>
      <w:tr>
        <w:trPr/>
        <w:tc>
          <w:tcPr>
            <w:tcW w:w="76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101"/>
              <w:jc w:val="both"/>
              <w:rPr>
                <w:rFonts w:ascii="Times New Roman" w:hAnsi="Times New Roman"/>
                <w:color w:val="000000"/>
                <w:sz w:val="24"/>
              </w:rPr>
            </w:pPr>
            <w:r>
              <w:rPr>
                <w:rFonts w:ascii="Times New Roman" w:hAnsi="Times New Roman"/>
                <w:color w:val="000000"/>
                <w:sz w:val="24"/>
              </w:rPr>
              <w:t>3</w:t>
            </w:r>
          </w:p>
        </w:tc>
        <w:tc>
          <w:tcPr>
            <w:tcW w:w="39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101"/>
              <w:jc w:val="both"/>
              <w:rPr>
                <w:rFonts w:ascii="Times New Roman" w:hAnsi="Times New Roman"/>
                <w:color w:val="000000"/>
                <w:sz w:val="24"/>
              </w:rPr>
            </w:pPr>
            <w:r>
              <w:rPr>
                <w:rFonts w:ascii="Times New Roman" w:hAnsi="Times New Roman"/>
                <w:color w:val="000000"/>
                <w:sz w:val="24"/>
              </w:rPr>
              <w:t>Greater than $[***]</w:t>
            </w:r>
          </w:p>
        </w:tc>
        <w:tc>
          <w:tcPr>
            <w:tcW w:w="22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101"/>
              <w:jc w:val="both"/>
              <w:rPr>
                <w:rFonts w:ascii="Times New Roman" w:hAnsi="Times New Roman"/>
                <w:color w:val="000000"/>
                <w:sz w:val="24"/>
              </w:rPr>
            </w:pPr>
            <w:r>
              <w:rPr>
                <w:rFonts w:ascii="Times New Roman" w:hAnsi="Times New Roman"/>
                <w:color w:val="000000"/>
                <w:sz w:val="24"/>
              </w:rPr>
              <w:t>[***]</w:t>
            </w:r>
          </w:p>
        </w:tc>
        <w:tc>
          <w:tcPr>
            <w:tcW w:w="32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101"/>
              <w:jc w:val="both"/>
              <w:rPr>
                <w:rFonts w:ascii="Times New Roman" w:hAnsi="Times New Roman"/>
                <w:color w:val="000000"/>
                <w:sz w:val="24"/>
              </w:rPr>
            </w:pPr>
            <w:r>
              <w:rPr>
                <w:rFonts w:ascii="Times New Roman" w:hAnsi="Times New Roman"/>
                <w:color w:val="000000"/>
                <w:sz w:val="24"/>
              </w:rPr>
              <w:t>N/A</w:t>
            </w:r>
          </w:p>
        </w:tc>
      </w:tr>
    </w:tbl>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following are illustrative examples calculating the Revenue Share: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(i) </w:t>
      </w:r>
      <w:r>
        <w:rPr>
          <w:rFonts w:ascii="Times New Roman" w:hAnsi="Times New Roman"/>
          <w:b w:val="false"/>
          <w:color w:val="000000"/>
          <w:sz w:val="24"/>
          <w:u w:val="single"/>
        </w:rPr>
        <w:t>AMC Attributable Revenue</w:t>
      </w:r>
      <w:r>
        <w:rPr>
          <w:rFonts w:ascii="Times New Roman" w:hAnsi="Times New Roman"/>
          <w:b w:val="false"/>
          <w:color w:val="000000"/>
          <w:sz w:val="24"/>
        </w:rPr>
        <w:t xml:space="preserve">. For purposes of this </w:t>
      </w:r>
      <w:r>
        <w:rPr>
          <w:rFonts w:ascii="Times New Roman" w:hAnsi="Times New Roman"/>
          <w:b w:val="false"/>
          <w:color w:val="000000"/>
          <w:sz w:val="24"/>
          <w:u w:val="single"/>
        </w:rPr>
        <w:t>Section 2.05(b)</w:t>
      </w:r>
      <w:r>
        <w:rPr>
          <w:rFonts w:ascii="Times New Roman" w:hAnsi="Times New Roman"/>
          <w:color w:val="000000"/>
          <w:sz w:val="20"/>
        </w:rPr>
        <w:t xml:space="preserve"> </w:t>
      </w:r>
      <w:r>
        <w:rPr>
          <w:rFonts w:ascii="Times New Roman" w:hAnsi="Times New Roman"/>
          <w:b w:val="false"/>
          <w:color w:val="000000"/>
          <w:sz w:val="24"/>
        </w:rPr>
        <w:t xml:space="preserve">and </w:t>
      </w:r>
      <w:r>
        <w:rPr>
          <w:rFonts w:ascii="Times New Roman" w:hAnsi="Times New Roman"/>
          <w:b w:val="false"/>
          <w:color w:val="000000"/>
          <w:sz w:val="24"/>
          <w:u w:val="single"/>
        </w:rPr>
        <w:t>Section 2.05(c)</w:t>
      </w:r>
      <w:r>
        <w:rPr>
          <w:rFonts w:ascii="Times New Roman" w:hAnsi="Times New Roman"/>
          <w:b w:val="false"/>
          <w:color w:val="000000"/>
          <w:sz w:val="24"/>
        </w:rPr>
        <w:t>, the following capitalized terms shall have the meanings specified below:</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(A) “</w:t>
      </w:r>
      <w:r>
        <w:rPr>
          <w:rFonts w:ascii="Times New Roman" w:hAnsi="Times New Roman"/>
          <w:color w:val="000000"/>
          <w:sz w:val="24"/>
        </w:rPr>
        <w:t>AMC Attributable Revenue</w:t>
      </w:r>
      <w:r>
        <w:rPr>
          <w:rFonts w:ascii="Times New Roman" w:hAnsi="Times New Roman"/>
          <w:color w:val="000000"/>
          <w:sz w:val="20"/>
        </w:rPr>
        <w:t xml:space="preserve">” </w:t>
      </w:r>
      <w:r>
        <w:rPr>
          <w:rFonts w:ascii="Times New Roman" w:hAnsi="Times New Roman"/>
          <w:b w:val="false"/>
          <w:color w:val="000000"/>
          <w:sz w:val="24"/>
        </w:rPr>
        <w:t>means the sum of the aggregate product of (A) LLC Net Revenue per Attendee (excluding the LLC Platinum Spot Attributable Revenue, AMC Attributable Lobby Revenues and the LLC Political Attributable Revenue), multiplied by (B) AMC Campaign Attendance for each advertising campaign displayed in the Theatres.</w:t>
      </w:r>
      <w:r>
        <w:rPr>
          <w:rFonts w:ascii="Times New Roman" w:hAnsi="Times New Roman"/>
          <w:color w:val="000000"/>
          <w:sz w:val="20"/>
        </w:rPr>
        <w:t xml:space="preserve"> </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(B) “</w:t>
      </w:r>
      <w:r>
        <w:rPr>
          <w:rFonts w:ascii="Times New Roman" w:hAnsi="Times New Roman"/>
          <w:color w:val="000000"/>
          <w:sz w:val="24"/>
        </w:rPr>
        <w:t>AMC Campaign Attendance</w:t>
      </w:r>
      <w:r>
        <w:rPr>
          <w:rFonts w:ascii="Times New Roman" w:hAnsi="Times New Roman"/>
          <w:color w:val="000000"/>
          <w:sz w:val="20"/>
        </w:rPr>
        <w:t xml:space="preserve">” </w:t>
      </w:r>
      <w:r>
        <w:rPr>
          <w:rFonts w:ascii="Times New Roman" w:hAnsi="Times New Roman"/>
          <w:b w:val="false"/>
          <w:color w:val="000000"/>
          <w:sz w:val="24"/>
        </w:rPr>
        <w:t>means, for each advertising or promotional content campaign, the aggregate AMC Attendance delivered for such campaign.</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(C) “</w:t>
      </w:r>
      <w:r>
        <w:rPr>
          <w:rFonts w:ascii="Times New Roman" w:hAnsi="Times New Roman"/>
          <w:color w:val="000000"/>
          <w:sz w:val="24"/>
        </w:rPr>
        <w:t>LLC Net Revenue per Attendee</w:t>
      </w:r>
      <w:r>
        <w:rPr>
          <w:rFonts w:ascii="Times New Roman" w:hAnsi="Times New Roman"/>
          <w:color w:val="000000"/>
          <w:sz w:val="20"/>
        </w:rPr>
        <w:t xml:space="preserve">” </w:t>
      </w:r>
      <w:r>
        <w:rPr>
          <w:rFonts w:ascii="Times New Roman" w:hAnsi="Times New Roman"/>
          <w:b w:val="false"/>
          <w:color w:val="000000"/>
          <w:sz w:val="24"/>
        </w:rPr>
        <w:t xml:space="preserve">means, for each advertising or promotional content campaign, the quotient of (i) (a) Net Revenue for such campaign </w:t>
      </w:r>
      <w:r>
        <w:rPr>
          <w:rFonts w:ascii="Times New Roman" w:hAnsi="Times New Roman"/>
          <w:b w:val="false"/>
          <w:i/>
          <w:color w:val="000000"/>
          <w:sz w:val="24"/>
        </w:rPr>
        <w:t>less</w:t>
      </w:r>
      <w:r>
        <w:rPr>
          <w:rFonts w:ascii="Times New Roman" w:hAnsi="Times New Roman"/>
          <w:color w:val="000000"/>
          <w:sz w:val="20"/>
        </w:rPr>
        <w:t xml:space="preserve"> </w:t>
      </w:r>
      <w:r>
        <w:rPr>
          <w:rFonts w:ascii="Times New Roman" w:hAnsi="Times New Roman"/>
          <w:b w:val="false"/>
          <w:color w:val="000000"/>
          <w:sz w:val="24"/>
        </w:rPr>
        <w:t>(b) any Net Revenue directly related to the Platinum Spot, Lobby Promotions, Lobby Entertainment Program or Political Advertising, divided by (B) Total Campaign Attendance.</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(D) “</w:t>
      </w:r>
      <w:r>
        <w:rPr>
          <w:rFonts w:ascii="Times New Roman" w:hAnsi="Times New Roman"/>
          <w:color w:val="000000"/>
          <w:sz w:val="24"/>
        </w:rPr>
        <w:t>Total Campaign Attendance</w:t>
      </w:r>
      <w:r>
        <w:rPr>
          <w:rFonts w:ascii="Times New Roman" w:hAnsi="Times New Roman"/>
          <w:color w:val="000000"/>
          <w:sz w:val="20"/>
        </w:rPr>
        <w:t xml:space="preserve">” </w:t>
      </w:r>
      <w:r>
        <w:rPr>
          <w:rFonts w:ascii="Times New Roman" w:hAnsi="Times New Roman"/>
          <w:b w:val="false"/>
          <w:color w:val="000000"/>
          <w:sz w:val="24"/>
        </w:rPr>
        <w:t>means, for each advertising or promotional content campaign, the aggregate admissions from LLC’s network delivered for such campaign, including, for the avoidance of doubt, the AMC Attendance.</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(ii) </w:t>
      </w:r>
      <w:r>
        <w:rPr>
          <w:rFonts w:ascii="Times New Roman" w:hAnsi="Times New Roman"/>
          <w:b w:val="false"/>
          <w:color w:val="000000"/>
          <w:sz w:val="24"/>
          <w:u w:val="single"/>
        </w:rPr>
        <w:t>2025 Fiscal Year</w:t>
      </w:r>
      <w:r>
        <w:rPr>
          <w:rFonts w:ascii="Times New Roman" w:hAnsi="Times New Roman"/>
          <w:b w:val="false"/>
          <w:color w:val="000000"/>
          <w:sz w:val="24"/>
        </w:rPr>
        <w:t xml:space="preserve">. For the 2025 Fiscal Year, AMC will only be paid a Revenue Share related to the time period beginning on the Effective Date and ending at the end of the 2025 Fiscal Year. The AMC Revenue per Attendee for the 2025 Fiscal Year will be calculated based on the AMC Attributable Revenue and AMC Attendance for the entire 2025 Fiscal Year, but AMC will only be paid a Revenue Share for the AMC Attendance beginning on the Effective Date. AMC has no right to a Revenue Share associated with any AMC Attendance or advertising prior to the Effective Date. LLC will deliver the reporting required by </w:t>
      </w:r>
      <w:r>
        <w:rPr>
          <w:rFonts w:ascii="Times New Roman" w:hAnsi="Times New Roman"/>
          <w:b w:val="false"/>
          <w:color w:val="000000"/>
          <w:sz w:val="24"/>
          <w:u w:val="single"/>
        </w:rPr>
        <w:t>Section 2.05(d)</w:t>
      </w:r>
      <w:r>
        <w:rPr>
          <w:rFonts w:ascii="Times New Roman" w:hAnsi="Times New Roman"/>
          <w:color w:val="000000"/>
          <w:sz w:val="20"/>
        </w:rPr>
        <w:t xml:space="preserve"> </w:t>
      </w:r>
      <w:r>
        <w:rPr>
          <w:rFonts w:ascii="Times New Roman" w:hAnsi="Times New Roman"/>
          <w:b w:val="false"/>
          <w:color w:val="000000"/>
          <w:sz w:val="24"/>
        </w:rPr>
        <w:t>for the time period beginning on the first day of the 2025 Fiscal Year and ending on June 30, 2025 with the reporting for the 3rd fiscal quarter of 2025. The following are illustrative examples calculating the Revenue Share for the 2025 Fiscal Year:</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(c) </w:t>
      </w:r>
      <w:r>
        <w:rPr>
          <w:rFonts w:ascii="Times New Roman" w:hAnsi="Times New Roman"/>
          <w:b w:val="false"/>
          <w:color w:val="000000"/>
          <w:sz w:val="24"/>
          <w:u w:val="single"/>
        </w:rPr>
        <w:t>Platinum Spot Revenue Share</w:t>
      </w:r>
      <w:r>
        <w:rPr>
          <w:rFonts w:ascii="Times New Roman" w:hAnsi="Times New Roman"/>
          <w:b w:val="false"/>
          <w:color w:val="000000"/>
          <w:sz w:val="24"/>
        </w:rPr>
        <w:t>. The revenue share amount associated with the AMC Platinum Spot Attributable Revenue (the “</w:t>
      </w:r>
      <w:r>
        <w:rPr>
          <w:rFonts w:ascii="Times New Roman" w:hAnsi="Times New Roman"/>
          <w:color w:val="000000"/>
          <w:sz w:val="24"/>
        </w:rPr>
        <w:t>Platinum Spot Revenue Share</w:t>
      </w:r>
      <w:r>
        <w:rPr>
          <w:rFonts w:ascii="Times New Roman" w:hAnsi="Times New Roman"/>
          <w:color w:val="000000"/>
          <w:sz w:val="20"/>
        </w:rPr>
        <w:t>”</w:t>
      </w:r>
      <w:r>
        <w:rPr>
          <w:rFonts w:ascii="Times New Roman" w:hAnsi="Times New Roman"/>
          <w:b w:val="false"/>
          <w:color w:val="000000"/>
          <w:sz w:val="24"/>
        </w:rPr>
        <w:t xml:space="preserve">) will be determined by calculating the product of: (i) the AMC Attendance that views the Platinum Spot for the applicable period, multiplied by (ii) the product of AMC Platinum Spot Revenue per Attendee multiplied by [***]. The Platinum Spot Revenue Share will be payable quarterly within 30 days following the delivery of the reporting described in </w:t>
      </w:r>
      <w:r>
        <w:rPr>
          <w:rFonts w:ascii="Times New Roman" w:hAnsi="Times New Roman"/>
          <w:b w:val="false"/>
          <w:color w:val="000000"/>
          <w:sz w:val="24"/>
          <w:u w:val="single"/>
        </w:rPr>
        <w:t>Section 2.05(d)</w:t>
      </w:r>
      <w:r>
        <w:rPr>
          <w:rFonts w:ascii="Times New Roman" w:hAnsi="Times New Roman"/>
          <w:b w:val="false"/>
          <w:color w:val="000000"/>
          <w:sz w:val="24"/>
        </w:rPr>
        <w:t>.</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(i) </w:t>
      </w:r>
      <w:r>
        <w:rPr>
          <w:rFonts w:ascii="Times New Roman" w:hAnsi="Times New Roman"/>
          <w:b w:val="false"/>
          <w:color w:val="000000"/>
          <w:sz w:val="24"/>
          <w:u w:val="single"/>
        </w:rPr>
        <w:t>AMC Platinum Spot Attributable Revenue</w:t>
      </w:r>
      <w:r>
        <w:rPr>
          <w:rFonts w:ascii="Times New Roman" w:hAnsi="Times New Roman"/>
          <w:b w:val="false"/>
          <w:color w:val="000000"/>
          <w:sz w:val="24"/>
        </w:rPr>
        <w:t xml:space="preserve">. For purposes of this </w:t>
      </w:r>
      <w:r>
        <w:rPr>
          <w:rFonts w:ascii="Times New Roman" w:hAnsi="Times New Roman"/>
          <w:b w:val="false"/>
          <w:color w:val="000000"/>
          <w:sz w:val="24"/>
          <w:u w:val="single"/>
        </w:rPr>
        <w:t>Section 2.05(b)</w:t>
      </w:r>
      <w:r>
        <w:rPr>
          <w:rFonts w:ascii="Times New Roman" w:hAnsi="Times New Roman"/>
          <w:b w:val="false"/>
          <w:color w:val="000000"/>
          <w:sz w:val="24"/>
        </w:rPr>
        <w:t>, the following capitalized terms shall have the meanings specified below:</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(A) “</w:t>
      </w:r>
      <w:r>
        <w:rPr>
          <w:rFonts w:ascii="Times New Roman" w:hAnsi="Times New Roman"/>
          <w:color w:val="000000"/>
          <w:sz w:val="24"/>
        </w:rPr>
        <w:t>AMC Platinum Spot Attributable Revenue</w:t>
      </w:r>
      <w:r>
        <w:rPr>
          <w:rFonts w:ascii="Times New Roman" w:hAnsi="Times New Roman"/>
          <w:color w:val="000000"/>
          <w:sz w:val="20"/>
        </w:rPr>
        <w:t xml:space="preserve">” </w:t>
      </w:r>
      <w:r>
        <w:rPr>
          <w:rFonts w:ascii="Times New Roman" w:hAnsi="Times New Roman"/>
          <w:b w:val="false"/>
          <w:color w:val="000000"/>
          <w:sz w:val="24"/>
        </w:rPr>
        <w:t>means the sum of the aggregate product of (A) LLC Platinum Spot Net Revenue per Attendee, multiplied by (B) AMC Campaign Attendance for each advertising campaign that displayed a Platinum Spot in the Theatres.</w:t>
      </w:r>
      <w:r>
        <w:rPr>
          <w:rFonts w:ascii="Times New Roman" w:hAnsi="Times New Roman"/>
          <w:color w:val="000000"/>
          <w:sz w:val="20"/>
        </w:rPr>
        <w:t xml:space="preserve"> </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(B) “</w:t>
      </w:r>
      <w:r>
        <w:rPr>
          <w:rFonts w:ascii="Times New Roman" w:hAnsi="Times New Roman"/>
          <w:color w:val="000000"/>
          <w:sz w:val="24"/>
        </w:rPr>
        <w:t>LLC Platinum Spot Net Revenue per Attendee</w:t>
      </w:r>
      <w:r>
        <w:rPr>
          <w:rFonts w:ascii="Times New Roman" w:hAnsi="Times New Roman"/>
          <w:color w:val="000000"/>
          <w:sz w:val="20"/>
        </w:rPr>
        <w:t xml:space="preserve">” </w:t>
      </w:r>
      <w:r>
        <w:rPr>
          <w:rFonts w:ascii="Times New Roman" w:hAnsi="Times New Roman"/>
          <w:b w:val="false"/>
          <w:color w:val="000000"/>
          <w:sz w:val="24"/>
        </w:rPr>
        <w:t>means, for each advertising or promotional content campaign, the quotient of (i) (a) Net Revenue directly related to the Platinum Spot in an advertising campaign, divided by (B) Total Campaign Attendance.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following is an illustrative example calculating the Platinum Spot Revenue Share: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(d) </w:t>
      </w:r>
      <w:r>
        <w:rPr>
          <w:rFonts w:ascii="Times New Roman" w:hAnsi="Times New Roman"/>
          <w:b w:val="false"/>
          <w:color w:val="000000"/>
          <w:sz w:val="24"/>
          <w:u w:val="single"/>
        </w:rPr>
        <w:t>Revenue Share Reporting</w:t>
      </w:r>
      <w:r>
        <w:rPr>
          <w:rFonts w:ascii="Times New Roman" w:hAnsi="Times New Roman"/>
          <w:b w:val="false"/>
          <w:color w:val="000000"/>
          <w:sz w:val="24"/>
        </w:rPr>
        <w:t>. Beginning with LLC’s first fiscal quarter following the Effective Date, within 15 days following each quarterly Securities and Exchange Commission filing by LLC or its Affiliates, or if LLC and its Affiliates are not a publicly reporting entity, 45 days following the end of each fiscal quarter in an applicable Fiscal Year, LLC shall deliver to AMC (i) a report summarizing the AMC Attributable Revenue, AMC Platinum Attributable Revenue, AMC Attributable Lobby Revenue, and AMC Political Attributable Revenue, and (ii) a report comparing the AMC Attributable Revenue, AMC Platinum Attributable Revenue, AMC Attributable Lobby Revenue, and AMC Political Attributable Revenue to LLC’s aggregate Net Revenues (including as may be reported in any such quarterly Securities and Exchange Commission filing, if applicable). The Parties agree that the form of revenue share reporting provided by NCM is acceptable as of the date hereof. If the form of revenue share reporting does not provide sufficient</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information to AMC to satisfy its financial reporting requirements, then the Parties will reasonably cooperate on any revisions to the format and content of such reports.</w:t>
      </w:r>
      <w:r>
        <w:rPr>
          <w:rFonts w:ascii="Times New Roman" w:hAnsi="Times New Roman"/>
          <w:color w:val="000000"/>
          <w:sz w:val="20"/>
        </w:rPr>
        <w:t xml:space="preserve"> </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(e) </w:t>
      </w:r>
      <w:r>
        <w:rPr>
          <w:rFonts w:ascii="Times New Roman" w:hAnsi="Times New Roman"/>
          <w:b w:val="false"/>
          <w:color w:val="000000"/>
          <w:sz w:val="24"/>
          <w:u w:val="single"/>
        </w:rPr>
        <w:t>Annual Minimum Guarantee</w:t>
      </w:r>
      <w:r>
        <w:rPr>
          <w:rFonts w:ascii="Times New Roman" w:hAnsi="Times New Roman"/>
          <w:b w:val="false"/>
          <w:color w:val="000000"/>
          <w:sz w:val="24"/>
        </w:rPr>
        <w:t>. The minimum guaranteed amount to be paid for the Advertising Services (the “</w:t>
      </w:r>
      <w:r>
        <w:rPr>
          <w:rFonts w:ascii="Times New Roman" w:hAnsi="Times New Roman"/>
          <w:color w:val="000000"/>
          <w:sz w:val="24"/>
        </w:rPr>
        <w:t>Annual Minimum Guarantee</w:t>
      </w:r>
      <w:r>
        <w:rPr>
          <w:rFonts w:ascii="Times New Roman" w:hAnsi="Times New Roman"/>
          <w:color w:val="000000"/>
          <w:sz w:val="20"/>
        </w:rPr>
        <w:t>”</w:t>
      </w:r>
      <w:r>
        <w:rPr>
          <w:rFonts w:ascii="Times New Roman" w:hAnsi="Times New Roman"/>
          <w:b w:val="false"/>
          <w:color w:val="000000"/>
          <w:sz w:val="24"/>
        </w:rPr>
        <w:t>) shall be (i) $[***] per [***], which amounts shall increase [***] on each anniversary of the Effective Date.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following is an illustrative example calculating the Annual Minimum Guarantee: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(f) </w:t>
      </w:r>
      <w:r>
        <w:rPr>
          <w:rFonts w:ascii="Times New Roman" w:hAnsi="Times New Roman"/>
          <w:b w:val="false"/>
          <w:color w:val="000000"/>
          <w:sz w:val="24"/>
          <w:u w:val="single"/>
        </w:rPr>
        <w:t>Annual Revenue Share True-up</w:t>
      </w:r>
      <w:r>
        <w:rPr>
          <w:rFonts w:ascii="Times New Roman" w:hAnsi="Times New Roman"/>
          <w:b w:val="false"/>
          <w:color w:val="000000"/>
          <w:sz w:val="24"/>
        </w:rPr>
        <w:t xml:space="preserve">. LLC shall provide AMC with details of the Net Revenue earned by AMC in respect of each Fiscal Year and details of the calculations of the Revenue Share in respect of each such Fiscal Year within 60 days from the end of such Fiscal Year; provided that LLC will use commercially reasonable efforts to provide an estimate of the Net Revenue earned by AMC within 30 days from the end of such Fiscal Year. AMC shall notify LLC of any dispute it has with the applicable Revenue Share calculation no later than 30 days after receipt of the final report. If the sum of the Revenue Share for any Fiscal Year exceeds the Annual Minimum Guarantee payments actually paid by LLC to AMC in respect of such Fiscal Year, then LLC shall (a) pay AMC, by ACH or wire transfer of immediately available funds to a bank account designated by AMC, the difference between the Annual Minimum Guarantee payments actually paid in respect of such Fiscal Year and the applicable Revenue Share and (b) provide AMC confirmation of the initiation of such undisputed payment within 30 days after the confirmation by AMC to LLC that there is no known dispute with the applicable Revenue Share calculation provided by LLC. For purposes of this </w:t>
      </w:r>
      <w:r>
        <w:rPr>
          <w:rFonts w:ascii="Times New Roman" w:hAnsi="Times New Roman"/>
          <w:b w:val="false"/>
          <w:color w:val="000000"/>
          <w:sz w:val="24"/>
          <w:u w:val="single"/>
        </w:rPr>
        <w:t>Section 2.05</w:t>
      </w:r>
      <w:r>
        <w:rPr>
          <w:rFonts w:ascii="Times New Roman" w:hAnsi="Times New Roman"/>
          <w:b w:val="false"/>
          <w:color w:val="000000"/>
          <w:sz w:val="24"/>
        </w:rPr>
        <w:t>, upon the termination of this Agreement, any annual Revenue Share payment shall be calculated pro-rata for the applicable period of time that has accrued prior to the termination of this Agreement.</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(g) </w:t>
      </w:r>
      <w:r>
        <w:rPr>
          <w:rFonts w:ascii="Times New Roman" w:hAnsi="Times New Roman"/>
          <w:b w:val="false"/>
          <w:color w:val="000000"/>
          <w:sz w:val="24"/>
          <w:u w:val="single"/>
        </w:rPr>
        <w:t>Invoicing and Payment Terms of Monthly Totals</w:t>
      </w:r>
      <w:r>
        <w:rPr>
          <w:rFonts w:ascii="Times New Roman" w:hAnsi="Times New Roman"/>
          <w:b w:val="false"/>
          <w:color w:val="000000"/>
          <w:sz w:val="24"/>
        </w:rPr>
        <w:t>. AMC will provide LLC with details of the total monthly AMC Attendance [***] per Theatre so that they are actually received by LLC within 5 business days of each of LLC’s month-end during the Term or otherwise as reasonably practical after LLC’s month-end (“</w:t>
      </w:r>
      <w:r>
        <w:rPr>
          <w:rFonts w:ascii="Times New Roman" w:hAnsi="Times New Roman"/>
          <w:color w:val="000000"/>
          <w:sz w:val="24"/>
        </w:rPr>
        <w:t>Monthly Total</w:t>
      </w:r>
      <w:r>
        <w:rPr>
          <w:rFonts w:ascii="Times New Roman" w:hAnsi="Times New Roman"/>
          <w:color w:val="000000"/>
          <w:sz w:val="20"/>
        </w:rPr>
        <w:t>”</w:t>
      </w:r>
      <w:r>
        <w:rPr>
          <w:rFonts w:ascii="Times New Roman" w:hAnsi="Times New Roman"/>
          <w:b w:val="false"/>
          <w:color w:val="000000"/>
          <w:sz w:val="24"/>
        </w:rPr>
        <w:t>), and the LLC shall calculate the amount owed by it to AMC for such month in respect of the Annual Minimum Guarantee on the basis of such Monthly Total (“</w:t>
      </w:r>
      <w:r>
        <w:rPr>
          <w:rFonts w:ascii="Times New Roman" w:hAnsi="Times New Roman"/>
          <w:color w:val="000000"/>
          <w:sz w:val="24"/>
        </w:rPr>
        <w:t>Monthly Total Payment</w:t>
      </w:r>
      <w:r>
        <w:rPr>
          <w:rFonts w:ascii="Times New Roman" w:hAnsi="Times New Roman"/>
          <w:color w:val="000000"/>
          <w:sz w:val="20"/>
        </w:rPr>
        <w:t>”</w:t>
      </w:r>
      <w:r>
        <w:rPr>
          <w:rFonts w:ascii="Times New Roman" w:hAnsi="Times New Roman"/>
          <w:b w:val="false"/>
          <w:color w:val="000000"/>
          <w:sz w:val="24"/>
        </w:rPr>
        <w:t>). LLC shall pay AMC the Monthly Total Payment by ACH or wire transfer of immediately available funds to a bank account designated by AMC on the later of the date that is (i) 30 days after receipt of the Monthly Total and (ii) the last day of LLC’s month-end following the month in which AMC provided the Advertising Services.</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(h) </w:t>
      </w:r>
      <w:r>
        <w:rPr>
          <w:rFonts w:ascii="Times New Roman" w:hAnsi="Times New Roman"/>
          <w:b w:val="false"/>
          <w:color w:val="000000"/>
          <w:sz w:val="24"/>
          <w:u w:val="single"/>
        </w:rPr>
        <w:t>Theatre Maintenance Fee per Digital Cinema Screen</w:t>
      </w:r>
      <w:r>
        <w:rPr>
          <w:rFonts w:ascii="Times New Roman" w:hAnsi="Times New Roman"/>
          <w:b w:val="false"/>
          <w:color w:val="000000"/>
          <w:sz w:val="24"/>
        </w:rPr>
        <w:t xml:space="preserve">. If applicable, LLC shall pay AMC the Theatre Maintenance Fee per Digital Cinema Screen, as set forth in </w:t>
      </w:r>
      <w:r>
        <w:rPr>
          <w:rFonts w:ascii="Times New Roman" w:hAnsi="Times New Roman"/>
          <w:b w:val="false"/>
          <w:color w:val="000000"/>
          <w:sz w:val="24"/>
          <w:u w:val="single"/>
        </w:rPr>
        <w:t>Schedule 2.05(h)</w:t>
      </w:r>
      <w:r>
        <w:rPr>
          <w:rFonts w:ascii="Times New Roman" w:hAnsi="Times New Roman"/>
          <w:b w:val="false"/>
          <w:color w:val="000000"/>
          <w:sz w:val="24"/>
        </w:rPr>
        <w:t xml:space="preserve">, along with and at the same time as the Monthly Total Payment; provided that AMC reports the necessary information regarding the status of the [***] opening status at the same time as the AMC Attendance under </w:t>
      </w:r>
      <w:r>
        <w:rPr>
          <w:rFonts w:ascii="Times New Roman" w:hAnsi="Times New Roman"/>
          <w:b w:val="false"/>
          <w:color w:val="000000"/>
          <w:sz w:val="24"/>
          <w:u w:val="single"/>
        </w:rPr>
        <w:t>Section 2.05(g)</w:t>
      </w:r>
      <w:r>
        <w:rPr>
          <w:rFonts w:ascii="Times New Roman" w:hAnsi="Times New Roman"/>
          <w:b w:val="false"/>
          <w:color w:val="000000"/>
          <w:sz w:val="24"/>
        </w:rPr>
        <w:t>.</w:t>
      </w:r>
      <w:r>
        <w:rPr>
          <w:rFonts w:ascii="Times New Roman" w:hAnsi="Times New Roman"/>
          <w:color w:val="000000"/>
          <w:sz w:val="20"/>
        </w:rPr>
        <w:t xml:space="preserve"> </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2.06 </w:t>
      </w:r>
      <w:r>
        <w:rPr>
          <w:rFonts w:ascii="Times New Roman" w:hAnsi="Times New Roman"/>
          <w:color w:val="000000"/>
          <w:sz w:val="24"/>
          <w:u w:val="single"/>
        </w:rPr>
        <w:t>Non-Cash Consideration</w:t>
      </w:r>
      <w:r>
        <w:rPr>
          <w:rFonts w:ascii="Times New Roman" w:hAnsi="Times New Roman"/>
          <w:b w:val="false"/>
          <w:color w:val="000000"/>
          <w:sz w:val="24"/>
        </w:rPr>
        <w:t>.</w:t>
      </w:r>
      <w:r>
        <w:rPr>
          <w:rFonts w:ascii="Times New Roman" w:hAnsi="Times New Roman"/>
          <w:color w:val="000000"/>
          <w:sz w:val="20"/>
        </w:rPr>
        <w:t xml:space="preserve"> </w:t>
      </w:r>
      <w:r>
        <w:rPr>
          <w:rFonts w:ascii="Times New Roman" w:hAnsi="Times New Roman"/>
          <w:b w:val="false"/>
          <w:color w:val="000000"/>
          <w:sz w:val="24"/>
        </w:rPr>
        <w:t>Any Net Revenue that LLC receives in the form of non-cash consideration shall be valued as revenue in accordance with GAAP. If LLC’s value of non-cash consideration received under any arrangement related to AMC annually exceeds $500,000 but is not greater than $5 million from any party in a single transaction or</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series of related transactions, such value shall be confirmed by National CineMedia, if it is LLC’s managing member, or LLC’s then managing member. If LLC’s value of non-cash consideration received under any arrangement exceeds $5 million from any party in a single transaction or series of related transactions, LLC shall engage an independent qualified appraiser to determine the fair market value of such non-cash consideration. Notwithstanding the foregoing, no confirmation or appraisal of value shall be required for LLC’s acquisition of tickets from AMC at the published group sale price in exchange for advertising at LLC’s rate card rate.</w:t>
      </w:r>
      <w:r>
        <w:rPr>
          <w:rFonts w:ascii="Times New Roman" w:hAnsi="Times New Roman"/>
          <w:color w:val="000000"/>
          <w:sz w:val="20"/>
        </w:rPr>
        <w:t xml:space="preserve"> </w:t>
      </w:r>
    </w:p>
    <w:p>
      <w:pPr>
        <w:pStyle w:val="Heading1"/>
        <w:bidi w:val="0"/>
        <w:spacing w:before="240" w:after="283"/>
        <w:jc w:val="center"/>
        <w:rPr>
          <w:rFonts w:ascii="Times New Roman" w:hAnsi="Times New Roman"/>
          <w:sz w:val="20"/>
        </w:rPr>
      </w:pPr>
      <w:r>
        <w:rPr>
          <w:rFonts w:ascii="Times New Roman" w:hAnsi="Times New Roman"/>
          <w:color w:val="000000"/>
          <w:sz w:val="24"/>
        </w:rPr>
        <w:t xml:space="preserve">Article 3. </w:t>
        <w:br/>
        <w:br/>
      </w:r>
      <w:r>
        <w:rPr>
          <w:rFonts w:ascii="Times New Roman" w:hAnsi="Times New Roman"/>
          <w:color w:val="000000"/>
          <w:sz w:val="24"/>
          <w:u w:val="single"/>
        </w:rPr>
        <w:t>EQUIPMENT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3.01 </w:t>
      </w:r>
      <w:r>
        <w:rPr>
          <w:rFonts w:ascii="Times New Roman" w:hAnsi="Times New Roman"/>
          <w:color w:val="000000"/>
          <w:sz w:val="24"/>
          <w:u w:val="single"/>
        </w:rPr>
        <w:t>Procurement; Cost; Specifications</w:t>
      </w:r>
      <w:r>
        <w:rPr>
          <w:rFonts w:ascii="Times New Roman" w:hAnsi="Times New Roman"/>
          <w:b w:val="false"/>
          <w:color w:val="000000"/>
          <w:sz w:val="24"/>
        </w:rPr>
        <w:t>.</w:t>
      </w:r>
      <w:r>
        <w:rPr>
          <w:rFonts w:ascii="Times New Roman" w:hAnsi="Times New Roman"/>
          <w:color w:val="000000"/>
          <w:sz w:val="20"/>
        </w:rPr>
        <w:t xml:space="preserve"> </w:t>
      </w:r>
      <w:r>
        <w:rPr>
          <w:rFonts w:ascii="Times New Roman" w:hAnsi="Times New Roman"/>
          <w:b w:val="false"/>
          <w:color w:val="000000"/>
          <w:sz w:val="24"/>
        </w:rPr>
        <w:t>The Parties agree that all Theatre- level Equipment required to exhibit and otherwise participate in the Advertising Services on the terms and conditions set forth herein has been installed in all Theatres as of the Execution Date, except for Theatres identified by mutual agreement of the Parties that continue to be upgraded. With respect to all Additional Theatres and Theatres which are converted from Non-Digitized Theatres to Digitized Theatres (collectively, the “</w:t>
      </w:r>
      <w:r>
        <w:rPr>
          <w:rFonts w:ascii="Times New Roman" w:hAnsi="Times New Roman"/>
          <w:color w:val="000000"/>
          <w:sz w:val="24"/>
        </w:rPr>
        <w:t>Future Theatres</w:t>
      </w:r>
      <w:r>
        <w:rPr>
          <w:rFonts w:ascii="Times New Roman" w:hAnsi="Times New Roman"/>
          <w:color w:val="000000"/>
          <w:sz w:val="20"/>
        </w:rPr>
        <w:t>”</w:t>
      </w:r>
      <w:r>
        <w:rPr>
          <w:rFonts w:ascii="Times New Roman" w:hAnsi="Times New Roman"/>
          <w:b w:val="false"/>
          <w:color w:val="000000"/>
          <w:sz w:val="24"/>
        </w:rPr>
        <w:t xml:space="preserve">), LLC shall, except as provided in </w:t>
      </w:r>
      <w:r>
        <w:rPr>
          <w:rFonts w:ascii="Times New Roman" w:hAnsi="Times New Roman"/>
          <w:b w:val="false"/>
          <w:color w:val="000000"/>
          <w:sz w:val="24"/>
          <w:u w:val="single"/>
        </w:rPr>
        <w:t>Section 3.03</w:t>
      </w:r>
      <w:r>
        <w:rPr>
          <w:rFonts w:ascii="Times New Roman" w:hAnsi="Times New Roman"/>
          <w:b w:val="false"/>
          <w:color w:val="000000"/>
          <w:sz w:val="24"/>
        </w:rPr>
        <w:t xml:space="preserve">, be solely responsible for procuring any Equipment for such Theatres. LLC shall bear the cost of all Equipment for use outside the Theatres, as well as Equipment installed in the Theatres for maintenance purposes (if any) (a description of such LLC Equipment installed in the Theatres is included in the Specification Documentation) and the Software. AMC shall reimburse LLC, at LLC’s cost, for all other Equipment to be installed at or within any Future Theatres (a description of such AMC Equipment is included in the Specification Documentation) within thirty (30) days after (i) the installation of such Equipment by AMC or LLC in accordance with </w:t>
      </w:r>
      <w:r>
        <w:rPr>
          <w:rFonts w:ascii="Times New Roman" w:hAnsi="Times New Roman"/>
          <w:b w:val="false"/>
          <w:color w:val="000000"/>
          <w:sz w:val="24"/>
          <w:u w:val="single"/>
        </w:rPr>
        <w:t>Section 3.04</w:t>
      </w:r>
      <w:r>
        <w:rPr>
          <w:rFonts w:ascii="Times New Roman" w:hAnsi="Times New Roman"/>
          <w:color w:val="000000"/>
          <w:sz w:val="20"/>
        </w:rPr>
        <w:t xml:space="preserve"> </w:t>
      </w:r>
      <w:r>
        <w:rPr>
          <w:rFonts w:ascii="Times New Roman" w:hAnsi="Times New Roman"/>
          <w:b w:val="false"/>
          <w:color w:val="000000"/>
          <w:sz w:val="24"/>
        </w:rPr>
        <w:t xml:space="preserve">and (ii) the delivery of invoices by LLC to AMC supporting the expenses for which reimbursement is sought. All Theatre-level operational costs associated with AMC’s use of Equipment located in the Theatres, such as the cost of electricity and direct connection, shall be borne exclusively by AMC. LLC shall assure that the Equipment purchased by LLC satisfies AMC’s specifications for such equipment, including the communication interface between LLC Equipment and AMC Equipment. The Lobby Equipment will be addressed in </w:t>
      </w:r>
      <w:r>
        <w:rPr>
          <w:rFonts w:ascii="Times New Roman" w:hAnsi="Times New Roman"/>
          <w:b w:val="false"/>
          <w:color w:val="000000"/>
          <w:sz w:val="24"/>
          <w:u w:val="single"/>
        </w:rPr>
        <w:t>Addendum A</w:t>
      </w:r>
      <w:r>
        <w:rPr>
          <w:rFonts w:ascii="Times New Roman" w:hAnsi="Times New Roman"/>
          <w:b w:val="false"/>
          <w:color w:val="000000"/>
          <w:sz w:val="24"/>
        </w:rPr>
        <w: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3.02 </w:t>
      </w:r>
      <w:r>
        <w:rPr>
          <w:rFonts w:ascii="Times New Roman" w:hAnsi="Times New Roman"/>
          <w:color w:val="000000"/>
          <w:sz w:val="24"/>
          <w:u w:val="single"/>
        </w:rPr>
        <w:t>Ownership of Equipment</w:t>
      </w:r>
      <w:r>
        <w:rPr>
          <w:rFonts w:ascii="Times New Roman" w:hAnsi="Times New Roman"/>
          <w:b w:val="false"/>
          <w:color w:val="000000"/>
          <w:sz w:val="24"/>
        </w:rPr>
        <w:t xml:space="preserve">. As between the Parties, each Party will own the Equipment it pays for or reimburses the other Party for, whether pursuant to </w:t>
      </w:r>
      <w:r>
        <w:rPr>
          <w:rFonts w:ascii="Times New Roman" w:hAnsi="Times New Roman"/>
          <w:b w:val="false"/>
          <w:color w:val="000000"/>
          <w:sz w:val="24"/>
          <w:u w:val="single"/>
        </w:rPr>
        <w:t>Section 3.01</w:t>
      </w:r>
      <w:r>
        <w:rPr>
          <w:rFonts w:ascii="Times New Roman" w:hAnsi="Times New Roman"/>
          <w:color w:val="000000"/>
          <w:sz w:val="20"/>
        </w:rPr>
        <w:t xml:space="preserve"> </w:t>
      </w:r>
      <w:r>
        <w:rPr>
          <w:rFonts w:ascii="Times New Roman" w:hAnsi="Times New Roman"/>
          <w:b w:val="false"/>
          <w:color w:val="000000"/>
          <w:sz w:val="24"/>
        </w:rPr>
        <w:t xml:space="preserve">or </w:t>
      </w:r>
      <w:r>
        <w:rPr>
          <w:rFonts w:ascii="Times New Roman" w:hAnsi="Times New Roman"/>
          <w:b w:val="false"/>
          <w:color w:val="000000"/>
          <w:sz w:val="24"/>
          <w:u w:val="single"/>
        </w:rPr>
        <w:t>Section 3.03</w:t>
      </w:r>
      <w:r>
        <w:rPr>
          <w:rFonts w:ascii="Times New Roman" w:hAnsi="Times New Roman"/>
          <w:b w:val="false"/>
          <w:color w:val="000000"/>
          <w:sz w:val="24"/>
        </w:rPr>
        <w:t xml:space="preserve">. To the extent possible, LLC agrees to assign to AMC any manufacturer warranties applicable to AMC Equipment procured by LLC pursuant to </w:t>
      </w:r>
      <w:r>
        <w:rPr>
          <w:rFonts w:ascii="Times New Roman" w:hAnsi="Times New Roman"/>
          <w:b w:val="false"/>
          <w:color w:val="000000"/>
          <w:sz w:val="24"/>
          <w:u w:val="single"/>
        </w:rPr>
        <w:t>Section 3.01</w:t>
      </w:r>
      <w:r>
        <w:rPr>
          <w:rFonts w:ascii="Times New Roman" w:hAnsi="Times New Roman"/>
          <w:b w:val="false"/>
          <w:color w:val="000000"/>
          <w:sz w:val="24"/>
        </w:rPr>
        <w:t>. If for any reason the aforementioned warranties are not assignable, upon written request of AMC, LLC shall use commercially reasonable efforts to enforce the warranties on behalf of AMC. Notwithstanding anything to the contrary herein, any LLC Equipment placed or installed in a Theatre for maintenance purposes may, upon termination of this Agreement or deletion of a particular Theatre as provided herein, as applicable, be removed by LLC and held for its sole benefit. The Lobby Equipment will be addressed in Addendum A.</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3.03 </w:t>
      </w:r>
      <w:r>
        <w:rPr>
          <w:rFonts w:ascii="Times New Roman" w:hAnsi="Times New Roman"/>
          <w:color w:val="000000"/>
          <w:sz w:val="24"/>
          <w:u w:val="single"/>
        </w:rPr>
        <w:t>AMC Equipment</w:t>
      </w:r>
      <w:r>
        <w:rPr>
          <w:rFonts w:ascii="Times New Roman" w:hAnsi="Times New Roman"/>
          <w:b w:val="false"/>
          <w:color w:val="000000"/>
          <w:sz w:val="24"/>
        </w:rPr>
        <w:t>. AMC shall be permitted to furnish any of the Equipment, at its sole cost and expense, upon consultation with LLC, and provided such Equipment satisfies LLC’s specifications for such Equipment (including compatibility with the Digital Content Network). LLC agrees to cooperate with AMC in good faith to permit the</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procurement by AMC of Equipment in lieu of procurement of such Equipment by LLC and reimbursement by AMC pursuant to </w:t>
      </w:r>
      <w:r>
        <w:rPr>
          <w:rFonts w:ascii="Times New Roman" w:hAnsi="Times New Roman"/>
          <w:b w:val="false"/>
          <w:color w:val="000000"/>
          <w:sz w:val="24"/>
          <w:u w:val="single"/>
        </w:rPr>
        <w:t>Section 3.01</w:t>
      </w:r>
      <w:r>
        <w:rPr>
          <w:rFonts w:ascii="Times New Roman" w:hAnsi="Times New Roman"/>
          <w:b w:val="false"/>
          <w:color w:val="000000"/>
          <w:sz w:val="24"/>
        </w:rPr>
        <w: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3.04 </w:t>
      </w:r>
      <w:r>
        <w:rPr>
          <w:rFonts w:ascii="Times New Roman" w:hAnsi="Times New Roman"/>
          <w:color w:val="000000"/>
          <w:sz w:val="24"/>
          <w:u w:val="single"/>
        </w:rPr>
        <w:t>Installation</w:t>
      </w:r>
      <w:r>
        <w:rPr>
          <w:rFonts w:ascii="Times New Roman" w:hAnsi="Times New Roman"/>
          <w:b w:val="false"/>
          <w:color w:val="000000"/>
          <w:sz w:val="24"/>
        </w:rPr>
        <w:t>.</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color w:val="000000"/>
          <w:sz w:val="24"/>
          <w:u w:val="single"/>
        </w:rPr>
        <w:t>Performance</w:t>
      </w:r>
      <w:r>
        <w:rPr>
          <w:rFonts w:ascii="Times New Roman" w:hAnsi="Times New Roman"/>
          <w:b w:val="false"/>
          <w:color w:val="000000"/>
          <w:sz w:val="24"/>
        </w:rPr>
        <w:t xml:space="preserve">. AMC and/or its subcontractors shall be solely responsible for the installation of all Equipment purchased pursuant to </w:t>
      </w:r>
      <w:r>
        <w:rPr>
          <w:rFonts w:ascii="Times New Roman" w:hAnsi="Times New Roman"/>
          <w:b w:val="false"/>
          <w:color w:val="000000"/>
          <w:sz w:val="24"/>
          <w:u w:val="single"/>
        </w:rPr>
        <w:t>Section 3.01</w:t>
      </w:r>
      <w:r>
        <w:rPr>
          <w:rFonts w:ascii="Times New Roman" w:hAnsi="Times New Roman"/>
          <w:color w:val="000000"/>
          <w:sz w:val="20"/>
        </w:rPr>
        <w:t xml:space="preserve"> </w:t>
      </w:r>
      <w:r>
        <w:rPr>
          <w:rFonts w:ascii="Times New Roman" w:hAnsi="Times New Roman"/>
          <w:b w:val="false"/>
          <w:color w:val="000000"/>
          <w:sz w:val="24"/>
        </w:rPr>
        <w:t xml:space="preserve">or </w:t>
      </w:r>
      <w:r>
        <w:rPr>
          <w:rFonts w:ascii="Times New Roman" w:hAnsi="Times New Roman"/>
          <w:b w:val="false"/>
          <w:color w:val="000000"/>
          <w:sz w:val="24"/>
          <w:u w:val="single"/>
        </w:rPr>
        <w:t>Section 3.03</w:t>
      </w:r>
      <w:r>
        <w:rPr>
          <w:rFonts w:ascii="Times New Roman" w:hAnsi="Times New Roman"/>
          <w:b w:val="false"/>
          <w:color w:val="000000"/>
          <w:sz w:val="24"/>
        </w:rPr>
        <w:t>, as well as for ancillary services such as reporting, software integration and system cutover; provided, however, that AMC may elect to have LLC perform such services, and LLC shall then assume the responsibility for installation of all Equipment. If AMC elects for LLC to assume the responsibility for installation of all Equipment, (i) AMC shall reimburse LLC for the cost of installing AMC Equipment as set forth in the Specification Documentation, (ii) LLC will not issue invoices for any Equipment cost, or installation services related to such Equipment until the completion of such installation services, and (iii) LLC shall ensure that Equipment installed pursuant to this section is made functional in accordance with any installation rollout schedule agreed to by the Parties, as may be amended from time to time upon mutual agreement of the Parties or as circumstances warrant.</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(b) </w:t>
      </w:r>
      <w:r>
        <w:rPr>
          <w:rFonts w:ascii="Times New Roman" w:hAnsi="Times New Roman"/>
          <w:b w:val="false"/>
          <w:color w:val="000000"/>
          <w:sz w:val="24"/>
          <w:u w:val="single"/>
        </w:rPr>
        <w:t>Consultation; Direct Connect</w:t>
      </w:r>
      <w:r>
        <w:rPr>
          <w:rFonts w:ascii="Times New Roman" w:hAnsi="Times New Roman"/>
          <w:b w:val="false"/>
          <w:color w:val="000000"/>
          <w:sz w:val="24"/>
        </w:rPr>
        <w:t>. The Parties agree to consult with each other with respect to any modifications to Theatre premises necessary for receipt of the Advertising Services. LLC shall use commercially reasonable efforts to limit the size and number of satellite dishes that are required as part of the Equipment. AMC shall be solely responsible for obtaining any consents required for the installation or use of any Equipment at any Theatre, including without limitation governmental and landlord consents, provided LLC reasonably cooperates with AMC at AMC’s request in obtaining such consents. If AMC cannot obtain consent to installation of a satellite dish at a Theatre because of technical, landlord or legal restrictions, AMC and LLC shall work together in good faith to establish a direct connect connection to such location for the Digital Content Network. All costs of the direct connect connection, which shall be maintained with sufficient bandwidth for delivery of the Digital Content Service, shall be borne by LLC with respect to delivery of content from LLC to AMC’s wide area network and by AMC with respect to delivery of content from AMC’s wide area network to the applicable Theatres.</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(c) </w:t>
      </w:r>
      <w:r>
        <w:rPr>
          <w:rFonts w:ascii="Times New Roman" w:hAnsi="Times New Roman"/>
          <w:b w:val="false"/>
          <w:color w:val="000000"/>
          <w:sz w:val="24"/>
          <w:u w:val="single"/>
        </w:rPr>
        <w:t>Coordination</w:t>
      </w:r>
      <w:r>
        <w:rPr>
          <w:rFonts w:ascii="Times New Roman" w:hAnsi="Times New Roman"/>
          <w:b w:val="false"/>
          <w:color w:val="000000"/>
          <w:sz w:val="24"/>
        </w:rPr>
        <w:t>. All installation, maintenance and other services provided by LLC to the Theatres hereunder shall be performed in a manner reasonably expected not to disrupt AMC’s operations and, except where no practical alternative exists, shall be provided outside of Theatre business hours, as mutually determined by the Parties in their reasonable discretion. Subject to the preceding sentence and upon advance written notice, LLC and its vendors or subcontractors shall be provided reasonable access to the Theatres and such other support services as reasonably required to install and inspect the Equipment, for such fees as provided in the Specification Documentation, and otherwise as required to perform LLC’s obligations under this Agreement. In addition to the foregoing, and with respect to the installation of Equipment in newly built Additional Theatres only, LLC agrees (i) to cooperate with AMC in coordinating the installation of Equipment with the construction schedule for such Additional Theatres, and (ii) to consult with AMC prior to subcontracting the performance of Equipment installation so as to permit a determination of whether AMC might itself perform such Equipment installation.</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3.05 </w:t>
      </w:r>
      <w:r>
        <w:rPr>
          <w:rFonts w:ascii="Times New Roman" w:hAnsi="Times New Roman"/>
          <w:color w:val="000000"/>
          <w:sz w:val="24"/>
          <w:u w:val="single"/>
        </w:rPr>
        <w:t>Upgrades and Modifications</w:t>
      </w:r>
      <w:r>
        <w:rPr>
          <w:rFonts w:ascii="Times New Roman" w:hAnsi="Times New Roman"/>
          <w:b w:val="false"/>
          <w:color w:val="000000"/>
          <w:sz w:val="24"/>
        </w:rPr>
        <w:t>. In order to ensure compatibility with, and optimum performance and robustness of, the Digital Content Network and the LLC</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Equipment (including hardware and software), LLC reserves the right to request of AMC the replacement, upgrade or modification of any AMC Equipment installed at any Theatre or the assistance with an upgrade to Software on AMC Equipment (the “</w:t>
      </w:r>
      <w:r>
        <w:rPr>
          <w:rFonts w:ascii="Times New Roman" w:hAnsi="Times New Roman"/>
          <w:color w:val="000000"/>
          <w:sz w:val="24"/>
        </w:rPr>
        <w:t>Upgrade Request</w:t>
      </w:r>
      <w:r>
        <w:rPr>
          <w:rFonts w:ascii="Times New Roman" w:hAnsi="Times New Roman"/>
          <w:color w:val="000000"/>
          <w:sz w:val="20"/>
        </w:rPr>
        <w:t>”</w:t>
      </w:r>
      <w:r>
        <w:rPr>
          <w:rFonts w:ascii="Times New Roman" w:hAnsi="Times New Roman"/>
          <w:b w:val="false"/>
          <w:color w:val="000000"/>
          <w:sz w:val="24"/>
        </w:rPr>
        <w:t>). In the event of an Upgrade Request, LLC shall provide AMC as much written notice as is reasonably practicable under the circumstances, but in no event less than ten (10) business days written notice. LLC and AMC will negotiate with each other in good faith on the terms of any Upgrade Requests, including cost sharing terms, if any. If LLC and AMC are not able to come to agreement about an Upgrade Request, LLC may elect to pay for the replacements, upgrades or modifications contained in the Upgrade Request including all reasonable incidental and incremental costs to AMC, and AMC shall be obligated to permit LLC to perform all necessary work to fulfill the Upgrade Request, provided (i) there is no additional unreimbursed cost to it to accept such replacement, upgrade or modification and (ii) that such replacement, upgrade or modification does not unreasonably interfere with AMC’s theatre operations and does not include any replacement, upgrade or modification of AMC software without AMC’s express prior written consent. LLC agrees that, to the extent practicable, it will develop a system that seeks to minimize the need to enter the Theatres in order to update the Software.</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3.06 </w:t>
      </w:r>
      <w:r>
        <w:rPr>
          <w:rFonts w:ascii="Times New Roman" w:hAnsi="Times New Roman"/>
          <w:color w:val="000000"/>
          <w:sz w:val="24"/>
          <w:u w:val="single"/>
        </w:rPr>
        <w:t>Conversion of Theatres to Digital Cinema Equipment</w:t>
      </w:r>
      <w:r>
        <w:rPr>
          <w:rFonts w:ascii="Times New Roman" w:hAnsi="Times New Roman"/>
          <w:b w:val="false"/>
          <w:color w:val="000000"/>
          <w:sz w:val="24"/>
        </w:rPr>
        <w:t>.</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color w:val="000000"/>
          <w:sz w:val="24"/>
          <w:u w:val="single"/>
        </w:rPr>
        <w:t>Digital Cinema Equipment</w:t>
      </w:r>
      <w:r>
        <w:rPr>
          <w:rFonts w:ascii="Times New Roman" w:hAnsi="Times New Roman"/>
          <w:b w:val="false"/>
          <w:color w:val="000000"/>
          <w:sz w:val="24"/>
        </w:rPr>
        <w:t>. As between AMC and LLC, AMC will be responsible for purchasing, installing and maintaining the Projection Systems selected by AMC for any Additional Theatres. After the installation of a Projection System in an auditorium in an Additional Theatre, AMC, at its sole option, may elect to determine the manner in which the Advertising Services are exhibited in such auditorium through either a Dual Interface Architecture or the ACE Solution, and such Projection Systems shall constitute AMC Equipment under this Agreement (the “</w:t>
      </w:r>
      <w:r>
        <w:rPr>
          <w:rFonts w:ascii="Times New Roman" w:hAnsi="Times New Roman"/>
          <w:color w:val="000000"/>
          <w:sz w:val="24"/>
        </w:rPr>
        <w:t>Digital Cinema Equipment</w:t>
      </w:r>
      <w:r>
        <w:rPr>
          <w:rFonts w:ascii="Times New Roman" w:hAnsi="Times New Roman"/>
          <w:color w:val="000000"/>
          <w:sz w:val="20"/>
        </w:rPr>
        <w:t>”</w:t>
      </w:r>
      <w:r>
        <w:rPr>
          <w:rFonts w:ascii="Times New Roman" w:hAnsi="Times New Roman"/>
          <w:b w:val="false"/>
          <w:color w:val="000000"/>
          <w:sz w:val="24"/>
        </w:rPr>
        <w:t>) AMC shall be responsible for connecting the Equipment, including LLC Equipment, to the AMC Equipment in a functional manner as mutually agreed by AMC and LLC. LLC shall be responsible for providing specifications and process instructions to AMC for such connectivity in advance of the installation; provided that such specifications and process instructions shall not require AMC to acquire any additional equipment or software in order to effectuate such connectivity that would render such Digital Cinema Equipment to no longer be compliant with industry standard specifications. Once LLC receives notice from AMC that a Projection System has been installed in a given auditorium, LLC and AMC shall have the responsibility to jointly test such conversion to ensure that the Digital Cinema Equipment is operational to provide the Advertising Services. Once the Digital Cinema Equipment is operational to provide the Advertising Services, LLC shall notify AMC in writing (the “</w:t>
      </w:r>
      <w:r>
        <w:rPr>
          <w:rFonts w:ascii="Times New Roman" w:hAnsi="Times New Roman"/>
          <w:color w:val="000000"/>
          <w:sz w:val="24"/>
        </w:rPr>
        <w:t>LLC Confirmation</w:t>
      </w:r>
      <w:r>
        <w:rPr>
          <w:rFonts w:ascii="Times New Roman" w:hAnsi="Times New Roman"/>
          <w:color w:val="000000"/>
          <w:sz w:val="20"/>
        </w:rPr>
        <w:t>”</w:t>
      </w:r>
      <w:r>
        <w:rPr>
          <w:rFonts w:ascii="Times New Roman" w:hAnsi="Times New Roman"/>
          <w:b w:val="false"/>
          <w:color w:val="000000"/>
          <w:sz w:val="24"/>
        </w:rPr>
        <w:t>). If the Digital Cinema Equipment is not operational to provide the Advertising Services, LLC and AMC shall cooperate to make the system operational to provide the Advertising Services. The Parties agree that they will mutually agree on an installation schedule and each Party will use commercially reasonable efforts to comply with the schedule. If a Low Resolution Projection System is needed in an auditorium to deliver the Advertising Services, then, AMC shall not be permitted to remove the Low Resolution Projection System from such auditorium until the Parties agree an alternative system is in place. If AMC elects to replace the Digital Cinema Equipment with 35mm projection or other non-digital projection system, then AMC shall reinstall Low Resolution Projection Systems in order to deliver the Advertising Services in such auditoriums unless such non-digital system is installed for a limited engagement. In the event of a limited engagement, AMC and LLC will use commercially reasonable efforts to enable the auditorium to display the Advertising Services, and if the Advertising Services are</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b w:val="false"/>
          <w:color w:val="000000"/>
          <w:sz w:val="24"/>
        </w:rPr>
      </w:pPr>
      <w:r>
        <w:rPr>
          <w:rFonts w:ascii="Times New Roman" w:hAnsi="Times New Roman"/>
          <w:b w:val="false"/>
          <w:color w:val="000000"/>
          <w:sz w:val="24"/>
        </w:rPr>
        <w:t>not able to be displayed, then any attendees of the limited engagement will be excluded AMC Attendance.</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(b) </w:t>
      </w:r>
      <w:r>
        <w:rPr>
          <w:rFonts w:ascii="Times New Roman" w:hAnsi="Times New Roman"/>
          <w:b w:val="false"/>
          <w:color w:val="000000"/>
          <w:sz w:val="24"/>
          <w:u w:val="single"/>
        </w:rPr>
        <w:t>Maintenance Obligations</w:t>
      </w:r>
      <w:r>
        <w:rPr>
          <w:rFonts w:ascii="Times New Roman" w:hAnsi="Times New Roman"/>
          <w:b w:val="false"/>
          <w:color w:val="000000"/>
          <w:sz w:val="24"/>
        </w:rPr>
        <w:t>. At the time any Digital Cinema Equipment is used to deliver Advertising Services hereunder, whether using a Dual Interface Architecture or the ACE Solution, LLC shall have no further obligation to maintain the Low Resolution Projection System in that auditorium or to remove or dispose of such projection system. LLC shall continue to be responsible for maintaining the Equipment, including the LLC Equipment and any remaining Low Resolution Projection Systems actually in use at a Theatre. AMC shall continue to be responsible for maintaining all AMC Equipment, including the Digital Cinema Equipment.</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(c) </w:t>
      </w:r>
      <w:r>
        <w:rPr>
          <w:rFonts w:ascii="Times New Roman" w:hAnsi="Times New Roman"/>
          <w:b w:val="false"/>
          <w:color w:val="000000"/>
          <w:sz w:val="24"/>
          <w:u w:val="single"/>
        </w:rPr>
        <w:t>Dual Interface Architecture or ACE Solution</w:t>
      </w:r>
      <w:r>
        <w:rPr>
          <w:rFonts w:ascii="Times New Roman" w:hAnsi="Times New Roman"/>
          <w:b w:val="false"/>
          <w:color w:val="000000"/>
          <w:sz w:val="24"/>
        </w:rPr>
        <w:t xml:space="preserve">. Subject to the requirements and procedures set forth in </w:t>
      </w:r>
      <w:r>
        <w:rPr>
          <w:rFonts w:ascii="Times New Roman" w:hAnsi="Times New Roman"/>
          <w:b w:val="false"/>
          <w:color w:val="000000"/>
          <w:sz w:val="24"/>
          <w:u w:val="single"/>
        </w:rPr>
        <w:t>Section 3.06(a)</w:t>
      </w:r>
      <w:r>
        <w:rPr>
          <w:rFonts w:ascii="Times New Roman" w:hAnsi="Times New Roman"/>
          <w:color w:val="000000"/>
          <w:sz w:val="20"/>
        </w:rPr>
        <w:t xml:space="preserve"> </w:t>
      </w:r>
      <w:r>
        <w:rPr>
          <w:rFonts w:ascii="Times New Roman" w:hAnsi="Times New Roman"/>
          <w:b w:val="false"/>
          <w:color w:val="000000"/>
          <w:sz w:val="24"/>
        </w:rPr>
        <w:t xml:space="preserve">nothing in this </w:t>
      </w:r>
      <w:r>
        <w:rPr>
          <w:rFonts w:ascii="Times New Roman" w:hAnsi="Times New Roman"/>
          <w:b w:val="false"/>
          <w:color w:val="000000"/>
          <w:sz w:val="24"/>
          <w:u w:val="single"/>
        </w:rPr>
        <w:t>Section 3.06</w:t>
      </w:r>
      <w:r>
        <w:rPr>
          <w:rFonts w:ascii="Times New Roman" w:hAnsi="Times New Roman"/>
          <w:color w:val="000000"/>
          <w:sz w:val="20"/>
        </w:rPr>
        <w:t xml:space="preserve"> </w:t>
      </w:r>
      <w:r>
        <w:rPr>
          <w:rFonts w:ascii="Times New Roman" w:hAnsi="Times New Roman"/>
          <w:b w:val="false"/>
          <w:color w:val="000000"/>
          <w:sz w:val="24"/>
        </w:rPr>
        <w:t>shall prohibit AMC from implementing either a Dual Interface Architecture or the ACE Solution or from switching from a Dual Interface Architecture to the ACE Solution or vice-versa; provided that AMC reimburses LLC for any costs incurred with such conversion that is not planned as of the Execution Date and will provide at least 180 days’ notice prior to a conversion from Dual Interface Architecture to the ACE Solution. In addition, in certain limited circumstances, AMC may replace the Digital Cinema Equipment with 35mm projection in specific auditoriums and, in such circumstances unless such replacement is for a limited engagement, AMC shall install Low Resolution Projection Systems in order to deliver the Advertising Services in such auditoriums on the same terms and conditions as existed prior to the installation of the 35mm projection system. In the event of a limited engagement, AMC and LLC will use commercially reasonable efforts to enable the auditorium to display the Advertising Services, and if the Advertising Services are not able to be displayed, then any attendees of the limited engagement will be excluded AMC Attendance. For any auditorium converted to the ACE Solution, LLC shall be responsible for all costs necessary to provide the Advertising Services for each Play List in an appropriate format, and AMC will be responsible for all costs necessary to receive the Advertising Services content into AMC’s TMS and append the digital cinema playlist to provide LLC substantially the same functionality that existed before the conversion to the ACE Solution.</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(d) </w:t>
      </w:r>
      <w:r>
        <w:rPr>
          <w:rFonts w:ascii="Times New Roman" w:hAnsi="Times New Roman"/>
          <w:b w:val="false"/>
          <w:color w:val="000000"/>
          <w:sz w:val="24"/>
          <w:u w:val="single"/>
        </w:rPr>
        <w:t>Status Update</w:t>
      </w:r>
      <w:r>
        <w:rPr>
          <w:rFonts w:ascii="Times New Roman" w:hAnsi="Times New Roman"/>
          <w:b w:val="false"/>
          <w:color w:val="000000"/>
          <w:sz w:val="24"/>
        </w:rPr>
        <w:t>. AMC will provide regular updates to LLC regarding the conversion of Dual Interface Architecture to ACE and Non-Digitized Theatres to Digitized Theatres.</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3.07 </w:t>
      </w:r>
      <w:r>
        <w:rPr>
          <w:rFonts w:ascii="Times New Roman" w:hAnsi="Times New Roman"/>
          <w:color w:val="000000"/>
          <w:sz w:val="24"/>
          <w:u w:val="single"/>
        </w:rPr>
        <w:t>Training</w:t>
      </w:r>
      <w:r>
        <w:rPr>
          <w:rFonts w:ascii="Times New Roman" w:hAnsi="Times New Roman"/>
          <w:b w:val="false"/>
          <w:color w:val="000000"/>
          <w:sz w:val="24"/>
        </w:rPr>
        <w:t>. To the extent necessary, LLC and AMC, respectively, will provide training services to AMC’s support staff and customer service and other employees and agents on terms as mutually agreed by the Parties in their reasonable discretion. LLC agrees that it will pay for these training services and they will be adequate to permit AMC to train its own employees and agents as required to perform under this Agreement. AMC agrees to provide training services according to any reasonable standards as may be promulgated by LLC in consultation with AMC. LLC agrees to provide training services, at its cost, to AMC’s support staff and other employees with respect to any Equipment or Software upgrades or modifications prior to implementation.</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3.08 </w:t>
      </w:r>
      <w:r>
        <w:rPr>
          <w:rFonts w:ascii="Times New Roman" w:hAnsi="Times New Roman"/>
          <w:color w:val="000000"/>
          <w:sz w:val="24"/>
          <w:u w:val="single"/>
        </w:rPr>
        <w:t>Equipment Maintenance Standard</w:t>
      </w:r>
      <w:r>
        <w:rPr>
          <w:rFonts w:ascii="Times New Roman" w:hAnsi="Times New Roman"/>
          <w:b w:val="false"/>
          <w:color w:val="000000"/>
          <w:sz w:val="24"/>
        </w:rPr>
        <w:t>.</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color w:val="000000"/>
          <w:sz w:val="24"/>
          <w:u w:val="single"/>
        </w:rPr>
        <w:t>Standard; Replacement</w:t>
      </w:r>
      <w:r>
        <w:rPr>
          <w:rFonts w:ascii="Times New Roman" w:hAnsi="Times New Roman"/>
          <w:b w:val="false"/>
          <w:color w:val="000000"/>
          <w:sz w:val="24"/>
        </w:rPr>
        <w:t xml:space="preserve">. During the Term, the Parties shall each use their commercially reasonable efforts (i) to ensure there is no unauthorized access, loss or damage to or theft of Equipment hereunder, and (ii) to prevent piracy or other theft of Inventory exhibited through the use of such Equipment or otherwise in its possession or control. AMC further agrees to keep all AMC Equipment, including without limitation Lobby Screens, clean, and to promptly notify LLC if any AMC Equipment is not functioning properly. AMC shall promptly arrange to repair or replace any Equipment in its possession (provided the damage interferes with the delivery of the Advertising Services) that is lost, stolen, damaged or otherwise fails to function or becomes inoperable, other than because of LLC’s failure to properly maintain the Equipment as set forth in </w:t>
      </w:r>
      <w:r>
        <w:rPr>
          <w:rFonts w:ascii="Times New Roman" w:hAnsi="Times New Roman"/>
          <w:b w:val="false"/>
          <w:color w:val="000000"/>
          <w:sz w:val="24"/>
          <w:u w:val="single"/>
        </w:rPr>
        <w:t>Section 3.08(b)</w:t>
      </w:r>
      <w:r>
        <w:rPr>
          <w:rFonts w:ascii="Times New Roman" w:hAnsi="Times New Roman"/>
          <w:b w:val="false"/>
          <w:color w:val="000000"/>
          <w:sz w:val="24"/>
        </w:rPr>
        <w:t>.</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(b) </w:t>
      </w:r>
      <w:r>
        <w:rPr>
          <w:rFonts w:ascii="Times New Roman" w:hAnsi="Times New Roman"/>
          <w:b w:val="false"/>
          <w:color w:val="000000"/>
          <w:sz w:val="24"/>
          <w:u w:val="single"/>
        </w:rPr>
        <w:t>Performance of Repair and Replacement</w:t>
      </w:r>
      <w:r>
        <w:rPr>
          <w:rFonts w:ascii="Times New Roman" w:hAnsi="Times New Roman"/>
          <w:b w:val="false"/>
          <w:color w:val="000000"/>
          <w:sz w:val="24"/>
        </w:rPr>
        <w:t xml:space="preserve">. Subject to the terms of this </w:t>
      </w:r>
      <w:r>
        <w:rPr>
          <w:rFonts w:ascii="Times New Roman" w:hAnsi="Times New Roman"/>
          <w:b w:val="false"/>
          <w:color w:val="000000"/>
          <w:sz w:val="24"/>
          <w:u w:val="single"/>
        </w:rPr>
        <w:t>Section 3.08(b)</w:t>
      </w:r>
      <w:r>
        <w:rPr>
          <w:rFonts w:ascii="Times New Roman" w:hAnsi="Times New Roman"/>
          <w:color w:val="000000"/>
          <w:sz w:val="20"/>
        </w:rPr>
        <w:t xml:space="preserve"> </w:t>
      </w:r>
      <w:r>
        <w:rPr>
          <w:rFonts w:ascii="Times New Roman" w:hAnsi="Times New Roman"/>
          <w:b w:val="false"/>
          <w:color w:val="000000"/>
          <w:sz w:val="24"/>
        </w:rPr>
        <w:t xml:space="preserve">and of </w:t>
      </w:r>
      <w:r>
        <w:rPr>
          <w:rFonts w:ascii="Times New Roman" w:hAnsi="Times New Roman"/>
          <w:b w:val="false"/>
          <w:color w:val="000000"/>
          <w:sz w:val="24"/>
          <w:u w:val="single"/>
        </w:rPr>
        <w:t>Section 3.08(c)</w:t>
      </w:r>
      <w:r>
        <w:rPr>
          <w:rFonts w:ascii="Times New Roman" w:hAnsi="Times New Roman"/>
          <w:color w:val="000000"/>
          <w:sz w:val="20"/>
        </w:rPr>
        <w:t xml:space="preserve"> </w:t>
      </w:r>
      <w:r>
        <w:rPr>
          <w:rFonts w:ascii="Times New Roman" w:hAnsi="Times New Roman"/>
          <w:b w:val="false"/>
          <w:color w:val="000000"/>
          <w:sz w:val="24"/>
        </w:rPr>
        <w:t>below regarding cost, the repair and replacement of Equipment shall be performed by LLC until such time as AMC elects to assume this responsibility by giving written notice to LLC. If AMC assumes this responsibility to perform replacement or repair but fails to maintain the AMC Equipment at a performance level substantially similar to the LLC Equipment, then LLC shall promptly provide AMC written notice of such failure and if such failure is not cured within 30 days, LLC shall be entitled to repair, or if repair is not reasonably possible, replace such LLC Equipment not so maintained and deduct the cost of such replacement from AMC’s Minimum Guarantee.</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(c) </w:t>
      </w:r>
      <w:r>
        <w:rPr>
          <w:rFonts w:ascii="Times New Roman" w:hAnsi="Times New Roman"/>
          <w:b w:val="false"/>
          <w:color w:val="000000"/>
          <w:sz w:val="24"/>
          <w:u w:val="single"/>
        </w:rPr>
        <w:t>Repair Costs</w:t>
      </w:r>
      <w:r>
        <w:rPr>
          <w:rFonts w:ascii="Times New Roman" w:hAnsi="Times New Roman"/>
          <w:b w:val="false"/>
          <w:color w:val="000000"/>
          <w:sz w:val="24"/>
        </w:rPr>
        <w:t xml:space="preserve">. So long as LLC is performing repair and replacement of Equipment, LLC shall pay the costs of repair (but not replacement, which is the responsibility of AMC). Notwithstanding anything to the contrary in this </w:t>
      </w:r>
      <w:r>
        <w:rPr>
          <w:rFonts w:ascii="Times New Roman" w:hAnsi="Times New Roman"/>
          <w:b w:val="false"/>
          <w:color w:val="000000"/>
          <w:sz w:val="24"/>
          <w:u w:val="single"/>
        </w:rPr>
        <w:t>Section 3.08</w:t>
      </w:r>
      <w:r>
        <w:rPr>
          <w:rFonts w:ascii="Times New Roman" w:hAnsi="Times New Roman"/>
          <w:b w:val="false"/>
          <w:color w:val="000000"/>
          <w:sz w:val="24"/>
        </w:rPr>
        <w:t>, LLC shall not be required or requested to make any expenditures that (i) would constitute a capital expenditure for LLC under GAAP or (ii) would have otherwise been payable by AMC’s insurance provider; provided, however, LLC shall be responsible for all costs to repair or replace Equipment to the extent damaged as a result of the negligence or misconduct of LLC and/or its subcontractors.</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(d) </w:t>
      </w:r>
      <w:r>
        <w:rPr>
          <w:rFonts w:ascii="Times New Roman" w:hAnsi="Times New Roman"/>
          <w:b w:val="false"/>
          <w:color w:val="000000"/>
          <w:sz w:val="24"/>
          <w:u w:val="single"/>
        </w:rPr>
        <w:t>Condition</w:t>
      </w:r>
      <w:r>
        <w:rPr>
          <w:rFonts w:ascii="Times New Roman" w:hAnsi="Times New Roman"/>
          <w:b w:val="false"/>
          <w:color w:val="000000"/>
          <w:sz w:val="24"/>
        </w:rPr>
        <w:t>. Subject to the foregoing, for purposes of ongoing maintenance, LLC shall keep and maintain Equipment installed in the Theatres in good condition and repair at its sole expense (with the exception of projector bulb replacement and equipment replacement, the cost of which shall be borne by AMC), and in a manner consistent with the Service Level Agreement set forth in the Specification Documentation and as may be reasonably amended by mutual agreement of LLC and AMC from time to time. The Parties agree to consult with each other on a regular basis during the Term in an attempt to reduce maintenance costs arising from redundancies in the Parties’ respective service fleets. Upon advance notice to AMC, AMC shall provide LLC and/or its subcontractors reasonable access to the Equipment and such other support services as LLC and/or its subcontractors reasonably require to provide maintenance and repair services as required hereunder.</w:t>
      </w:r>
    </w:p>
    <w:p>
      <w:pPr>
        <w:pStyle w:val="Heading1"/>
        <w:bidi w:val="0"/>
        <w:spacing w:before="240" w:after="283"/>
        <w:jc w:val="center"/>
        <w:rPr>
          <w:rFonts w:ascii="Times New Roman" w:hAnsi="Times New Roman"/>
          <w:sz w:val="20"/>
        </w:rPr>
      </w:pPr>
      <w:r>
        <w:rPr>
          <w:rFonts w:ascii="Times New Roman" w:hAnsi="Times New Roman"/>
          <w:color w:val="000000"/>
          <w:sz w:val="24"/>
        </w:rPr>
        <w:t xml:space="preserve">Article 4. </w:t>
      </w:r>
      <w:r>
        <w:rPr>
          <w:rFonts w:ascii="Times New Roman" w:hAnsi="Times New Roman"/>
          <w:color w:val="000000"/>
          <w:sz w:val="24"/>
          <w:u w:val="single"/>
        </w:rPr>
        <w:br/>
        <w:br/>
        <w:t>DELIVERY OF THE ADVERTISING SERVICES</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4.01 </w:t>
      </w:r>
      <w:r>
        <w:rPr>
          <w:rFonts w:ascii="Times New Roman" w:hAnsi="Times New Roman"/>
          <w:color w:val="000000"/>
          <w:sz w:val="24"/>
          <w:u w:val="single"/>
        </w:rPr>
        <w:t>Content and Distribution of the Digital Content Service</w:t>
      </w:r>
      <w:r>
        <w:rPr>
          <w:rFonts w:ascii="Times New Roman" w:hAnsi="Times New Roman"/>
          <w:b w:val="false"/>
          <w:color w:val="000000"/>
          <w:sz w:val="24"/>
        </w:rPr>
        <w:t>.</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color w:val="000000"/>
          <w:sz w:val="24"/>
          <w:u w:val="single"/>
        </w:rPr>
        <w:t>Distribution; Quality</w:t>
      </w:r>
      <w:r>
        <w:rPr>
          <w:rFonts w:ascii="Times New Roman" w:hAnsi="Times New Roman"/>
          <w:b w:val="false"/>
          <w:color w:val="000000"/>
          <w:sz w:val="24"/>
        </w:rPr>
        <w:t>. On the Execution Date, LLC will commence distribution of the Digital Carousel, and the Digital Content Service to the Digitized Theatres,</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all as set forth above in </w:t>
      </w:r>
      <w:r>
        <w:rPr>
          <w:rFonts w:ascii="Times New Roman" w:hAnsi="Times New Roman"/>
          <w:b w:val="false"/>
          <w:color w:val="000000"/>
          <w:sz w:val="24"/>
          <w:u w:val="single"/>
        </w:rPr>
        <w:t>Article 2</w:t>
      </w:r>
      <w:r>
        <w:rPr>
          <w:rFonts w:ascii="Times New Roman" w:hAnsi="Times New Roman"/>
          <w:b w:val="false"/>
          <w:color w:val="000000"/>
          <w:sz w:val="24"/>
        </w:rPr>
        <w:t>. Content shall be distributed through the Digital Content Network, via either LLC’s satellite network or by LLC’s or AMC’s direct connect network. The Pre-Feature Program and the Lobby Entertainment Program shall consist of Inventory comprising a single play list (“</w:t>
      </w:r>
      <w:r>
        <w:rPr>
          <w:rFonts w:ascii="Times New Roman" w:hAnsi="Times New Roman"/>
          <w:color w:val="000000"/>
          <w:sz w:val="24"/>
        </w:rPr>
        <w:t>Play List</w:t>
      </w:r>
      <w:r>
        <w:rPr>
          <w:rFonts w:ascii="Times New Roman" w:hAnsi="Times New Roman"/>
          <w:color w:val="000000"/>
          <w:sz w:val="20"/>
        </w:rPr>
        <w:t>”</w:t>
      </w:r>
      <w:r>
        <w:rPr>
          <w:rFonts w:ascii="Times New Roman" w:hAnsi="Times New Roman"/>
          <w:b w:val="false"/>
          <w:color w:val="000000"/>
          <w:sz w:val="24"/>
        </w:rPr>
        <w:t>). The Play List will be refreshed during the Term when and as determined by LLC but not less frequently than 12 times per year (each a “</w:t>
      </w:r>
      <w:r>
        <w:rPr>
          <w:rFonts w:ascii="Times New Roman" w:hAnsi="Times New Roman"/>
          <w:color w:val="000000"/>
          <w:sz w:val="24"/>
        </w:rPr>
        <w:t>Flight</w:t>
      </w:r>
      <w:r>
        <w:rPr>
          <w:rFonts w:ascii="Times New Roman" w:hAnsi="Times New Roman"/>
          <w:color w:val="000000"/>
          <w:sz w:val="20"/>
        </w:rPr>
        <w:t>”</w:t>
      </w:r>
      <w:r>
        <w:rPr>
          <w:rFonts w:ascii="Times New Roman" w:hAnsi="Times New Roman"/>
          <w:b w:val="false"/>
          <w:color w:val="000000"/>
          <w:sz w:val="24"/>
        </w:rPr>
        <w:t>). The Digital Carousel and the Digital Content Service (including the Pre-Feature Programming Schedule) will be substantially similar in nature, quality, and scope to the corresponding advertising, promotional and other content, as received by the Theatres immediately prior to the Execution Date. In addition, LLC agrees that the quality of the Advertising Services delivered to AMC will be consistent throughout the Term. If AMC elects to use the ACE Solution to deliver the Advertising Services which use Digital Cinema Equipment, LLC shall ensure that such Advertising Services are provided to AMC as previously specified by LLC.</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(b) </w:t>
      </w:r>
      <w:r>
        <w:rPr>
          <w:rFonts w:ascii="Times New Roman" w:hAnsi="Times New Roman"/>
          <w:b w:val="false"/>
          <w:color w:val="000000"/>
          <w:sz w:val="24"/>
          <w:u w:val="single"/>
        </w:rPr>
        <w:t>Pre-Feature Programs</w:t>
      </w:r>
      <w:r>
        <w:rPr>
          <w:rFonts w:ascii="Times New Roman" w:hAnsi="Times New Roman"/>
          <w:b w:val="false"/>
          <w:color w:val="000000"/>
          <w:sz w:val="24"/>
        </w:rPr>
        <w:t>.</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(i) </w:t>
      </w:r>
      <w:r>
        <w:rPr>
          <w:rFonts w:ascii="Times New Roman" w:hAnsi="Times New Roman"/>
          <w:b w:val="false"/>
          <w:color w:val="000000"/>
          <w:sz w:val="24"/>
          <w:u w:val="single"/>
        </w:rPr>
        <w:t>Pre-Feature Program</w:t>
      </w:r>
      <w:r>
        <w:rPr>
          <w:rFonts w:ascii="Times New Roman" w:hAnsi="Times New Roman"/>
          <w:b w:val="false"/>
          <w:color w:val="000000"/>
          <w:sz w:val="24"/>
        </w:rPr>
        <w:t>.</w:t>
      </w:r>
      <w:r>
        <w:rPr>
          <w:rFonts w:ascii="Times New Roman" w:hAnsi="Times New Roman"/>
          <w:color w:val="000000"/>
          <w:sz w:val="20"/>
        </w:rPr>
        <w:t xml:space="preserve"> </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(A) Generally. The Pre-Feature Program shall consist of four (4) or more elements, including: (i) commercial advertising; (ii) promotions for the AMC brand (including the Brand and Branded Slots), Concessions sold and services used by AMC and other products and services in accordance with </w:t>
      </w:r>
      <w:r>
        <w:rPr>
          <w:rFonts w:ascii="Times New Roman" w:hAnsi="Times New Roman"/>
          <w:b w:val="false"/>
          <w:color w:val="000000"/>
          <w:sz w:val="24"/>
          <w:u w:val="single"/>
        </w:rPr>
        <w:t>Section 4.05</w:t>
      </w:r>
      <w:r>
        <w:rPr>
          <w:rFonts w:ascii="Times New Roman" w:hAnsi="Times New Roman"/>
          <w:b w:val="false"/>
          <w:color w:val="000000"/>
          <w:sz w:val="24"/>
        </w:rPr>
        <w:t>; (iii) interstitial content; and (iv) other entertainment programming content which, while promotional of businesses or products, shall be primarily entertaining, educational or informational in nature, rather than commercially inspired.</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(B) </w:t>
      </w:r>
      <w:r>
        <w:rPr>
          <w:rFonts w:ascii="Times New Roman" w:hAnsi="Times New Roman"/>
          <w:b w:val="false"/>
          <w:color w:val="000000"/>
          <w:sz w:val="24"/>
          <w:u w:val="single"/>
        </w:rPr>
        <w:t>Timing</w:t>
      </w:r>
      <w:r>
        <w:rPr>
          <w:rFonts w:ascii="Times New Roman" w:hAnsi="Times New Roman"/>
          <w:b w:val="false"/>
          <w:color w:val="000000"/>
          <w:sz w:val="24"/>
        </w:rPr>
        <w:t>. The Pre-Feature Program will begin 15 to 20 minutes prior to Showtime and will end 5 minutes immediately following Showtime; provided that if the Event Trailer or the Policy Trailer is displayed at Showtime, then the Pre-Feature Program will end 5 minutes plus the length of the Event Trailer and the Policy Trailer after Showtime. The Pre-Feature Program will also include the Platinum Spot, which will be displayed in the Second Trailer Position. The Parties will cooperate to mutually determine an implementation schedule for the changes in the structure and timing of the Pre-Feature Program as contemplated in this Agreement to be completed promptly following the Execution Date.</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(C) </w:t>
      </w:r>
      <w:r>
        <w:rPr>
          <w:rFonts w:ascii="Times New Roman" w:hAnsi="Times New Roman"/>
          <w:b w:val="false"/>
          <w:color w:val="000000"/>
          <w:sz w:val="24"/>
          <w:u w:val="single"/>
        </w:rPr>
        <w:t>Platinum Spot</w:t>
      </w:r>
      <w:r>
        <w:rPr>
          <w:rFonts w:ascii="Times New Roman" w:hAnsi="Times New Roman"/>
          <w:b w:val="false"/>
          <w:color w:val="000000"/>
          <w:sz w:val="24"/>
        </w:rPr>
        <w:t>. LLC will be entitled to display up to 60 second of advertising in the Second Trailer Position, i.e. directly prior to the last 2 trailers preceding the feature film or Digital Programming Event (the “</w:t>
      </w:r>
      <w:r>
        <w:rPr>
          <w:rFonts w:ascii="Times New Roman" w:hAnsi="Times New Roman"/>
          <w:color w:val="000000"/>
          <w:sz w:val="24"/>
        </w:rPr>
        <w:t>Platinum Spot</w:t>
      </w:r>
      <w:r>
        <w:rPr>
          <w:rFonts w:ascii="Times New Roman" w:hAnsi="Times New Roman"/>
          <w:color w:val="000000"/>
          <w:sz w:val="20"/>
        </w:rPr>
        <w:t>”</w:t>
      </w:r>
      <w:r>
        <w:rPr>
          <w:rFonts w:ascii="Times New Roman" w:hAnsi="Times New Roman"/>
          <w:b w:val="false"/>
          <w:color w:val="000000"/>
          <w:sz w:val="24"/>
        </w:rPr>
        <w:t xml:space="preserve">). LLC may display two-30 second advertisements or one 60 second advertisement in the Platinum Spot. The Platinum Spot will be subject to the content standards in </w:t>
      </w:r>
      <w:r>
        <w:rPr>
          <w:rFonts w:ascii="Times New Roman" w:hAnsi="Times New Roman"/>
          <w:b w:val="false"/>
          <w:color w:val="000000"/>
          <w:sz w:val="24"/>
          <w:u w:val="single"/>
        </w:rPr>
        <w:t>Section 4.02</w:t>
      </w:r>
      <w:r>
        <w:rPr>
          <w:rFonts w:ascii="Times New Roman" w:hAnsi="Times New Roman"/>
          <w:b w:val="false"/>
          <w:color w:val="000000"/>
          <w:sz w:val="24"/>
        </w:rPr>
        <w:t>.</w:t>
      </w:r>
    </w:p>
    <w:p>
      <w:pPr>
        <w:pStyle w:val="Heading1"/>
        <w:bidi w:val="0"/>
        <w:spacing w:before="240" w:after="283"/>
        <w:jc w:val="left"/>
        <w:rPr>
          <w:rFonts w:ascii="Times New Roman" w:hAnsi="Times New Roman"/>
          <w:sz w:val="20"/>
        </w:rPr>
      </w:pPr>
      <w:r>
        <w:rPr>
          <w:rFonts w:ascii="Times New Roman" w:hAnsi="Times New Roman"/>
          <w:b w:val="false"/>
          <w:color w:val="000000"/>
          <w:sz w:val="24"/>
        </w:rPr>
        <w:t xml:space="preserve">(D) </w:t>
      </w:r>
      <w:r>
        <w:rPr>
          <w:rFonts w:ascii="Times New Roman" w:hAnsi="Times New Roman"/>
          <w:b w:val="false"/>
          <w:color w:val="000000"/>
          <w:sz w:val="24"/>
          <w:u w:val="single"/>
        </w:rPr>
        <w:t>Premium Large Format Screens</w:t>
      </w:r>
      <w:r>
        <w:rPr>
          <w:rFonts w:ascii="Times New Roman" w:hAnsi="Times New Roman"/>
          <w:b w:val="false"/>
          <w:color w:val="000000"/>
          <w:sz w:val="24"/>
        </w:rPr>
        <w:t>. Upon request from LLC and provision of files by LLC in a format that is able to be displayed in the premium format, AMC will take actions necessary to allow LLC to display advertising in the premium format of any Premium Large Format Screens. [***]</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(ii) </w:t>
      </w:r>
      <w:r>
        <w:rPr>
          <w:rFonts w:ascii="Times New Roman" w:hAnsi="Times New Roman"/>
          <w:b w:val="false"/>
          <w:color w:val="000000"/>
          <w:sz w:val="24"/>
          <w:u w:val="single"/>
        </w:rPr>
        <w:t>Digital Programming Event Pre-Feature Program</w:t>
      </w:r>
      <w:r>
        <w:rPr>
          <w:rFonts w:ascii="Times New Roman" w:hAnsi="Times New Roman"/>
          <w:b w:val="false"/>
          <w:color w:val="000000"/>
          <w:sz w:val="24"/>
        </w:rPr>
        <w:t xml:space="preserve">. AMC will use commercially reasonable efforts to permit LLC to display the Pre-Feature Program before all Digital Programming Events and LLC has no obligation to adjust or provide a custom Pre-Feature Program for any Digital Programming Event. In the event that LLC is unable to display the Pre-Feature Program before any Digital Programming Event for any reason, including restrictions on AMC in its agreement to exhibit the Digital Programming Event or due to technical restrictions, including an inability to display advertising after the posted-Showtime, then the attendance at the impacted Digital Programming Event will not be considered AMC Attendance. Provided, however, that if LLC elects to display a Pre-Feature Program only prior to the posted-Showtime due to limitations on the Digital Programming Event, then attendance at the impacted Digital Programming Event will not be considered AMC Attendance but any revenue generated through the display will be counted towards the Revenue Share. In the event that LLC declines to display a Digital Programming Event for any other reason other than an inability to display the Pre-Feature Program, then the exclusivity and mandatory participation restrictions in </w:t>
      </w:r>
      <w:r>
        <w:rPr>
          <w:rFonts w:ascii="Times New Roman" w:hAnsi="Times New Roman"/>
          <w:b w:val="false"/>
          <w:color w:val="000000"/>
          <w:sz w:val="24"/>
          <w:u w:val="single"/>
        </w:rPr>
        <w:t>Section 2.04</w:t>
      </w:r>
      <w:r>
        <w:rPr>
          <w:rFonts w:ascii="Times New Roman" w:hAnsi="Times New Roman"/>
          <w:color w:val="000000"/>
          <w:sz w:val="20"/>
        </w:rPr>
        <w:t xml:space="preserve"> </w:t>
      </w:r>
      <w:r>
        <w:rPr>
          <w:rFonts w:ascii="Times New Roman" w:hAnsi="Times New Roman"/>
          <w:b w:val="false"/>
          <w:color w:val="000000"/>
          <w:sz w:val="24"/>
        </w:rPr>
        <w:t>will not apply to the declined Digital Programming Event.</w:t>
      </w:r>
    </w:p>
    <w:p>
      <w:pPr>
        <w:pStyle w:val="Heading1"/>
        <w:bidi w:val="0"/>
        <w:spacing w:before="240" w:after="283"/>
        <w:jc w:val="both"/>
        <w:rPr>
          <w:rFonts w:ascii="Times New Roman" w:hAnsi="Times New Roman"/>
          <w:b w:val="false"/>
          <w:color w:val="000000"/>
          <w:sz w:val="24"/>
        </w:rPr>
      </w:pPr>
      <w:r>
        <w:rPr>
          <w:rFonts w:ascii="Times New Roman" w:hAnsi="Times New Roman"/>
          <w:b w:val="false"/>
          <w:color w:val="000000"/>
          <w:sz w:val="24"/>
        </w:rPr>
        <w:t>(iii) LLC shall have no liability of any kind under this Agreement for any content provided by any third-party related to any Digital Programming Event.</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(c) </w:t>
      </w:r>
      <w:r>
        <w:rPr>
          <w:rFonts w:ascii="Times New Roman" w:hAnsi="Times New Roman"/>
          <w:b w:val="false"/>
          <w:color w:val="000000"/>
          <w:sz w:val="24"/>
          <w:u w:val="single"/>
        </w:rPr>
        <w:t>Lobby Entertainment Program</w:t>
      </w:r>
      <w:r>
        <w:rPr>
          <w:rFonts w:ascii="Times New Roman" w:hAnsi="Times New Roman"/>
          <w:b w:val="false"/>
          <w:color w:val="000000"/>
          <w:sz w:val="24"/>
        </w:rPr>
        <w:t xml:space="preserve">. The elements of the Lobby Entertainment Program are set forth on </w:t>
      </w:r>
      <w:r>
        <w:rPr>
          <w:rFonts w:ascii="Times New Roman" w:hAnsi="Times New Roman"/>
          <w:b w:val="false"/>
          <w:color w:val="000000"/>
          <w:sz w:val="24"/>
          <w:u w:val="single"/>
        </w:rPr>
        <w:t>Addendum A</w:t>
      </w:r>
      <w:r>
        <w:rPr>
          <w:rFonts w:ascii="Times New Roman" w:hAnsi="Times New Roman"/>
          <w:color w:val="000000"/>
          <w:sz w:val="20"/>
        </w:rPr>
        <w:t xml:space="preserve"> – </w:t>
      </w:r>
      <w:r>
        <w:rPr>
          <w:rFonts w:ascii="Times New Roman" w:hAnsi="Times New Roman"/>
          <w:b w:val="false"/>
          <w:color w:val="000000"/>
          <w:sz w:val="24"/>
          <w:u w:val="single"/>
        </w:rPr>
        <w:t>Lobby Entertainment Program and Lobby Promotions</w:t>
      </w:r>
      <w:r>
        <w:rPr>
          <w:rFonts w:ascii="Times New Roman" w:hAnsi="Times New Roman"/>
          <w:b w:val="false"/>
          <w:color w:val="000000"/>
          <w:sz w:val="24"/>
        </w:rPr>
        <w: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4.02 </w:t>
      </w:r>
      <w:r>
        <w:rPr>
          <w:rFonts w:ascii="Times New Roman" w:hAnsi="Times New Roman"/>
          <w:color w:val="000000"/>
          <w:sz w:val="24"/>
          <w:u w:val="single"/>
        </w:rPr>
        <w:t>Content Standards</w:t>
      </w:r>
      <w:r>
        <w:rPr>
          <w:rFonts w:ascii="Times New Roman" w:hAnsi="Times New Roman"/>
          <w:b w:val="false"/>
          <w:color w:val="000000"/>
          <w:sz w:val="24"/>
        </w:rPr>
        <w:t xml:space="preserve">. The Parties agree that (unless mutually agreed by the Parties) all content within the Advertising Services, will comply with the restrictions identified on </w:t>
      </w:r>
      <w:r>
        <w:rPr>
          <w:rFonts w:ascii="Times New Roman" w:hAnsi="Times New Roman"/>
          <w:b w:val="false"/>
          <w:color w:val="000000"/>
          <w:sz w:val="24"/>
          <w:u w:val="single"/>
        </w:rPr>
        <w:t>Schedule 4.02</w:t>
      </w:r>
      <w:r>
        <w:rPr>
          <w:rFonts w:ascii="Times New Roman" w:hAnsi="Times New Roman"/>
          <w:b w:val="false"/>
          <w:color w:val="000000"/>
          <w:sz w:val="24"/>
        </w:rPr>
        <w:t xml:space="preserve">. Neither Party will take any action to circumvent the restrictions set forth in this </w:t>
      </w:r>
      <w:r>
        <w:rPr>
          <w:rFonts w:ascii="Times New Roman" w:hAnsi="Times New Roman"/>
          <w:b w:val="false"/>
          <w:color w:val="000000"/>
          <w:sz w:val="24"/>
          <w:u w:val="single"/>
        </w:rPr>
        <w:t>Section 4.02</w:t>
      </w:r>
      <w:r>
        <w:rPr>
          <w:rFonts w:ascii="Times New Roman" w:hAnsi="Times New Roman"/>
          <w:b w:val="false"/>
          <w:color w:val="000000"/>
          <w:sz w:val="24"/>
        </w:rPr>
        <w:t xml:space="preserve">, including providing the other Party with additional content standards that are in addition to or intended as limitation on those identified in this </w:t>
      </w:r>
      <w:r>
        <w:rPr>
          <w:rFonts w:ascii="Times New Roman" w:hAnsi="Times New Roman"/>
          <w:b w:val="false"/>
          <w:color w:val="000000"/>
          <w:sz w:val="24"/>
          <w:u w:val="single"/>
        </w:rPr>
        <w:t>Section 4.02</w:t>
      </w:r>
      <w:r>
        <w:rPr>
          <w:rFonts w:ascii="Times New Roman" w:hAnsi="Times New Roman"/>
          <w:color w:val="000000"/>
          <w:sz w:val="20"/>
        </w:rPr>
        <w:t xml:space="preserve"> </w:t>
      </w:r>
      <w:r>
        <w:rPr>
          <w:rFonts w:ascii="Times New Roman" w:hAnsi="Times New Roman"/>
          <w:b w:val="false"/>
          <w:color w:val="000000"/>
          <w:sz w:val="24"/>
        </w:rPr>
        <w:t>without the mutual agreement of both Parties.</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4.03 </w:t>
      </w:r>
      <w:r>
        <w:rPr>
          <w:rFonts w:ascii="Times New Roman" w:hAnsi="Times New Roman"/>
          <w:color w:val="000000"/>
          <w:sz w:val="24"/>
          <w:u w:val="single"/>
        </w:rPr>
        <w:t>Development of the Advertising Services</w:t>
      </w:r>
      <w:r>
        <w:rPr>
          <w:rFonts w:ascii="Times New Roman" w:hAnsi="Times New Roman"/>
          <w:b w:val="false"/>
          <w:color w:val="000000"/>
          <w:sz w:val="24"/>
        </w:rPr>
        <w:t xml:space="preserve">. All operational costs associated with LLC’s procurement, preparation and delivery of the Advertising Services (including Inventory and other promotional materials as provided herein) to the Theatres shall be borne exclusively by LLC. Except as provided herein, all in-Theatre operational costs associated with AMC’s receipt and exhibition of the Advertising Services within the Theatres shall be borne exclusively by AMC; provided that, upon prior written notice to and consultation with LLC, LLC shall reimburse AMC for its reasonable incremental out-of-pocket third party costs incurred in connection with receipt and exhibition of the Advertising Services within the Theatres. Any excess on-screen Inventory which may be made available to AMC in LLC’s discretion pursuant to </w:t>
      </w:r>
      <w:r>
        <w:rPr>
          <w:rFonts w:ascii="Times New Roman" w:hAnsi="Times New Roman"/>
          <w:b w:val="false"/>
          <w:color w:val="000000"/>
          <w:sz w:val="24"/>
          <w:u w:val="single"/>
        </w:rPr>
        <w:t>Section 5.03</w:t>
      </w:r>
      <w:r>
        <w:rPr>
          <w:rFonts w:ascii="Times New Roman" w:hAnsi="Times New Roman"/>
          <w:color w:val="000000"/>
          <w:sz w:val="20"/>
        </w:rPr>
        <w:t xml:space="preserve"> </w:t>
      </w:r>
      <w:r>
        <w:rPr>
          <w:rFonts w:ascii="Times New Roman" w:hAnsi="Times New Roman"/>
          <w:b w:val="false"/>
          <w:color w:val="000000"/>
          <w:sz w:val="24"/>
        </w:rPr>
        <w:t xml:space="preserve">or otherwise, and any other on-screen Inventory provided by AMC pursuant to </w:t>
      </w:r>
      <w:r>
        <w:rPr>
          <w:rFonts w:ascii="Times New Roman" w:hAnsi="Times New Roman"/>
          <w:b w:val="false"/>
          <w:color w:val="000000"/>
          <w:sz w:val="24"/>
          <w:u w:val="single"/>
        </w:rPr>
        <w:t>Section 4.04</w:t>
      </w:r>
      <w:r>
        <w:rPr>
          <w:rFonts w:ascii="Times New Roman" w:hAnsi="Times New Roman"/>
          <w:b w:val="false"/>
          <w:color w:val="000000"/>
          <w:sz w:val="24"/>
        </w:rPr>
        <w:t xml:space="preserve">, will be subject to both Parties’ review and approval, which will not be unreasonably withheld. LLC will provide at its own expense all creative and post-production services necessary to ingest, encode and otherwise prepare for distribution all other on-screen Inventory as part of the Digital Content Service. All on-screen Inventory provided by AMC for inclusion in the Digital Content Service must (i) be submitted to LLC for review for compliance with (ii) and (iii) below as LLC may reasonably request, but in any event at least twenty (20) business days before scheduled exhibition (unless otherwise previously approved by LLC), (ii) satisfy the content restrictions enumerated in </w:t>
      </w:r>
      <w:r>
        <w:rPr>
          <w:rFonts w:ascii="Times New Roman" w:hAnsi="Times New Roman"/>
          <w:b w:val="false"/>
          <w:color w:val="000000"/>
          <w:sz w:val="24"/>
          <w:u w:val="single"/>
        </w:rPr>
        <w:t>Schedule 4.02</w:t>
      </w:r>
      <w:r>
        <w:rPr>
          <w:rFonts w:ascii="Times New Roman" w:hAnsi="Times New Roman"/>
          <w:b w:val="false"/>
          <w:color w:val="000000"/>
          <w:sz w:val="24"/>
        </w:rPr>
        <w:t>, and (iii) be fully produced in accordance with LLC’s technical specifications as promulgated by LLC</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b w:val="false"/>
          <w:color w:val="000000"/>
          <w:sz w:val="24"/>
        </w:rPr>
      </w:pPr>
      <w:r>
        <w:rPr>
          <w:rFonts w:ascii="Times New Roman" w:hAnsi="Times New Roman"/>
          <w:b w:val="false"/>
          <w:color w:val="000000"/>
          <w:sz w:val="24"/>
        </w:rPr>
        <w:t>from time to time (all as provided in written or electronic form to AMC in a reasonable time period prior to implementation, including any amendments thereto; and which are equally applied to all exhibitors), ready for exhibition, as well as in accordance with applicable LLC commercial standards and operating policies, and all applicable federal, state and local laws and regulations. LLC must reject or approve all Inventory provided by AMC within five (5) business days. Any such Inventory provided by AMC and not rejected within such time frame shall be deemed approved and incorporated into the Advertising Services. Any Inventory provided by AMC for review and approval by LLC need not, once approved by LLC, be resubmitted by AMC for approval in connection with any future use. During the Term, the Parties will use commercially reasonable efforts to collaborate on a more modern and engaging approach to the Advertising Services and other content displayed prior to feature films and Digital Programming Events with any changes focused on increased revenue and audience engagement.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4.04 </w:t>
      </w:r>
      <w:r>
        <w:rPr>
          <w:rFonts w:ascii="Times New Roman" w:hAnsi="Times New Roman"/>
          <w:color w:val="000000"/>
          <w:sz w:val="24"/>
          <w:u w:val="single"/>
        </w:rPr>
        <w:t>Policy Trailer; Branded Slots</w:t>
      </w:r>
      <w:r>
        <w:rPr>
          <w:rFonts w:ascii="Times New Roman" w:hAnsi="Times New Roman"/>
          <w:b w:val="false"/>
          <w:color w:val="000000"/>
          <w:sz w:val="24"/>
        </w:rPr>
        <w:t>.</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color w:val="000000"/>
          <w:sz w:val="24"/>
          <w:u w:val="single"/>
        </w:rPr>
        <w:t>General</w:t>
      </w:r>
      <w:r>
        <w:rPr>
          <w:rFonts w:ascii="Times New Roman" w:hAnsi="Times New Roman"/>
          <w:b w:val="false"/>
          <w:color w:val="000000"/>
          <w:sz w:val="24"/>
        </w:rPr>
        <w:t>. At AMC’s request, LLC agrees to create, in conjunction with and subject to AMC’s prior approval, an AMC brand identity (the “</w:t>
      </w:r>
      <w:r>
        <w:rPr>
          <w:rFonts w:ascii="Times New Roman" w:hAnsi="Times New Roman"/>
          <w:color w:val="000000"/>
          <w:sz w:val="24"/>
        </w:rPr>
        <w:t>Brand</w:t>
      </w:r>
      <w:r>
        <w:rPr>
          <w:rFonts w:ascii="Times New Roman" w:hAnsi="Times New Roman"/>
          <w:color w:val="000000"/>
          <w:sz w:val="20"/>
        </w:rPr>
        <w:t>”</w:t>
      </w:r>
      <w:r>
        <w:rPr>
          <w:rFonts w:ascii="Times New Roman" w:hAnsi="Times New Roman"/>
          <w:b w:val="false"/>
          <w:color w:val="000000"/>
          <w:sz w:val="24"/>
        </w:rPr>
        <w:t>) that will surround, or “house,” the Digital Content Service and include interstitial messaging (“bridges and bumps”), throughout the Play List and in the Policy Trailer, to reinforce the Brand. Except as permitted in Theatre Advertising, the Brand and the Branded Slots shall not contain the display of any advertising on behalf of a third-party, including any trademark, service mark, or logo. In addition to the interstitial messaging, the Digital Content Service will feature (i) up to [***] minutes for the promotion of AMC’s internal business and/or promotional materials for Digital Programming Events (the “</w:t>
      </w:r>
      <w:r>
        <w:rPr>
          <w:rFonts w:ascii="Times New Roman" w:hAnsi="Times New Roman"/>
          <w:color w:val="000000"/>
          <w:sz w:val="24"/>
        </w:rPr>
        <w:t>Branded Slots</w:t>
      </w:r>
      <w:r>
        <w:rPr>
          <w:rFonts w:ascii="Times New Roman" w:hAnsi="Times New Roman"/>
          <w:color w:val="000000"/>
          <w:sz w:val="20"/>
        </w:rPr>
        <w:t>”</w:t>
      </w:r>
      <w:r>
        <w:rPr>
          <w:rFonts w:ascii="Times New Roman" w:hAnsi="Times New Roman"/>
          <w:b w:val="false"/>
          <w:color w:val="000000"/>
          <w:sz w:val="24"/>
        </w:rPr>
        <w:t>) in each Play List, (ii) the Policy Trailer, and (iii) any other content as may be agreed between AMC and LLC. The Parties hereby acknowledge that AMC has the right to exhibit the PSA Trailer after Showtime.</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(b) </w:t>
      </w:r>
      <w:r>
        <w:rPr>
          <w:rFonts w:ascii="Times New Roman" w:hAnsi="Times New Roman"/>
          <w:b w:val="false"/>
          <w:color w:val="000000"/>
          <w:sz w:val="24"/>
          <w:u w:val="single"/>
        </w:rPr>
        <w:t>Policy Trailer</w:t>
      </w:r>
      <w:r>
        <w:rPr>
          <w:rFonts w:ascii="Times New Roman" w:hAnsi="Times New Roman"/>
          <w:b w:val="false"/>
          <w:color w:val="000000"/>
          <w:sz w:val="24"/>
        </w:rPr>
        <w:t>. The policy trailer will be (i) up to [***] seconds, (ii) exhibited in the Theatres after Showtime and after the Postshow, and (iii) used to feature content relating to Theatre policy and operations, and may include (w) a policy service announcement that promotes appropriate theatre behavior, (x) promotions of AMC Concessions, (y) the display of any trademark, service mark, logo or other branding of a film studio(s), distributor(s), or production company(ies) and (z) upon prior written approval of AMC, other promotional materials of third- party products for which LLC sells advertising and is paid a fee (the “</w:t>
      </w:r>
      <w:r>
        <w:rPr>
          <w:rFonts w:ascii="Times New Roman" w:hAnsi="Times New Roman"/>
          <w:color w:val="000000"/>
          <w:sz w:val="24"/>
        </w:rPr>
        <w:t>Policy Trailer</w:t>
      </w:r>
      <w:r>
        <w:rPr>
          <w:rFonts w:ascii="Times New Roman" w:hAnsi="Times New Roman"/>
          <w:color w:val="000000"/>
          <w:sz w:val="20"/>
        </w:rPr>
        <w:t>”</w:t>
      </w:r>
      <w:r>
        <w:rPr>
          <w:rFonts w:ascii="Times New Roman" w:hAnsi="Times New Roman"/>
          <w:b w:val="false"/>
          <w:color w:val="000000"/>
          <w:sz w:val="24"/>
        </w:rPr>
        <w:t>).</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(c) </w:t>
      </w:r>
      <w:r>
        <w:rPr>
          <w:rFonts w:ascii="Times New Roman" w:hAnsi="Times New Roman"/>
          <w:b w:val="false"/>
          <w:color w:val="000000"/>
          <w:sz w:val="24"/>
          <w:u w:val="single"/>
        </w:rPr>
        <w:t>Branded Slot</w:t>
      </w:r>
      <w:r>
        <w:rPr>
          <w:rFonts w:ascii="Times New Roman" w:hAnsi="Times New Roman"/>
          <w:b w:val="false"/>
          <w:color w:val="000000"/>
          <w:sz w:val="24"/>
        </w:rPr>
        <w:t>. Each Branded Slot may only exhibit Theatre Advertising and/or Sponsor Messages in connection with Event Sponsorships. LLC is required to include no less than [***] seconds of Branded Slots within the final [***] minutes of the Play List during the Preshow, [***] seconds of which shall be included within the final [***] minutes of the Play List during the Preshow; provided, that LLC may begin these Branded Slots up to one minute earlier when LLC expands the amount of advertising units that follow these Branded Slots through the sale of additional advertising to third parties. AMC may display Theatre Advertising after the Pre-Feature Program and prior to any feature film or Digital Programming Event, provided, however, that the time after the Pre-Feature Program will remain substantially consistent with AMC’s past practice prior to the Execution Date.</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(d) </w:t>
      </w:r>
      <w:r>
        <w:rPr>
          <w:rFonts w:ascii="Times New Roman" w:hAnsi="Times New Roman"/>
          <w:b w:val="false"/>
          <w:color w:val="000000"/>
          <w:sz w:val="24"/>
          <w:u w:val="single"/>
        </w:rPr>
        <w:t>Restrictions</w:t>
      </w:r>
      <w:r>
        <w:rPr>
          <w:rFonts w:ascii="Times New Roman" w:hAnsi="Times New Roman"/>
          <w:b w:val="false"/>
          <w:color w:val="000000"/>
          <w:sz w:val="24"/>
        </w:rPr>
        <w:t xml:space="preserve">. Other than as permitted in </w:t>
      </w:r>
      <w:r>
        <w:rPr>
          <w:rFonts w:ascii="Times New Roman" w:hAnsi="Times New Roman"/>
          <w:b w:val="false"/>
          <w:color w:val="000000"/>
          <w:sz w:val="24"/>
          <w:u w:val="single"/>
        </w:rPr>
        <w:t>Sections 4.04(a)</w:t>
      </w:r>
      <w:r>
        <w:rPr>
          <w:rFonts w:ascii="Times New Roman" w:hAnsi="Times New Roman"/>
          <w:b w:val="false"/>
          <w:color w:val="000000"/>
          <w:sz w:val="24"/>
        </w:rPr>
        <w:t xml:space="preserve">, </w:t>
      </w:r>
      <w:r>
        <w:rPr>
          <w:rFonts w:ascii="Times New Roman" w:hAnsi="Times New Roman"/>
          <w:b w:val="false"/>
          <w:color w:val="000000"/>
          <w:sz w:val="24"/>
          <w:u w:val="single"/>
        </w:rPr>
        <w:t xml:space="preserve">(b), (c) </w:t>
      </w:r>
      <w:r>
        <w:rPr>
          <w:rFonts w:ascii="Times New Roman" w:hAnsi="Times New Roman"/>
          <w:b w:val="false"/>
          <w:color w:val="000000"/>
          <w:sz w:val="24"/>
        </w:rPr>
        <w:t xml:space="preserve">or </w:t>
      </w:r>
      <w:r>
        <w:rPr>
          <w:rFonts w:ascii="Times New Roman" w:hAnsi="Times New Roman"/>
          <w:b w:val="false"/>
          <w:color w:val="000000"/>
          <w:sz w:val="24"/>
          <w:u w:val="single"/>
        </w:rPr>
        <w:t>Section 4.06</w:t>
      </w:r>
      <w:r>
        <w:rPr>
          <w:rFonts w:ascii="Times New Roman" w:hAnsi="Times New Roman"/>
          <w:b w:val="false"/>
          <w:color w:val="000000"/>
          <w:sz w:val="24"/>
        </w:rPr>
        <w:t>, none of the Brand, the Policy Trailer, or the Branded Slots will include</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b w:val="false"/>
          <w:color w:val="000000"/>
          <w:sz w:val="24"/>
        </w:rPr>
      </w:pPr>
      <w:r>
        <w:rPr>
          <w:rFonts w:ascii="Times New Roman" w:hAnsi="Times New Roman"/>
          <w:b w:val="false"/>
          <w:color w:val="000000"/>
          <w:sz w:val="24"/>
        </w:rPr>
        <w:t>third-party advertising and/or third-party mentions for products and services, without LLC’s prior written approval; provided that a Branded Slot promoting a Digital Programming Event may include a Sponsor Message.</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4.05 </w:t>
      </w:r>
      <w:r>
        <w:rPr>
          <w:rFonts w:ascii="Times New Roman" w:hAnsi="Times New Roman"/>
          <w:color w:val="000000"/>
          <w:sz w:val="24"/>
          <w:u w:val="single"/>
        </w:rPr>
        <w:t xml:space="preserve">Beverage </w:t>
      </w:r>
      <w:r>
        <w:rPr>
          <w:rFonts w:ascii="Times New Roman" w:hAnsi="Times New Roman"/>
          <w:b w:val="false"/>
          <w:color w:val="000000"/>
          <w:sz w:val="24"/>
        </w:rPr>
        <w:t>.</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color w:val="000000"/>
          <w:sz w:val="24"/>
          <w:u w:val="single"/>
        </w:rPr>
        <w:t>Beverage Agreements</w:t>
      </w:r>
      <w:r>
        <w:rPr>
          <w:rFonts w:ascii="Times New Roman" w:hAnsi="Times New Roman"/>
          <w:b w:val="false"/>
          <w:color w:val="000000"/>
          <w:sz w:val="24"/>
        </w:rPr>
        <w:t xml:space="preserve">. LLC shall, through the expiration or other termination of AMC’s Beverage Agreement in effect on the Execution Date, display or exhibit, as applicable, as part of the Advertising Services, advertising Inventory meeting any and all specifications and requirements prescribed by the Beverage Agreement, including format, length (not to be longer than ninety (90) seconds), and placement within or after the Play List, as mutually agreed by the Parties, with compliance by LLC to be within a reasonable time after such specifications are communicated from time-to-time by AMC to LLC in a written notice. In consideration for the advertising pursuant to the Beverage Agreement, AMC agrees to pay LLC at the advertising rates set forth on </w:t>
      </w:r>
      <w:r>
        <w:rPr>
          <w:rFonts w:ascii="Times New Roman" w:hAnsi="Times New Roman"/>
          <w:b w:val="false"/>
          <w:color w:val="000000"/>
          <w:sz w:val="24"/>
          <w:u w:val="single"/>
        </w:rPr>
        <w:t>Exhibit B</w:t>
      </w:r>
      <w:r>
        <w:rPr>
          <w:rFonts w:ascii="Times New Roman" w:hAnsi="Times New Roman"/>
          <w:color w:val="000000"/>
          <w:sz w:val="20"/>
        </w:rPr>
        <w:t xml:space="preserve"> </w:t>
      </w:r>
      <w:r>
        <w:rPr>
          <w:rFonts w:ascii="Times New Roman" w:hAnsi="Times New Roman"/>
          <w:b w:val="false"/>
          <w:color w:val="000000"/>
          <w:sz w:val="24"/>
        </w:rPr>
        <w:t>(the “</w:t>
      </w:r>
      <w:r>
        <w:rPr>
          <w:rFonts w:ascii="Times New Roman" w:hAnsi="Times New Roman"/>
          <w:color w:val="000000"/>
          <w:sz w:val="24"/>
        </w:rPr>
        <w:t>Beverage Agreement Advertising Rate</w:t>
      </w:r>
      <w:r>
        <w:rPr>
          <w:rFonts w:ascii="Times New Roman" w:hAnsi="Times New Roman"/>
          <w:color w:val="000000"/>
          <w:sz w:val="20"/>
        </w:rPr>
        <w:t>”</w:t>
      </w:r>
      <w:r>
        <w:rPr>
          <w:rFonts w:ascii="Times New Roman" w:hAnsi="Times New Roman"/>
          <w:b w:val="false"/>
          <w:color w:val="000000"/>
          <w:sz w:val="24"/>
        </w:rPr>
        <w:t xml:space="preserve">) and the Parties agree to the other changes set forth in </w:t>
      </w:r>
      <w:r>
        <w:rPr>
          <w:rFonts w:ascii="Times New Roman" w:hAnsi="Times New Roman"/>
          <w:b w:val="false"/>
          <w:color w:val="000000"/>
          <w:sz w:val="24"/>
          <w:u w:val="single"/>
        </w:rPr>
        <w:t>Exhibit B</w:t>
      </w:r>
      <w:r>
        <w:rPr>
          <w:rFonts w:ascii="Times New Roman" w:hAnsi="Times New Roman"/>
          <w:b w:val="false"/>
          <w:color w:val="000000"/>
          <w:sz w:val="24"/>
        </w:rPr>
        <w:t>. The Beverage Agreement Advertising Rate shall be paid on or before the last day of LLC’s fiscal month following LLC’s fiscal month in which the Advertising Services related to the Beverage Agreement were provided; provided that the Parties agree that as long as the payments from LLC for the Minimum Guarantee, Theatre Maintenance Fee per Digital Cinema Screen, Revenue Share, Platinum Revenue Share, or Political Revenue Share exceed the Beverage Agreement Advertising Rate, then LLC has the right to net the payment of the Beverage Agreement Advertising Rate by setting off the amount of the Beverage Agreement Advertising Rate against the amounts owed by LLC. Beginning after AMC’s Beverage Agreement in effect on the Execution Date expires or otherwise terminates through the end of the Term, AMC shall have the right to have included in the Advertising Services advertising Inventory for its beverage concessionaires at the then current Beverage Agreement Advertising Rate; provided that AMC (i) keeps LLC apprised of the status of negotiations with the beverage vendor (including likelihood of reaching agreement, advertising length and placement required), from the time such negotiations begin until an agreement is signed, and (ii) provides LLC notice (including advertising length and placement required) within two (2) business days after the date that AMC and its beverage concessionaire agree on terms for a new Beverage Agreement. AMC shall be permitted to prescribe the length and placement within the Play List of on-screen Inventory based on the requirements of the Beverage Agreements which may then be in effect between AMC and such then-applicable beverage concessionaires; provided that such Inventory shall not exceed ninety (90) seconds in length for all such Beverage Agreements. AMC-redacted and/or AMC-selected (by disclosure or summary) contents of the Beverage Agreement shall only be disclosed as, and to the extent, required pursuant to this Agreement, provided such disclosure would not violate the terms of such Beverage Agreement.</w:t>
      </w:r>
      <w:r>
        <w:rPr>
          <w:rFonts w:ascii="Times New Roman" w:hAnsi="Times New Roman"/>
          <w:color w:val="000000"/>
          <w:sz w:val="20"/>
        </w:rPr>
        <w:t xml:space="preserve"> </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4.06 </w:t>
      </w:r>
      <w:r>
        <w:rPr>
          <w:rFonts w:ascii="Times New Roman" w:hAnsi="Times New Roman"/>
          <w:color w:val="000000"/>
          <w:sz w:val="24"/>
          <w:u w:val="single"/>
        </w:rPr>
        <w:t>Other AMC Advertising Agreements</w:t>
      </w:r>
      <w:r>
        <w:rPr>
          <w:rFonts w:ascii="Times New Roman" w:hAnsi="Times New Roman"/>
          <w:b w:val="false"/>
          <w:color w:val="000000"/>
          <w:sz w:val="24"/>
        </w:rPr>
        <w:t>.</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color w:val="000000"/>
          <w:sz w:val="24"/>
          <w:u w:val="single"/>
        </w:rPr>
        <w:t>Theatre Advertising</w:t>
      </w:r>
      <w:r>
        <w:rPr>
          <w:rFonts w:ascii="Times New Roman" w:hAnsi="Times New Roman"/>
          <w:b w:val="false"/>
          <w:color w:val="000000"/>
          <w:sz w:val="24"/>
        </w:rPr>
        <w:t xml:space="preserve">. In addition to advertising Inventory referenced above in </w:t>
      </w:r>
      <w:r>
        <w:rPr>
          <w:rFonts w:ascii="Times New Roman" w:hAnsi="Times New Roman"/>
          <w:b w:val="false"/>
          <w:color w:val="000000"/>
          <w:sz w:val="24"/>
          <w:u w:val="single"/>
        </w:rPr>
        <w:t>Sections 4.04</w:t>
      </w:r>
      <w:r>
        <w:rPr>
          <w:rFonts w:ascii="Times New Roman" w:hAnsi="Times New Roman"/>
          <w:color w:val="000000"/>
          <w:sz w:val="20"/>
        </w:rPr>
        <w:t xml:space="preserve"> </w:t>
      </w:r>
      <w:r>
        <w:rPr>
          <w:rFonts w:ascii="Times New Roman" w:hAnsi="Times New Roman"/>
          <w:b w:val="false"/>
          <w:color w:val="000000"/>
          <w:sz w:val="24"/>
        </w:rPr>
        <w:t xml:space="preserve">and </w:t>
      </w:r>
      <w:r>
        <w:rPr>
          <w:rFonts w:ascii="Times New Roman" w:hAnsi="Times New Roman"/>
          <w:b w:val="false"/>
          <w:color w:val="000000"/>
          <w:sz w:val="24"/>
          <w:u w:val="single"/>
        </w:rPr>
        <w:t>4.05</w:t>
      </w:r>
      <w:r>
        <w:rPr>
          <w:rFonts w:ascii="Times New Roman" w:hAnsi="Times New Roman"/>
          <w:b w:val="false"/>
          <w:color w:val="000000"/>
          <w:sz w:val="24"/>
        </w:rPr>
        <w:t xml:space="preserve">, AMC may purchase, on an arm’s length basis and subject to availability, as part of the Advertising Services, advertising Inventory for Theatre Advertising and to promote Digital Programming Events. AMC shall pay for Advertising Services pursuant to this </w:t>
      </w:r>
      <w:r>
        <w:rPr>
          <w:rFonts w:ascii="Times New Roman" w:hAnsi="Times New Roman"/>
          <w:b w:val="false"/>
          <w:color w:val="000000"/>
          <w:sz w:val="24"/>
          <w:u w:val="single"/>
        </w:rPr>
        <w:t>Section 4.06(a)</w:t>
      </w:r>
      <w:r>
        <w:rPr>
          <w:rFonts w:ascii="Times New Roman" w:hAnsi="Times New Roman"/>
          <w:color w:val="000000"/>
          <w:sz w:val="20"/>
        </w:rPr>
        <w:t xml:space="preserve"> </w:t>
      </w:r>
      <w:r>
        <w:rPr>
          <w:rFonts w:ascii="Times New Roman" w:hAnsi="Times New Roman"/>
          <w:b w:val="false"/>
          <w:color w:val="000000"/>
          <w:sz w:val="24"/>
        </w:rPr>
        <w:t>on or before the last day of LLC’s fiscal month following LLC’s fiscal month in which the Advertising Services were provided.</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(b) </w:t>
      </w:r>
      <w:r>
        <w:rPr>
          <w:rFonts w:ascii="Times New Roman" w:hAnsi="Times New Roman"/>
          <w:b w:val="false"/>
          <w:color w:val="000000"/>
          <w:sz w:val="24"/>
          <w:u w:val="single"/>
        </w:rPr>
        <w:t>Non-Theatre Advertising</w:t>
      </w:r>
      <w:r>
        <w:rPr>
          <w:rFonts w:ascii="Times New Roman" w:hAnsi="Times New Roman"/>
          <w:b w:val="false"/>
          <w:color w:val="000000"/>
          <w:sz w:val="24"/>
        </w:rPr>
        <w:t>. AMC may enter into a cross-marketing arrangement designed to (i) promote the Theatres and the movie-going experience with a local, regional or nationally-known vendor of products or services that are not of the type described in Theatre Advertising or (ii) promote Digital Programming Events, in either case, for the purpose of generating increased attendance at the Theatres or increased revenue for AMC (other than revenue from any Advertising Services) (the “</w:t>
      </w:r>
      <w:r>
        <w:rPr>
          <w:rFonts w:ascii="Times New Roman" w:hAnsi="Times New Roman"/>
          <w:color w:val="000000"/>
          <w:sz w:val="24"/>
        </w:rPr>
        <w:t>Strategic Relationship</w:t>
      </w:r>
      <w:r>
        <w:rPr>
          <w:rFonts w:ascii="Times New Roman" w:hAnsi="Times New Roman"/>
          <w:color w:val="000000"/>
          <w:sz w:val="20"/>
        </w:rPr>
        <w:t>”</w:t>
      </w:r>
      <w:r>
        <w:rPr>
          <w:rFonts w:ascii="Times New Roman" w:hAnsi="Times New Roman"/>
          <w:b w:val="false"/>
          <w:color w:val="000000"/>
          <w:sz w:val="24"/>
        </w:rPr>
        <w:t xml:space="preserve">) with advertising of such products or services being presented in the Theatres (with advertising in the Lobby Entertainment Program and Lobby Promotions to be set forth in </w:t>
      </w:r>
      <w:r>
        <w:rPr>
          <w:rFonts w:ascii="Times New Roman" w:hAnsi="Times New Roman"/>
          <w:b w:val="false"/>
          <w:color w:val="000000"/>
          <w:sz w:val="24"/>
          <w:u w:val="single"/>
        </w:rPr>
        <w:t>Addendum A</w:t>
      </w:r>
      <w:r>
        <w:rPr>
          <w:rFonts w:ascii="Times New Roman" w:hAnsi="Times New Roman"/>
          <w:b w:val="false"/>
          <w:color w:val="000000"/>
          <w:sz w:val="24"/>
        </w:rPr>
        <w:t>) (“</w:t>
      </w:r>
      <w:r>
        <w:rPr>
          <w:rFonts w:ascii="Times New Roman" w:hAnsi="Times New Roman"/>
          <w:color w:val="000000"/>
          <w:sz w:val="24"/>
        </w:rPr>
        <w:t>Strategic Programs</w:t>
      </w:r>
      <w:r>
        <w:rPr>
          <w:rFonts w:ascii="Times New Roman" w:hAnsi="Times New Roman"/>
          <w:color w:val="000000"/>
          <w:sz w:val="20"/>
        </w:rPr>
        <w:t>”</w:t>
      </w:r>
      <w:r>
        <w:rPr>
          <w:rFonts w:ascii="Times New Roman" w:hAnsi="Times New Roman"/>
          <w:b w:val="false"/>
          <w:color w:val="000000"/>
          <w:sz w:val="24"/>
        </w:rPr>
        <w:t xml:space="preserve">), subject to the terms set forth in this </w:t>
      </w:r>
      <w:r>
        <w:rPr>
          <w:rFonts w:ascii="Times New Roman" w:hAnsi="Times New Roman"/>
          <w:b w:val="false"/>
          <w:color w:val="000000"/>
          <w:sz w:val="24"/>
          <w:u w:val="single"/>
        </w:rPr>
        <w:t>Section 4.06(b)</w:t>
      </w:r>
      <w:r>
        <w:rPr>
          <w:rFonts w:ascii="Times New Roman" w:hAnsi="Times New Roman"/>
          <w:b w:val="false"/>
          <w:color w:val="000000"/>
          <w:sz w:val="24"/>
        </w:rPr>
        <w:t>. Strategic Programs may not be made on an exclusive basis. Strategic Programs entered into in connection with a Digital Programming Event shall not include any third-party advertising, trademarks, service marks, logos or other branding and/or third-party mentions for products and services except for a Sponsor Message. AMC covenants that it shall not re-sell any Advertising Services, including those received in connection with Strategic Programs. Strategic Programs shall be subject to the following limitations:</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(i) </w:t>
      </w:r>
      <w:r>
        <w:rPr>
          <w:rFonts w:ascii="Times New Roman" w:hAnsi="Times New Roman"/>
          <w:b w:val="false"/>
          <w:color w:val="000000"/>
          <w:sz w:val="24"/>
          <w:u w:val="single"/>
        </w:rPr>
        <w:t>Strategic Programs</w:t>
      </w:r>
      <w:r>
        <w:rPr>
          <w:rFonts w:ascii="Times New Roman" w:hAnsi="Times New Roman"/>
          <w:b w:val="false"/>
          <w:color w:val="000000"/>
          <w:sz w:val="24"/>
        </w:rPr>
        <w:t xml:space="preserve">. AMC may conduct at no cost with respect to any Strategic Programs no more than (A) two (2) local or regional promotions per Flight per Theatre and (B) four (4) national promotions per year; </w:t>
      </w:r>
      <w:r>
        <w:rPr>
          <w:rFonts w:ascii="Times New Roman" w:hAnsi="Times New Roman"/>
          <w:b w:val="false"/>
          <w:color w:val="000000"/>
          <w:sz w:val="24"/>
          <w:u w:val="single"/>
        </w:rPr>
        <w:t>provided</w:t>
      </w:r>
      <w:r>
        <w:rPr>
          <w:rFonts w:ascii="Times New Roman" w:hAnsi="Times New Roman"/>
          <w:b w:val="false"/>
          <w:color w:val="000000"/>
          <w:sz w:val="24"/>
        </w:rPr>
        <w:t xml:space="preserve">, </w:t>
      </w:r>
      <w:r>
        <w:rPr>
          <w:rFonts w:ascii="Times New Roman" w:hAnsi="Times New Roman"/>
          <w:b w:val="false"/>
          <w:color w:val="000000"/>
          <w:sz w:val="24"/>
          <w:u w:val="single"/>
        </w:rPr>
        <w:t>however</w:t>
      </w:r>
      <w:r>
        <w:rPr>
          <w:rFonts w:ascii="Times New Roman" w:hAnsi="Times New Roman"/>
          <w:b w:val="false"/>
          <w:color w:val="000000"/>
          <w:sz w:val="24"/>
        </w:rPr>
        <w:t>, that no more than one national promotion may run at any time (the “</w:t>
      </w:r>
      <w:r>
        <w:rPr>
          <w:rFonts w:ascii="Times New Roman" w:hAnsi="Times New Roman"/>
          <w:color w:val="000000"/>
          <w:sz w:val="24"/>
        </w:rPr>
        <w:t>Client Limitation</w:t>
      </w:r>
      <w:r>
        <w:rPr>
          <w:rFonts w:ascii="Times New Roman" w:hAnsi="Times New Roman"/>
          <w:color w:val="000000"/>
          <w:sz w:val="20"/>
        </w:rPr>
        <w:t>”</w:t>
      </w:r>
      <w:r>
        <w:rPr>
          <w:rFonts w:ascii="Times New Roman" w:hAnsi="Times New Roman"/>
          <w:b w:val="false"/>
          <w:color w:val="000000"/>
          <w:sz w:val="24"/>
        </w:rPr>
        <w:t xml:space="preserve">). By means of illustration, the Client Limitation for national promotions are not limited to a Flight, accordingly, one national promotion may run for twelve months, two national promotions may run for six months each provided that they do not run at the same time, four national promotions may run for three months each provided that they do not run at the same time, or another combination of national promotions may be used if there are no more than four promotions within a twelve-month period. For purposes of this </w:t>
      </w:r>
      <w:r>
        <w:rPr>
          <w:rFonts w:ascii="Times New Roman" w:hAnsi="Times New Roman"/>
          <w:b w:val="false"/>
          <w:color w:val="000000"/>
          <w:sz w:val="24"/>
          <w:u w:val="single"/>
        </w:rPr>
        <w:t>Section 4.06(b)</w:t>
      </w:r>
      <w:r>
        <w:rPr>
          <w:rFonts w:ascii="Times New Roman" w:hAnsi="Times New Roman"/>
          <w:b w:val="false"/>
          <w:color w:val="000000"/>
          <w:sz w:val="24"/>
        </w:rPr>
        <w:t xml:space="preserve">, each continuously running promotion is counted as one promotion, regardless of whether such promotion is displayed using only one element (e.g., Lobby Screens) or displayed in an integrated basis using multiple elements (e.g., Lobby Screens and Lobby Promotions). Additionally, for purposes of this </w:t>
      </w:r>
      <w:r>
        <w:rPr>
          <w:rFonts w:ascii="Times New Roman" w:hAnsi="Times New Roman"/>
          <w:b w:val="false"/>
          <w:color w:val="000000"/>
          <w:sz w:val="24"/>
          <w:u w:val="single"/>
        </w:rPr>
        <w:t>Section 4.06(b)</w:t>
      </w:r>
      <w:r>
        <w:rPr>
          <w:rFonts w:ascii="Times New Roman" w:hAnsi="Times New Roman"/>
          <w:b w:val="false"/>
          <w:color w:val="000000"/>
          <w:sz w:val="24"/>
        </w:rPr>
        <w:t>, a local or regional promotion is a promotion that is exhibited in Theatres located within one or two contiguous Designated Marketing Areas (as defined by the term DMA</w:t>
      </w:r>
      <w:r>
        <w:rPr>
          <w:rFonts w:ascii="Times New Roman" w:hAnsi="Times New Roman"/>
          <w:b w:val="false"/>
          <w:color w:val="000000"/>
          <w:sz w:val="16"/>
        </w:rPr>
        <w:t>®</w:t>
      </w:r>
      <w:r>
        <w:rPr>
          <w:rFonts w:ascii="Times New Roman" w:hAnsi="Times New Roman"/>
          <w:b w:val="false"/>
          <w:color w:val="000000"/>
          <w:sz w:val="24"/>
        </w:rPr>
        <w:t>, a registered trademark of Nielsen Marketing Research, Inc.), and a national promotion is a promotion that is exhibited in Theatres located within two (other than two contiguous) or more Designated Marketing Areas.</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(ii) </w:t>
      </w:r>
      <w:r>
        <w:rPr>
          <w:rFonts w:ascii="Times New Roman" w:hAnsi="Times New Roman"/>
          <w:b w:val="false"/>
          <w:color w:val="000000"/>
          <w:sz w:val="24"/>
          <w:u w:val="single"/>
        </w:rPr>
        <w:t>Strategic LEN Promotions</w:t>
      </w:r>
      <w:r>
        <w:rPr>
          <w:rFonts w:ascii="Times New Roman" w:hAnsi="Times New Roman"/>
          <w:b w:val="false"/>
          <w:color w:val="000000"/>
          <w:sz w:val="24"/>
        </w:rPr>
        <w:t>. Strategic Programs in the Lobby Entertainment Program (“</w:t>
      </w:r>
      <w:r>
        <w:rPr>
          <w:rFonts w:ascii="Times New Roman" w:hAnsi="Times New Roman"/>
          <w:color w:val="000000"/>
          <w:sz w:val="24"/>
        </w:rPr>
        <w:t>Strategic LEN Promotions</w:t>
      </w:r>
      <w:r>
        <w:rPr>
          <w:rFonts w:ascii="Times New Roman" w:hAnsi="Times New Roman"/>
          <w:color w:val="000000"/>
          <w:sz w:val="20"/>
        </w:rPr>
        <w:t>”</w:t>
      </w:r>
      <w:r>
        <w:rPr>
          <w:rFonts w:ascii="Times New Roman" w:hAnsi="Times New Roman"/>
          <w:b w:val="false"/>
          <w:color w:val="000000"/>
          <w:sz w:val="24"/>
        </w:rPr>
        <w:t xml:space="preserve">) are addressed in </w:t>
      </w:r>
      <w:r>
        <w:rPr>
          <w:rFonts w:ascii="Times New Roman" w:hAnsi="Times New Roman"/>
          <w:b w:val="false"/>
          <w:color w:val="000000"/>
          <w:sz w:val="24"/>
          <w:u w:val="single"/>
        </w:rPr>
        <w:t>Addendum A</w:t>
      </w:r>
      <w:r>
        <w:rPr>
          <w:rFonts w:ascii="Times New Roman" w:hAnsi="Times New Roman"/>
          <w:b w:val="false"/>
          <w:color w:val="000000"/>
          <w:sz w:val="24"/>
        </w:rPr>
        <w:t>.</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(iii) </w:t>
      </w:r>
      <w:r>
        <w:rPr>
          <w:rFonts w:ascii="Times New Roman" w:hAnsi="Times New Roman"/>
          <w:b w:val="false"/>
          <w:color w:val="000000"/>
          <w:sz w:val="24"/>
          <w:u w:val="single"/>
        </w:rPr>
        <w:t>Strategic Lobby Promotions</w:t>
      </w:r>
      <w:r>
        <w:rPr>
          <w:rFonts w:ascii="Times New Roman" w:hAnsi="Times New Roman"/>
          <w:b w:val="false"/>
          <w:color w:val="000000"/>
          <w:sz w:val="24"/>
        </w:rPr>
        <w:t>. Strategic Programs through Lobby Promotions (“</w:t>
      </w:r>
      <w:r>
        <w:rPr>
          <w:rFonts w:ascii="Times New Roman" w:hAnsi="Times New Roman"/>
          <w:color w:val="000000"/>
          <w:sz w:val="24"/>
        </w:rPr>
        <w:t>Strategic Lobby Promotions</w:t>
      </w:r>
      <w:r>
        <w:rPr>
          <w:rFonts w:ascii="Times New Roman" w:hAnsi="Times New Roman"/>
          <w:color w:val="000000"/>
          <w:sz w:val="20"/>
        </w:rPr>
        <w:t>”</w:t>
      </w:r>
      <w:r>
        <w:rPr>
          <w:rFonts w:ascii="Times New Roman" w:hAnsi="Times New Roman"/>
          <w:b w:val="false"/>
          <w:color w:val="000000"/>
          <w:sz w:val="24"/>
        </w:rPr>
        <w:t xml:space="preserve">) are addressed in </w:t>
      </w:r>
      <w:r>
        <w:rPr>
          <w:rFonts w:ascii="Times New Roman" w:hAnsi="Times New Roman"/>
          <w:b w:val="false"/>
          <w:color w:val="000000"/>
          <w:sz w:val="24"/>
          <w:u w:val="single"/>
        </w:rPr>
        <w:t>Addendum A</w:t>
      </w:r>
      <w:r>
        <w:rPr>
          <w:rFonts w:ascii="Times New Roman" w:hAnsi="Times New Roman"/>
          <w:b w:val="false"/>
          <w:color w:val="000000"/>
          <w:sz w:val="24"/>
        </w:rPr>
        <w: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4.07 </w:t>
      </w:r>
      <w:r>
        <w:rPr>
          <w:rFonts w:ascii="Times New Roman" w:hAnsi="Times New Roman"/>
          <w:color w:val="000000"/>
          <w:sz w:val="24"/>
          <w:u w:val="single"/>
        </w:rPr>
        <w:t>AMC Run-Out Obligations</w:t>
      </w:r>
      <w:r>
        <w:rPr>
          <w:rFonts w:ascii="Times New Roman" w:hAnsi="Times New Roman"/>
          <w:b w:val="false"/>
          <w:color w:val="000000"/>
          <w:sz w:val="24"/>
        </w:rPr>
        <w:t>.</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color w:val="000000"/>
          <w:sz w:val="24"/>
          <w:u w:val="single"/>
        </w:rPr>
        <w:t>Encumbered Theatres</w:t>
      </w:r>
      <w:r>
        <w:rPr>
          <w:rFonts w:ascii="Times New Roman" w:hAnsi="Times New Roman"/>
          <w:b w:val="false"/>
          <w:color w:val="000000"/>
          <w:sz w:val="24"/>
        </w:rPr>
        <w:t>. AMC agrees to provide LLC written notice as much in advance as is reasonably practicable under the circumstances of, and to furnish LLC true and correct copies (reasonably redacted by AMC and subject to confidentiality) of all documentation evidencing, all valid, pre-existing contractual obligations (the “</w:t>
      </w:r>
      <w:r>
        <w:rPr>
          <w:rFonts w:ascii="Times New Roman" w:hAnsi="Times New Roman"/>
          <w:color w:val="000000"/>
          <w:sz w:val="24"/>
        </w:rPr>
        <w:t>Run-Out Obligations</w:t>
      </w:r>
      <w:r>
        <w:rPr>
          <w:rFonts w:ascii="Times New Roman" w:hAnsi="Times New Roman"/>
          <w:color w:val="000000"/>
          <w:sz w:val="20"/>
        </w:rPr>
        <w:t>”</w:t>
      </w:r>
      <w:r>
        <w:rPr>
          <w:rFonts w:ascii="Times New Roman" w:hAnsi="Times New Roman"/>
          <w:b w:val="false"/>
          <w:color w:val="000000"/>
          <w:sz w:val="24"/>
        </w:rPr>
        <w:t>) relating to any of the advertising, promotional and event activities and services in any Additional Theatres for which LLC would otherwise have consent rights to add to the</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Digital Content Network (collectively, the “</w:t>
      </w:r>
      <w:r>
        <w:rPr>
          <w:rFonts w:ascii="Times New Roman" w:hAnsi="Times New Roman"/>
          <w:color w:val="000000"/>
          <w:sz w:val="24"/>
        </w:rPr>
        <w:t>Encumbered Theatres</w:t>
      </w:r>
      <w:r>
        <w:rPr>
          <w:rFonts w:ascii="Times New Roman" w:hAnsi="Times New Roman"/>
          <w:color w:val="000000"/>
          <w:sz w:val="20"/>
        </w:rPr>
        <w:t>”</w:t>
      </w:r>
      <w:r>
        <w:rPr>
          <w:rFonts w:ascii="Times New Roman" w:hAnsi="Times New Roman"/>
          <w:b w:val="false"/>
          <w:color w:val="000000"/>
          <w:sz w:val="24"/>
        </w:rPr>
        <w:t>); provided such disclosure does not violate the terms of any such agreements.</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(i) </w:t>
      </w:r>
      <w:r>
        <w:rPr>
          <w:rFonts w:ascii="Times New Roman" w:hAnsi="Times New Roman"/>
          <w:b w:val="false"/>
          <w:color w:val="000000"/>
          <w:sz w:val="24"/>
          <w:u w:val="single"/>
        </w:rPr>
        <w:t>No Run-Out Obligations</w:t>
      </w:r>
      <w:r>
        <w:rPr>
          <w:rFonts w:ascii="Times New Roman" w:hAnsi="Times New Roman"/>
          <w:b w:val="false"/>
          <w:color w:val="000000"/>
          <w:sz w:val="24"/>
        </w:rPr>
        <w:t>. AMC shall, effective upon acquisition of the Encumbered Theatre, terminate any agreements between AMC and an Affiliate relating to advertising, promotional and event activities and services in any Encumbered Theatre, so that any such agreements do not create Run-Out Obligations.</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(ii) </w:t>
      </w:r>
      <w:r>
        <w:rPr>
          <w:rFonts w:ascii="Times New Roman" w:hAnsi="Times New Roman"/>
          <w:b w:val="false"/>
          <w:color w:val="000000"/>
          <w:sz w:val="24"/>
          <w:u w:val="single"/>
        </w:rPr>
        <w:t>Run-Out Obligations</w:t>
      </w:r>
      <w:r>
        <w:rPr>
          <w:rFonts w:ascii="Times New Roman" w:hAnsi="Times New Roman"/>
          <w:b w:val="false"/>
          <w:color w:val="000000"/>
          <w:sz w:val="24"/>
        </w:rPr>
        <w:t>. AMC and/or its Affiliates (as applicable) shall be permitted to abide by the terms of the Run-Out Obligations; however, AMC agrees, subject to legal constraints (if any), to use commercially reasonable efforts to obtain the termination of such Run-Out Obligations, including without limitation neither extending nor renewing such Run-Out Obligations (</w:t>
      </w:r>
      <w:r>
        <w:rPr>
          <w:rFonts w:ascii="Times New Roman" w:hAnsi="Times New Roman"/>
          <w:b w:val="false"/>
          <w:color w:val="000000"/>
          <w:sz w:val="24"/>
          <w:u w:val="single"/>
        </w:rPr>
        <w:t>provided</w:t>
      </w:r>
      <w:r>
        <w:rPr>
          <w:rFonts w:ascii="Times New Roman" w:hAnsi="Times New Roman"/>
          <w:color w:val="000000"/>
          <w:sz w:val="20"/>
        </w:rPr>
        <w:t xml:space="preserve"> </w:t>
      </w:r>
      <w:r>
        <w:rPr>
          <w:rFonts w:ascii="Times New Roman" w:hAnsi="Times New Roman"/>
          <w:b w:val="false"/>
          <w:color w:val="000000"/>
          <w:sz w:val="24"/>
        </w:rPr>
        <w:t xml:space="preserve">that AMC shall have no obligation to make any payment in connection with obtaining the termination of such Run-Out Obligations). AMC further agrees not to enter into any new agreement with any third party with respect to any Encumbered Theatre, or amend or modify any Run-Out Obligation, to the extent such agreement, amendment or modification would be inconsistent with the rights of LLC under </w:t>
      </w:r>
      <w:r>
        <w:rPr>
          <w:rFonts w:ascii="Times New Roman" w:hAnsi="Times New Roman"/>
          <w:b w:val="false"/>
          <w:color w:val="000000"/>
          <w:sz w:val="24"/>
          <w:u w:val="single"/>
        </w:rPr>
        <w:t>Section 2.04</w:t>
      </w:r>
      <w:r>
        <w:rPr>
          <w:rFonts w:ascii="Times New Roman" w:hAnsi="Times New Roman"/>
          <w:color w:val="000000"/>
          <w:sz w:val="20"/>
        </w:rPr>
        <w:t xml:space="preserve"> </w:t>
      </w:r>
      <w:r>
        <w:rPr>
          <w:rFonts w:ascii="Times New Roman" w:hAnsi="Times New Roman"/>
          <w:b w:val="false"/>
          <w:color w:val="000000"/>
          <w:sz w:val="24"/>
        </w:rPr>
        <w:t xml:space="preserve">or have the effect of any extension. Prior to the expiration of the Run-Out Obligations, each Encumbered Theatre may, upon the mutual agreement of LLC and AMC, become a Theatre with respect to some or all of the Advertising Services, </w:t>
      </w:r>
      <w:r>
        <w:rPr>
          <w:rFonts w:ascii="Times New Roman" w:hAnsi="Times New Roman"/>
          <w:b w:val="false"/>
          <w:color w:val="000000"/>
          <w:sz w:val="24"/>
          <w:u w:val="single"/>
        </w:rPr>
        <w:t>provided</w:t>
      </w:r>
      <w:r>
        <w:rPr>
          <w:rFonts w:ascii="Times New Roman" w:hAnsi="Times New Roman"/>
          <w:color w:val="000000"/>
          <w:sz w:val="20"/>
        </w:rPr>
        <w:t xml:space="preserve"> </w:t>
      </w:r>
      <w:r>
        <w:rPr>
          <w:rFonts w:ascii="Times New Roman" w:hAnsi="Times New Roman"/>
          <w:b w:val="false"/>
          <w:color w:val="000000"/>
          <w:sz w:val="24"/>
        </w:rPr>
        <w:t xml:space="preserve">such election does not create a default under any Run-Out Obligation. In any event, except in accordance with </w:t>
      </w:r>
      <w:r>
        <w:rPr>
          <w:rFonts w:ascii="Times New Roman" w:hAnsi="Times New Roman"/>
          <w:b w:val="false"/>
          <w:color w:val="000000"/>
          <w:sz w:val="24"/>
          <w:u w:val="single"/>
        </w:rPr>
        <w:t>Section 4.12</w:t>
      </w:r>
      <w:r>
        <w:rPr>
          <w:rFonts w:ascii="Times New Roman" w:hAnsi="Times New Roman"/>
          <w:color w:val="000000"/>
          <w:sz w:val="20"/>
        </w:rPr>
        <w:t xml:space="preserve"> </w:t>
      </w:r>
      <w:r>
        <w:rPr>
          <w:rFonts w:ascii="Times New Roman" w:hAnsi="Times New Roman"/>
          <w:b w:val="false"/>
          <w:color w:val="000000"/>
          <w:sz w:val="24"/>
        </w:rPr>
        <w:t>(Excluded Theatres), if any, or as may be mutually agreed by the Parties in writing, each Encumbered Theatre shall automatically become a Theatre, for all purposes hereof, no later than the expiration of the Run-Out Obligations with respect to such Encumbered Theatre.</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4.08 </w:t>
      </w:r>
      <w:r>
        <w:rPr>
          <w:rFonts w:ascii="Times New Roman" w:hAnsi="Times New Roman"/>
          <w:color w:val="000000"/>
          <w:sz w:val="24"/>
          <w:u w:val="single"/>
        </w:rPr>
        <w:t>License</w:t>
      </w:r>
      <w:r>
        <w:rPr>
          <w:rFonts w:ascii="Times New Roman" w:hAnsi="Times New Roman"/>
          <w:b w:val="false"/>
          <w:color w:val="000000"/>
          <w:sz w:val="24"/>
        </w:rPr>
        <w:t>. LLC hereby grants to AMC and its Affiliates a limited, non- exclusive, non-transferable, non-sublicenseable license in the Theatres only to receive, store, display and exhibit the Digital Content Service and the Digital Carousel, as applicable, on the LLC Equipment and the AMC Equipment solely in connection with its performance of and subject to all of the terms and conditions of this Agreement. AMC may not alter intentionally the Digital Content Service or the Digital Carousel or otherwise intentionally exhibit the Digital Content Service or the Digital Carousel in a manner resulting in a change to the Digital Content Service or Digital Carousel or any related on-screen Inventory, nor may AMC use or make the Digital Content Service or Digital Carousel available for any purpose, at any location, or in any manner not specifically authorized by this Agreement, including without limitation recording, copying or duplicating the Digital Content Service or Digital Carousel or any portion thereof. AMC shall at all times receive and exhibit the Digital Content Service and Digital Carousel in accordance with such policies and procedures of LLC that are provided in advance to AMC and consistently applied with respect to other exhibitors from time to time. Each Party shall be solely responsible for obtaining and providing all rights, licenses, clearances and consents necessary for the use of any Inventory it sources or creates (whether or not it sources or creates such Inventory on behalf of the other Party), or that is prepared or provided by third parties on its behalf, as contemplated herein, except as may otherwise be agreed by the Parties in writing.</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4.09 </w:t>
      </w:r>
      <w:r>
        <w:rPr>
          <w:rFonts w:ascii="Times New Roman" w:hAnsi="Times New Roman"/>
          <w:color w:val="000000"/>
          <w:sz w:val="24"/>
          <w:u w:val="single"/>
        </w:rPr>
        <w:t>Cooperation and Assistance</w:t>
      </w:r>
      <w:r>
        <w:rPr>
          <w:rFonts w:ascii="Times New Roman" w:hAnsi="Times New Roman"/>
          <w:b w:val="false"/>
          <w:color w:val="000000"/>
          <w:sz w:val="24"/>
        </w:rPr>
        <w:t>. The Parties agree that the effectiveness and quality of the Advertising Services as provided by LLC are dependent on the cooperation and operational support of both Parties.</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color w:val="000000"/>
          <w:sz w:val="24"/>
          <w:u w:val="single"/>
        </w:rPr>
        <w:t>AMC</w:t>
      </w:r>
      <w:r>
        <w:rPr>
          <w:rFonts w:ascii="Times New Roman" w:hAnsi="Times New Roman"/>
          <w:b w:val="false"/>
          <w:color w:val="000000"/>
          <w:sz w:val="24"/>
        </w:rPr>
        <w:t>. AMC agrees that it (and each of the Theatres) shall at all times during the Term provide LLC, at AMC’s own cost except as otherwise provided in this Agreement, with the following:</w:t>
      </w:r>
    </w:p>
    <w:p>
      <w:pPr>
        <w:pStyle w:val="Heading1"/>
        <w:bidi w:val="0"/>
        <w:spacing w:before="240" w:after="283"/>
        <w:jc w:val="both"/>
        <w:rPr>
          <w:rFonts w:ascii="Times New Roman" w:hAnsi="Times New Roman"/>
          <w:b w:val="false"/>
          <w:color w:val="000000"/>
          <w:sz w:val="24"/>
        </w:rPr>
      </w:pPr>
      <w:r>
        <w:rPr>
          <w:rFonts w:ascii="Times New Roman" w:hAnsi="Times New Roman"/>
          <w:b w:val="false"/>
          <w:color w:val="000000"/>
          <w:sz w:val="24"/>
        </w:rPr>
        <w:t>(i) internal resources and permissions as reasonably required to effectuate delivery of the Advertising Services, including without limitation projection and sound technicians and other employees to assist with LLC Equipment installation and Digital Content Service transmission;</w:t>
      </w:r>
    </w:p>
    <w:p>
      <w:pPr>
        <w:pStyle w:val="Heading1"/>
        <w:bidi w:val="0"/>
        <w:spacing w:before="240" w:after="283"/>
        <w:jc w:val="both"/>
        <w:rPr>
          <w:rFonts w:ascii="Times New Roman" w:hAnsi="Times New Roman"/>
          <w:b w:val="false"/>
          <w:color w:val="000000"/>
          <w:sz w:val="24"/>
        </w:rPr>
      </w:pPr>
      <w:r>
        <w:rPr>
          <w:rFonts w:ascii="Times New Roman" w:hAnsi="Times New Roman"/>
          <w:b w:val="false"/>
          <w:color w:val="000000"/>
          <w:sz w:val="24"/>
        </w:rPr>
        <w:t>(ii) unless unavailable, 24 (hour) by 7 (day) “real time” access via AMC’s network assets in conformity with AMC’s network use and security policies (provided in advance to LLC and consistently applied with respect to other AMC service providers) to the in-Theatre software and hardware components of the Digital Content Network, consistent with the Specification Documentation, so that LLC can monitor the distribution and playback, including immediate proof of playback, which LLC may use a third-party service to monitor), of the Advertising Services and the Parties will reasonably cooperate to ensure that corrections or changes are made as required to deliver the Advertising Services (LLC may engage a third-party to assist in LLC’s monitoring of the proof of playback);</w:t>
      </w:r>
    </w:p>
    <w:p>
      <w:pPr>
        <w:pStyle w:val="Heading1"/>
        <w:bidi w:val="0"/>
        <w:spacing w:before="240" w:after="283"/>
        <w:jc w:val="both"/>
        <w:rPr>
          <w:rFonts w:ascii="Times New Roman" w:hAnsi="Times New Roman"/>
          <w:b w:val="false"/>
          <w:color w:val="000000"/>
          <w:sz w:val="24"/>
        </w:rPr>
      </w:pPr>
      <w:r>
        <w:rPr>
          <w:rFonts w:ascii="Times New Roman" w:hAnsi="Times New Roman"/>
          <w:b w:val="false"/>
          <w:color w:val="000000"/>
          <w:sz w:val="24"/>
        </w:rPr>
        <w:t>(iii) detailed playback information in a form, whether electronic or hard copy, and at such times as either AMC or LLC shall reasonably request;</w:t>
      </w:r>
    </w:p>
    <w:p>
      <w:pPr>
        <w:pStyle w:val="Heading1"/>
        <w:bidi w:val="0"/>
        <w:spacing w:before="240" w:after="283"/>
        <w:jc w:val="both"/>
        <w:rPr>
          <w:rFonts w:ascii="Times New Roman" w:hAnsi="Times New Roman"/>
          <w:b w:val="false"/>
          <w:color w:val="000000"/>
          <w:sz w:val="24"/>
        </w:rPr>
      </w:pPr>
      <w:r>
        <w:rPr>
          <w:rFonts w:ascii="Times New Roman" w:hAnsi="Times New Roman"/>
          <w:b w:val="false"/>
          <w:color w:val="000000"/>
          <w:sz w:val="24"/>
        </w:rPr>
        <w:t>(iv) prompt notification of reception, playback or other technical problems associated with receipt of the Advertising Services;</w:t>
      </w:r>
    </w:p>
    <w:p>
      <w:pPr>
        <w:pStyle w:val="Heading1"/>
        <w:bidi w:val="0"/>
        <w:spacing w:before="240" w:after="283"/>
        <w:jc w:val="both"/>
        <w:rPr>
          <w:rFonts w:ascii="Times New Roman" w:hAnsi="Times New Roman"/>
          <w:b w:val="false"/>
          <w:color w:val="000000"/>
          <w:sz w:val="24"/>
        </w:rPr>
      </w:pPr>
      <w:r>
        <w:rPr>
          <w:rFonts w:ascii="Times New Roman" w:hAnsi="Times New Roman"/>
          <w:b w:val="false"/>
          <w:color w:val="000000"/>
          <w:sz w:val="24"/>
        </w:rPr>
        <w:t>(v) the results of quality audits performed by AMC periodically during the Term upon LLC’s request and at its direction to confirm playback compliance;</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(vi) adequate opportunities to train AMC personnel, as provided in </w:t>
      </w:r>
      <w:r>
        <w:rPr>
          <w:rFonts w:ascii="Times New Roman" w:hAnsi="Times New Roman"/>
          <w:b w:val="false"/>
          <w:color w:val="000000"/>
          <w:sz w:val="24"/>
          <w:u w:val="single"/>
        </w:rPr>
        <w:t>Section 3.07</w:t>
      </w:r>
      <w:r>
        <w:rPr>
          <w:rFonts w:ascii="Times New Roman" w:hAnsi="Times New Roman"/>
          <w:b w:val="false"/>
          <w:color w:val="000000"/>
          <w:sz w:val="24"/>
        </w:rPr>
        <w:t>;</w:t>
      </w:r>
    </w:p>
    <w:p>
      <w:pPr>
        <w:pStyle w:val="Heading1"/>
        <w:bidi w:val="0"/>
        <w:spacing w:before="240" w:after="283"/>
        <w:jc w:val="both"/>
        <w:rPr>
          <w:rFonts w:ascii="Times New Roman" w:hAnsi="Times New Roman"/>
          <w:b w:val="false"/>
          <w:color w:val="000000"/>
          <w:sz w:val="24"/>
        </w:rPr>
      </w:pPr>
      <w:r>
        <w:rPr>
          <w:rFonts w:ascii="Times New Roman" w:hAnsi="Times New Roman"/>
          <w:b w:val="false"/>
          <w:color w:val="000000"/>
          <w:sz w:val="24"/>
        </w:rPr>
        <w:t>(vii) attendance data film-by-film, rating-by-rating and Theatre-by-Theatre for all Theatres, in an electronic form and in a format agreed by the Parties, at such times as are consistent with AMC’s internal reporting systems but in any event at least weekly;</w:t>
      </w:r>
    </w:p>
    <w:p>
      <w:pPr>
        <w:pStyle w:val="Heading1"/>
        <w:bidi w:val="0"/>
        <w:spacing w:before="240" w:after="283"/>
        <w:jc w:val="both"/>
        <w:rPr>
          <w:rFonts w:ascii="Times New Roman" w:hAnsi="Times New Roman"/>
          <w:b w:val="false"/>
          <w:color w:val="000000"/>
          <w:sz w:val="24"/>
        </w:rPr>
      </w:pPr>
      <w:r>
        <w:rPr>
          <w:rFonts w:ascii="Times New Roman" w:hAnsi="Times New Roman"/>
          <w:b w:val="false"/>
          <w:color w:val="000000"/>
          <w:sz w:val="24"/>
        </w:rPr>
        <w:t>(viii) on a monthly, quarterly and annual basis as requested by LLC from time to time, a list of all Theatres, including (i) identification of which Theatres are Non-Digitized Theatres, (ii) the number of total screens and digital screens at each Theatre and for all Theatres at which Advertising Services are provided, (iii) identification of any Theatres that are not equipped with at least one Lobby Screen to display the Lobby Entertainment Program, (iv) identification of the Standard Format Screens and Premium Large Format Screens, (v) attendance for screens on which Advertising Services are provided (by Theatre and in total), including separate identification of attendance for [***], and screens on which Advertising Services under the Beverage Agreement is provided (if different); (vi) upon LLC’s request, identification of Theatres in which Advertising Services are not provided, and the attendance and number of screens at such theatres; (vii) estimated Theatre opening and closing dates; and (viii) such other information described reasonably requested by LLC, as such may be amended from time to time by mutual agreement of the Parties;</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b w:val="false"/>
          <w:color w:val="000000"/>
          <w:sz w:val="24"/>
        </w:rPr>
      </w:pPr>
      <w:r>
        <w:rPr>
          <w:rFonts w:ascii="Times New Roman" w:hAnsi="Times New Roman"/>
          <w:b w:val="false"/>
          <w:color w:val="000000"/>
          <w:sz w:val="24"/>
        </w:rPr>
        <w:t>(ix) AMC’s budgeted attendance by theatre (and by month if AMC budgets on a monthly basis) for the next full fiscal year once approved by AMC’s board, and;</w:t>
      </w:r>
    </w:p>
    <w:p>
      <w:pPr>
        <w:pStyle w:val="Heading1"/>
        <w:bidi w:val="0"/>
        <w:spacing w:before="240" w:after="283"/>
        <w:jc w:val="both"/>
        <w:rPr>
          <w:rFonts w:ascii="Times New Roman" w:hAnsi="Times New Roman"/>
          <w:b w:val="false"/>
          <w:color w:val="000000"/>
          <w:sz w:val="24"/>
        </w:rPr>
      </w:pPr>
      <w:r>
        <w:rPr>
          <w:rFonts w:ascii="Times New Roman" w:hAnsi="Times New Roman"/>
          <w:b w:val="false"/>
          <w:color w:val="000000"/>
          <w:sz w:val="24"/>
        </w:rPr>
        <w:t>(x) such other information regarding the Advertising Services as LLC may reasonably request from time to time, as AMC agrees to provide in its sole discretion;</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(b) </w:t>
      </w:r>
      <w:r>
        <w:rPr>
          <w:rFonts w:ascii="Times New Roman" w:hAnsi="Times New Roman"/>
          <w:b w:val="false"/>
          <w:color w:val="000000"/>
          <w:sz w:val="24"/>
          <w:u w:val="single"/>
        </w:rPr>
        <w:t>LLC</w:t>
      </w:r>
      <w:r>
        <w:rPr>
          <w:rFonts w:ascii="Times New Roman" w:hAnsi="Times New Roman"/>
          <w:b w:val="false"/>
          <w:color w:val="000000"/>
          <w:sz w:val="24"/>
        </w:rPr>
        <w:t>. LLC agrees that it shall at all times during the Term provide AMC, at LLC’s own cost except as otherwise provided in this Agreement, with the following:</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(i) on a weekly basis, a report of compliance by each Theatre with on-screen advertising requirements and reasons for any noncompliance, including a report of compliance relating to the Beverage Agreement (the “</w:t>
      </w:r>
      <w:r>
        <w:rPr>
          <w:rFonts w:ascii="Times New Roman" w:hAnsi="Times New Roman"/>
          <w:color w:val="000000"/>
          <w:sz w:val="24"/>
        </w:rPr>
        <w:t>Beverage Compliance Report</w:t>
      </w:r>
      <w:r>
        <w:rPr>
          <w:rFonts w:ascii="Times New Roman" w:hAnsi="Times New Roman"/>
          <w:color w:val="000000"/>
          <w:sz w:val="20"/>
        </w:rPr>
        <w:t>”</w:t>
      </w:r>
      <w:r>
        <w:rPr>
          <w:rFonts w:ascii="Times New Roman" w:hAnsi="Times New Roman"/>
          <w:b w:val="false"/>
          <w:color w:val="000000"/>
          <w:sz w:val="24"/>
        </w:rPr>
        <w:t>);</w:t>
      </w:r>
    </w:p>
    <w:p>
      <w:pPr>
        <w:pStyle w:val="Heading1"/>
        <w:bidi w:val="0"/>
        <w:spacing w:before="240" w:after="283"/>
        <w:jc w:val="both"/>
        <w:rPr>
          <w:rFonts w:ascii="Times New Roman" w:hAnsi="Times New Roman"/>
          <w:b w:val="false"/>
          <w:color w:val="000000"/>
          <w:sz w:val="24"/>
        </w:rPr>
      </w:pPr>
      <w:r>
        <w:rPr>
          <w:rFonts w:ascii="Times New Roman" w:hAnsi="Times New Roman"/>
          <w:b w:val="false"/>
          <w:color w:val="000000"/>
          <w:sz w:val="24"/>
        </w:rPr>
        <w:t>(ii) on a weekly basis, a representative Play List of national advertising, which LLC shall make available no later than two business days prior to the day on which the Play List be implemented;</w:t>
      </w:r>
    </w:p>
    <w:p>
      <w:pPr>
        <w:pStyle w:val="Heading1"/>
        <w:bidi w:val="0"/>
        <w:spacing w:before="240" w:after="283"/>
        <w:jc w:val="both"/>
        <w:rPr>
          <w:rFonts w:ascii="Times New Roman" w:hAnsi="Times New Roman"/>
          <w:b w:val="false"/>
          <w:color w:val="000000"/>
          <w:sz w:val="24"/>
        </w:rPr>
      </w:pPr>
      <w:r>
        <w:rPr>
          <w:rFonts w:ascii="Times New Roman" w:hAnsi="Times New Roman"/>
          <w:b w:val="false"/>
          <w:color w:val="000000"/>
          <w:sz w:val="24"/>
        </w:rPr>
        <w:t>(iii) on a monthly basis, a report regarding local advertising.</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(c) </w:t>
      </w:r>
      <w:r>
        <w:rPr>
          <w:rFonts w:ascii="Times New Roman" w:hAnsi="Times New Roman"/>
          <w:b w:val="false"/>
          <w:color w:val="000000"/>
          <w:sz w:val="24"/>
          <w:u w:val="single"/>
        </w:rPr>
        <w:t>Confidentiality</w:t>
      </w:r>
      <w:r>
        <w:rPr>
          <w:rFonts w:ascii="Times New Roman" w:hAnsi="Times New Roman"/>
          <w:b w:val="false"/>
          <w:color w:val="000000"/>
          <w:sz w:val="24"/>
        </w:rPr>
        <w:t xml:space="preserve">. For the avoidance of doubt, information made available subject to this </w:t>
      </w:r>
      <w:r>
        <w:rPr>
          <w:rFonts w:ascii="Times New Roman" w:hAnsi="Times New Roman"/>
          <w:b w:val="false"/>
          <w:color w:val="000000"/>
          <w:sz w:val="24"/>
          <w:u w:val="single"/>
        </w:rPr>
        <w:t>Section 4.09</w:t>
      </w:r>
      <w:r>
        <w:rPr>
          <w:rFonts w:ascii="Times New Roman" w:hAnsi="Times New Roman"/>
          <w:color w:val="000000"/>
          <w:sz w:val="20"/>
        </w:rPr>
        <w:t xml:space="preserve"> </w:t>
      </w:r>
      <w:r>
        <w:rPr>
          <w:rFonts w:ascii="Times New Roman" w:hAnsi="Times New Roman"/>
          <w:b w:val="false"/>
          <w:color w:val="000000"/>
          <w:sz w:val="24"/>
        </w:rPr>
        <w:t xml:space="preserve">shall be subject to the provisions of </w:t>
      </w:r>
      <w:r>
        <w:rPr>
          <w:rFonts w:ascii="Times New Roman" w:hAnsi="Times New Roman"/>
          <w:b w:val="false"/>
          <w:color w:val="000000"/>
          <w:sz w:val="24"/>
          <w:u w:val="single"/>
        </w:rPr>
        <w:t>Section 14.01</w:t>
      </w:r>
      <w:r>
        <w:rPr>
          <w:rFonts w:ascii="Times New Roman" w:hAnsi="Times New Roman"/>
          <w:color w:val="000000"/>
          <w:sz w:val="20"/>
        </w:rPr>
        <w:t xml:space="preserve"> </w:t>
      </w:r>
      <w:r>
        <w:rPr>
          <w:rFonts w:ascii="Times New Roman" w:hAnsi="Times New Roman"/>
          <w:b w:val="false"/>
          <w:color w:val="000000"/>
          <w:sz w:val="24"/>
        </w:rPr>
        <w:t xml:space="preserve">(Confidential Treatment); </w:t>
      </w:r>
      <w:r>
        <w:rPr>
          <w:rFonts w:ascii="Times New Roman" w:hAnsi="Times New Roman"/>
          <w:b w:val="false"/>
          <w:color w:val="000000"/>
          <w:sz w:val="24"/>
          <w:u w:val="single"/>
        </w:rPr>
        <w:t>provided</w:t>
      </w:r>
      <w:r>
        <w:rPr>
          <w:rFonts w:ascii="Times New Roman" w:hAnsi="Times New Roman"/>
          <w:color w:val="000000"/>
          <w:sz w:val="20"/>
        </w:rPr>
        <w:t xml:space="preserve"> </w:t>
      </w:r>
      <w:r>
        <w:rPr>
          <w:rFonts w:ascii="Times New Roman" w:hAnsi="Times New Roman"/>
          <w:b w:val="false"/>
          <w:color w:val="000000"/>
          <w:sz w:val="24"/>
          <w:u w:val="single"/>
        </w:rPr>
        <w:t>however</w:t>
      </w:r>
      <w:r>
        <w:rPr>
          <w:rFonts w:ascii="Times New Roman" w:hAnsi="Times New Roman"/>
          <w:b w:val="false"/>
          <w:color w:val="000000"/>
          <w:sz w:val="24"/>
        </w:rPr>
        <w:t>, that LLC agrees that AMC shall be permitted to provide the Beverage Compliance Report to its beverage concessionaire. AMC agrees to be included in any compliance reporting LLC provides to its advertisers and other content providers for proof of performance.</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4.10 </w:t>
      </w:r>
      <w:r>
        <w:rPr>
          <w:rFonts w:ascii="Times New Roman" w:hAnsi="Times New Roman"/>
          <w:color w:val="000000"/>
          <w:sz w:val="24"/>
          <w:u w:val="single"/>
        </w:rPr>
        <w:t>Trailers</w:t>
      </w:r>
      <w:r>
        <w:rPr>
          <w:rFonts w:ascii="Times New Roman" w:hAnsi="Times New Roman"/>
          <w:b w:val="false"/>
          <w:color w:val="000000"/>
          <w:sz w:val="24"/>
        </w:rPr>
        <w:t>.</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color w:val="000000"/>
          <w:sz w:val="24"/>
          <w:u w:val="single"/>
        </w:rPr>
        <w:t>Trailers</w:t>
      </w:r>
      <w:r>
        <w:rPr>
          <w:rFonts w:ascii="Times New Roman" w:hAnsi="Times New Roman"/>
          <w:b w:val="false"/>
          <w:color w:val="000000"/>
          <w:sz w:val="24"/>
        </w:rPr>
        <w:t>. Trailers that are exhibited in the Theatres shall not include the exhibition or display of any trademark, service mark, logo or other branding of a party other than the film studio(s), distributor(s), or production company(ies); provided, however, Trailers may include incidental images of products or services which appear in the motion picture or other programming or event (e.g., product placements).</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(b) </w:t>
      </w:r>
      <w:r>
        <w:rPr>
          <w:rFonts w:ascii="Times New Roman" w:hAnsi="Times New Roman"/>
          <w:b w:val="false"/>
          <w:color w:val="000000"/>
          <w:sz w:val="24"/>
          <w:u w:val="single"/>
        </w:rPr>
        <w:t>Event Trailers</w:t>
      </w:r>
      <w:r>
        <w:rPr>
          <w:rFonts w:ascii="Times New Roman" w:hAnsi="Times New Roman"/>
          <w:b w:val="false"/>
          <w:color w:val="000000"/>
          <w:sz w:val="24"/>
        </w:rPr>
        <w:t>. Any Event Trailer shall be limited to a promotion for an applicable Digital Programming Event and shall not include the exhibition or display of any trademark, service mark, logo or other advertising or branding other than the distributor(s) or production company(ies) of the Digital Programming Event. Additionally, Event Trailers may include (i) incidental images of products or services which appear in the Digital Programming Event (e.g. product placements), and (ii) Sponsor Message(s) in connection with Event Sponsorships.</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4.11 </w:t>
      </w:r>
      <w:r>
        <w:rPr>
          <w:rFonts w:ascii="Times New Roman" w:hAnsi="Times New Roman"/>
          <w:color w:val="000000"/>
          <w:sz w:val="24"/>
          <w:u w:val="single"/>
        </w:rPr>
        <w:t>Customer Access to Pre-Feature Program</w:t>
      </w:r>
      <w:r>
        <w:rPr>
          <w:rFonts w:ascii="Times New Roman" w:hAnsi="Times New Roman"/>
          <w:b w:val="false"/>
          <w:color w:val="000000"/>
          <w:sz w:val="24"/>
        </w:rPr>
        <w:t>. AMC shall use commercially reasonable efforts to provide audiences access to the Theatre auditorium for the Pre-Feature Program not less than 20 minutes prior to Showtime.</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4.12 </w:t>
      </w:r>
      <w:r>
        <w:rPr>
          <w:rFonts w:ascii="Times New Roman" w:hAnsi="Times New Roman"/>
          <w:color w:val="000000"/>
          <w:sz w:val="24"/>
          <w:u w:val="single"/>
        </w:rPr>
        <w:t>Excluded Theatres</w:t>
      </w:r>
      <w:r>
        <w:rPr>
          <w:rFonts w:ascii="Times New Roman" w:hAnsi="Times New Roman"/>
          <w:b w:val="false"/>
          <w:color w:val="000000"/>
          <w:sz w:val="24"/>
        </w:rPr>
        <w:t xml:space="preserve">. </w:t>
      </w:r>
      <w:r>
        <w:rPr>
          <w:rFonts w:ascii="Times New Roman" w:hAnsi="Times New Roman"/>
          <w:b w:val="false"/>
          <w:color w:val="000000"/>
          <w:sz w:val="23"/>
        </w:rPr>
        <w:t>Following the Execution Date, AMC shall not have the right to designate any Theatres for purposes of this Agreement as “</w:t>
      </w:r>
      <w:r>
        <w:rPr>
          <w:rFonts w:ascii="Times New Roman" w:hAnsi="Times New Roman"/>
          <w:color w:val="000000"/>
          <w:sz w:val="23"/>
        </w:rPr>
        <w:t>Excluded Theatres</w:t>
      </w:r>
      <w:r>
        <w:rPr>
          <w:rFonts w:ascii="Times New Roman" w:hAnsi="Times New Roman"/>
          <w:color w:val="000000"/>
          <w:sz w:val="20"/>
        </w:rPr>
        <w:t xml:space="preserve">” </w:t>
      </w:r>
      <w:r>
        <w:rPr>
          <w:rFonts w:ascii="Times New Roman" w:hAnsi="Times New Roman"/>
          <w:b w:val="false"/>
          <w:color w:val="000000"/>
          <w:sz w:val="23"/>
        </w:rPr>
        <w:t>without LLC’s prior written consent. AMC will provide a list of any Theatres that it considers Excluded</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b w:val="false"/>
          <w:color w:val="000000"/>
          <w:sz w:val="23"/>
        </w:rPr>
      </w:pPr>
      <w:r>
        <w:rPr>
          <w:rFonts w:ascii="Times New Roman" w:hAnsi="Times New Roman"/>
          <w:b w:val="false"/>
          <w:color w:val="000000"/>
          <w:sz w:val="23"/>
        </w:rPr>
        <w:t>Theatres via email prior to the Execution Date. Any Excluded Theatres may not receive any advertising services from any party.</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4.13 </w:t>
      </w:r>
      <w:r>
        <w:rPr>
          <w:rFonts w:ascii="Times New Roman" w:hAnsi="Times New Roman"/>
          <w:color w:val="000000"/>
          <w:sz w:val="24"/>
          <w:u w:val="single"/>
        </w:rPr>
        <w:t>[Reserved]</w:t>
      </w:r>
      <w:r>
        <w:rPr>
          <w:rFonts w:ascii="Times New Roman" w:hAnsi="Times New Roman"/>
          <w:b w:val="false"/>
          <w:color w:val="000000"/>
          <w:sz w:val="24"/>
        </w:rPr>
        <w: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4.14 </w:t>
      </w:r>
      <w:r>
        <w:rPr>
          <w:rFonts w:ascii="Times New Roman" w:hAnsi="Times New Roman"/>
          <w:color w:val="000000"/>
          <w:sz w:val="24"/>
          <w:u w:val="single"/>
        </w:rPr>
        <w:t>Consultation regarding Certain Advertising Agreements</w:t>
      </w:r>
      <w:r>
        <w:rPr>
          <w:rFonts w:ascii="Times New Roman" w:hAnsi="Times New Roman"/>
          <w:b w:val="false"/>
          <w:color w:val="000000"/>
          <w:sz w:val="24"/>
        </w:rPr>
        <w:t>.</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color w:val="000000"/>
          <w:sz w:val="24"/>
          <w:u w:val="single"/>
        </w:rPr>
        <w:t>Theatre Advertising</w:t>
      </w:r>
      <w:r>
        <w:rPr>
          <w:rFonts w:ascii="Times New Roman" w:hAnsi="Times New Roman"/>
          <w:b w:val="false"/>
          <w:color w:val="000000"/>
          <w:sz w:val="24"/>
        </w:rPr>
        <w:t>. Prior to either Party entering into an exclusive agreement for longer than one Flight with any third party for Theatre Advertising, the contracting Party will give the other Party written notice not less than twenty (20) days in advance of the contract date, and the Parties will consult in good faith to confirm that such exclusive arrangement does not conflict with any exclusive arrangements the other Party has entered into or contemplates entering into; provided however, this notice shall not apply to entry into the Beverage Agreement by AMC. Any exclusive agreement in which AMC enters will not restrict LLC’s ability to sell advertising.</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(b) </w:t>
      </w:r>
      <w:r>
        <w:rPr>
          <w:rFonts w:ascii="Times New Roman" w:hAnsi="Times New Roman"/>
          <w:b w:val="false"/>
          <w:color w:val="000000"/>
          <w:sz w:val="24"/>
          <w:u w:val="single"/>
        </w:rPr>
        <w:t>Strategic Relationships</w:t>
      </w:r>
      <w:r>
        <w:rPr>
          <w:rFonts w:ascii="Times New Roman" w:hAnsi="Times New Roman"/>
          <w:b w:val="false"/>
          <w:color w:val="000000"/>
          <w:sz w:val="24"/>
        </w:rPr>
        <w:t>. AMC shall not enter into any Strategic Relationship that conflicts with any existing or proposed exclusive advertising or promotional arrangement between LLC and a third party for which LLC has provided prior written notice, which may be by electronic mail, to AMC’s designated representative(s) of such existing or proposed exclusive arrangement, including the identity of the other party, the length of time, and type of category of such exclusive arrangement, and specifically in connection with a proposed exclusive arrangement the anticipated start date of such arrangement. AMC may enter into any Strategic Relationship that conflicts with a proposed exclusive arrangement prior to the anticipated start date of such arrangement. Further, in the event that LLC is unable to enter into a definitive agreement with respect to such proposed exclusive arrangement within sixty (60) days after such notice by LLC to AMC of such proposed exclusive arrangement, which notice may not be provided more than once in any twelve month period, then AMC shall have the right to enter into any such Strategic Relationship.</w:t>
      </w:r>
      <w:r>
        <w:rPr>
          <w:rFonts w:ascii="Times New Roman" w:hAnsi="Times New Roman"/>
          <w:color w:val="000000"/>
          <w:sz w:val="20"/>
        </w:rPr>
        <w:t xml:space="preserve"> </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4.15 </w:t>
      </w:r>
      <w:r>
        <w:rPr>
          <w:rFonts w:ascii="Times New Roman" w:hAnsi="Times New Roman"/>
          <w:color w:val="000000"/>
          <w:sz w:val="24"/>
          <w:u w:val="single"/>
        </w:rPr>
        <w:t>3D and 4D Services</w:t>
      </w:r>
      <w:r>
        <w:rPr>
          <w:rFonts w:ascii="Times New Roman" w:hAnsi="Times New Roman"/>
          <w:b w:val="false"/>
          <w:color w:val="000000"/>
          <w:sz w:val="24"/>
        </w:rPr>
        <w:t>.</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color w:val="000000"/>
          <w:sz w:val="24"/>
          <w:u w:val="single"/>
        </w:rPr>
        <w:t>Access to Projection Systems for 3D or 4D Advertising Services</w:t>
      </w:r>
      <w:r>
        <w:rPr>
          <w:rFonts w:ascii="Times New Roman" w:hAnsi="Times New Roman"/>
          <w:b w:val="false"/>
          <w:color w:val="000000"/>
          <w:sz w:val="24"/>
        </w:rPr>
        <w:t xml:space="preserve">. Subject to the terms and conditions of this Agreement, including, without limitation this </w:t>
      </w:r>
      <w:r>
        <w:rPr>
          <w:rFonts w:ascii="Times New Roman" w:hAnsi="Times New Roman"/>
          <w:b w:val="false"/>
          <w:color w:val="000000"/>
          <w:sz w:val="24"/>
          <w:u w:val="single"/>
        </w:rPr>
        <w:t>Section 4.15</w:t>
      </w:r>
      <w:r>
        <w:rPr>
          <w:rFonts w:ascii="Times New Roman" w:hAnsi="Times New Roman"/>
          <w:b w:val="false"/>
          <w:color w:val="000000"/>
          <w:sz w:val="24"/>
        </w:rPr>
        <w:t xml:space="preserve">, if and to the extent that AMC has the capability to exhibit full-length motion pictures using a Projection System in 3D or 4D in one or more auditoriums in any Theatre, LLC shall have the right to exhibit 3D or 4D Advertising Services using such Projection System in such auditoriums, in the following instances (i) after the Advertising Services have been converted to such Projection System in accordance with </w:t>
      </w:r>
      <w:r>
        <w:rPr>
          <w:rFonts w:ascii="Times New Roman" w:hAnsi="Times New Roman"/>
          <w:b w:val="false"/>
          <w:color w:val="000000"/>
          <w:sz w:val="24"/>
          <w:u w:val="single"/>
        </w:rPr>
        <w:t>Section 3.06</w:t>
      </w:r>
      <w:r>
        <w:rPr>
          <w:rFonts w:ascii="Times New Roman" w:hAnsi="Times New Roman"/>
          <w:color w:val="000000"/>
          <w:sz w:val="20"/>
        </w:rPr>
        <w:t xml:space="preserve"> </w:t>
      </w:r>
      <w:r>
        <w:rPr>
          <w:rFonts w:ascii="Times New Roman" w:hAnsi="Times New Roman"/>
          <w:b w:val="false"/>
          <w:color w:val="000000"/>
          <w:sz w:val="24"/>
        </w:rPr>
        <w:t>or (ii) prior to the presentation of a 3D or 4D motion picture or other 3D or 4D content (“</w:t>
      </w:r>
      <w:r>
        <w:rPr>
          <w:rFonts w:ascii="Times New Roman" w:hAnsi="Times New Roman"/>
          <w:color w:val="000000"/>
          <w:sz w:val="24"/>
        </w:rPr>
        <w:t>3D or 4D Content</w:t>
      </w:r>
      <w:r>
        <w:rPr>
          <w:rFonts w:ascii="Times New Roman" w:hAnsi="Times New Roman"/>
          <w:color w:val="000000"/>
          <w:sz w:val="20"/>
        </w:rPr>
        <w:t>”</w:t>
      </w:r>
      <w:r>
        <w:rPr>
          <w:rFonts w:ascii="Times New Roman" w:hAnsi="Times New Roman"/>
          <w:b w:val="false"/>
          <w:color w:val="000000"/>
          <w:sz w:val="24"/>
        </w:rPr>
        <w:t xml:space="preserve">); in either case, such 3D or 4D Advertising Services, (x) will be properly conditioned to meet the specifications of AMC 3D or 4D equipment providers, and (y) LLC shall pay or reimburse AMC for any and all third party licensing fees incurred by AMC related to use of the 3D or 4D equipment in conjunction with 3D or 4D Advertising Services. Notwithstanding the foregoing, to the extent such Projection System has not become Digital Cinema Equipment in accordance with </w:t>
      </w:r>
      <w:r>
        <w:rPr>
          <w:rFonts w:ascii="Times New Roman" w:hAnsi="Times New Roman"/>
          <w:b w:val="false"/>
          <w:color w:val="000000"/>
          <w:sz w:val="24"/>
          <w:u w:val="single"/>
        </w:rPr>
        <w:t>Section 3.06</w:t>
      </w:r>
      <w:r>
        <w:rPr>
          <w:rFonts w:ascii="Times New Roman" w:hAnsi="Times New Roman"/>
          <w:b w:val="false"/>
          <w:color w:val="000000"/>
          <w:sz w:val="24"/>
        </w:rPr>
        <w:t>, LLC shall be responsible for providing such 3D or 4D Advertising Services in a form and format to be reasonably requested by AMC. In the event that LLC requests AMC to ingest and play 3D or 4D Advertising on AMC’s player, if there are incremental costs that are going to be incurred beyond AMC’s normal operating procedures then AMC and LLC must meet and agree on the appropriate reimbursement to be</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b w:val="false"/>
          <w:color w:val="000000"/>
          <w:sz w:val="24"/>
        </w:rPr>
      </w:pPr>
      <w:r>
        <w:rPr>
          <w:rFonts w:ascii="Times New Roman" w:hAnsi="Times New Roman"/>
          <w:b w:val="false"/>
          <w:color w:val="000000"/>
          <w:sz w:val="24"/>
        </w:rPr>
        <w:t>paid by LLC to AMC to offset such AMC incremental costs necessary to accommodate LLC’s request.</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(b) </w:t>
      </w:r>
      <w:r>
        <w:rPr>
          <w:rFonts w:ascii="Times New Roman" w:hAnsi="Times New Roman"/>
          <w:b w:val="false"/>
          <w:color w:val="000000"/>
          <w:sz w:val="24"/>
          <w:u w:val="single"/>
        </w:rPr>
        <w:t>3D Glasses</w:t>
      </w:r>
      <w:r>
        <w:rPr>
          <w:rFonts w:ascii="Times New Roman" w:hAnsi="Times New Roman"/>
          <w:b w:val="false"/>
          <w:color w:val="000000"/>
          <w:sz w:val="24"/>
        </w:rPr>
        <w:t>. LLC agrees that AMC will bear no expense with respect to 3D Glasses provided to theatre patrons to view 3D or 4D Advertising Services. In the case of 3D or 4D Advertising Services distributed prior to the presentation of 3D or 4D Content, LLC shall obtain any and all necessary consents to allow theatre patrons to use the 3D Glasses delivered to AMC by the provider of such 3D or 4D Content; provided that LLC shall be liable for, and, if necessary, reimburse AMC for, any and all costs imposed by such provider on either LLC or AMC for the use of 3D Glasses to view the 3D or 4D Advertising Services; provided, further, that if AMC agrees with such provider to purchase 3D Glasses in order to provide them to theatre patrons to view such 3D or 4D Content, then the Parties will negotiate in good faith a reasonable allocation of such costs between AMC and LLC, which costs shall include additional payroll or general and administrative costs incurred by AMC for inventory and storing such 3D Glasses for LLC. LLC will not interfere with the rights of AMC’s 3D or 4D service provider to advertise its business, products or services on storage bins for 3D Glasses, as set in the current agreement(s) between AMC and any 3D or 4D service provider, or between such 3D or 4D service provider and any distributor.</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(c) </w:t>
      </w:r>
      <w:r>
        <w:rPr>
          <w:rFonts w:ascii="Times New Roman" w:hAnsi="Times New Roman"/>
          <w:b w:val="false"/>
          <w:color w:val="000000"/>
          <w:sz w:val="24"/>
          <w:u w:val="single"/>
        </w:rPr>
        <w:t>Applicability of ESA Provisions</w:t>
      </w:r>
      <w:r>
        <w:rPr>
          <w:rFonts w:ascii="Times New Roman" w:hAnsi="Times New Roman"/>
          <w:b w:val="false"/>
          <w:color w:val="000000"/>
          <w:sz w:val="24"/>
        </w:rPr>
        <w:t xml:space="preserve">. All provisions of this Agreement, including the revenue provisions of </w:t>
      </w:r>
      <w:r>
        <w:rPr>
          <w:rFonts w:ascii="Times New Roman" w:hAnsi="Times New Roman"/>
          <w:b w:val="false"/>
          <w:color w:val="000000"/>
          <w:sz w:val="24"/>
          <w:u w:val="single"/>
        </w:rPr>
        <w:t>Article 2</w:t>
      </w:r>
      <w:r>
        <w:rPr>
          <w:rFonts w:ascii="Times New Roman" w:hAnsi="Times New Roman"/>
          <w:color w:val="000000"/>
          <w:sz w:val="20"/>
        </w:rPr>
        <w:t xml:space="preserve"> </w:t>
      </w:r>
      <w:r>
        <w:rPr>
          <w:rFonts w:ascii="Times New Roman" w:hAnsi="Times New Roman"/>
          <w:b w:val="false"/>
          <w:color w:val="000000"/>
          <w:sz w:val="24"/>
        </w:rPr>
        <w:t xml:space="preserve">and the content standards set forth in </w:t>
      </w:r>
      <w:r>
        <w:rPr>
          <w:rFonts w:ascii="Times New Roman" w:hAnsi="Times New Roman"/>
          <w:b w:val="false"/>
          <w:color w:val="000000"/>
          <w:sz w:val="24"/>
          <w:u w:val="single"/>
        </w:rPr>
        <w:t>Section 4.02</w:t>
      </w:r>
      <w:r>
        <w:rPr>
          <w:rFonts w:ascii="Times New Roman" w:hAnsi="Times New Roman"/>
          <w:b w:val="false"/>
          <w:color w:val="000000"/>
          <w:sz w:val="24"/>
        </w:rPr>
        <w:t>, will apply to any advertising on 3D Glasses, packaging for 3D Glasses and 3D Glasses recycling bins used by LLC in connection with the distribution of 3D or 4D Advertising Services. Advertising on 3D Glasses and packaging for 3D Glasses will be permitted only as approved by AMC in its sole and absolute discretion.</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4.16 </w:t>
      </w:r>
      <w:r>
        <w:rPr>
          <w:rFonts w:ascii="Times New Roman" w:hAnsi="Times New Roman"/>
          <w:color w:val="000000"/>
          <w:sz w:val="24"/>
          <w:u w:val="single"/>
        </w:rPr>
        <w:t>Digital Programming Event Simulcast</w:t>
      </w:r>
      <w:r>
        <w:rPr>
          <w:rFonts w:ascii="Times New Roman" w:hAnsi="Times New Roman"/>
          <w:b w:val="false"/>
          <w:color w:val="000000"/>
          <w:sz w:val="24"/>
        </w:rPr>
        <w:t>.</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color w:val="000000"/>
          <w:sz w:val="24"/>
          <w:u w:val="single"/>
        </w:rPr>
        <w:t>Definition</w:t>
      </w:r>
      <w:r>
        <w:rPr>
          <w:rFonts w:ascii="Times New Roman" w:hAnsi="Times New Roman"/>
          <w:b w:val="false"/>
          <w:color w:val="000000"/>
          <w:sz w:val="24"/>
        </w:rPr>
        <w:t>. If AMC exhibits a Digital Programming Event that is a simulcast of a live event across a broadcast (or cable, including pay-per-view) network or the Internet (the “</w:t>
      </w:r>
      <w:r>
        <w:rPr>
          <w:rFonts w:ascii="Times New Roman" w:hAnsi="Times New Roman"/>
          <w:color w:val="000000"/>
          <w:sz w:val="24"/>
        </w:rPr>
        <w:t>Digital Programming Event Simulcast</w:t>
      </w:r>
      <w:r>
        <w:rPr>
          <w:rFonts w:ascii="Times New Roman" w:hAnsi="Times New Roman"/>
          <w:color w:val="000000"/>
          <w:sz w:val="20"/>
        </w:rPr>
        <w:t>”</w:t>
      </w:r>
      <w:r>
        <w:rPr>
          <w:rFonts w:ascii="Times New Roman" w:hAnsi="Times New Roman"/>
          <w:b w:val="false"/>
          <w:color w:val="000000"/>
          <w:sz w:val="24"/>
        </w:rPr>
        <w:t>), then LLC acknowledges that Digital Programming Event Simulcasts may contain third- party advertising that is provided by the provider of such Digital Programming Event Simulcast as part of such simulcast. Any event that is delayed or previous recorded shall not be a Digital Programming Event Simulcast for purposes of this Agreement.</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(b) </w:t>
      </w:r>
      <w:r>
        <w:rPr>
          <w:rFonts w:ascii="Times New Roman" w:hAnsi="Times New Roman"/>
          <w:b w:val="false"/>
          <w:color w:val="000000"/>
          <w:sz w:val="24"/>
          <w:u w:val="single"/>
        </w:rPr>
        <w:t>Third-Party Advertising</w:t>
      </w:r>
      <w:r>
        <w:rPr>
          <w:rFonts w:ascii="Times New Roman" w:hAnsi="Times New Roman"/>
          <w:b w:val="false"/>
          <w:color w:val="000000"/>
          <w:sz w:val="24"/>
        </w:rPr>
        <w:t xml:space="preserve">. For clarification, to the extent that the content provider allows any third-party advertising, trademarks, service marks, logos or other branding and/or third-party mentions for products and services to be included in a Digital Programming Event Simulcast, other than that provided by an Event Distributor (as defined below), as between, AMC, Event Distributor and LLC, LLC shall have the exclusive right to provide Event Simulcast Advertising Services. LLC acknowledges that AMC shall require that any third-party advertising to be exhibited during a Digital Programming Event Simulcast be subject to content standards substantially similar to those contained in </w:t>
      </w:r>
      <w:r>
        <w:rPr>
          <w:rFonts w:ascii="Times New Roman" w:hAnsi="Times New Roman"/>
          <w:b w:val="false"/>
          <w:color w:val="000000"/>
          <w:sz w:val="24"/>
          <w:u w:val="single"/>
        </w:rPr>
        <w:t>Section 4.02</w:t>
      </w:r>
      <w:r>
        <w:rPr>
          <w:rFonts w:ascii="Times New Roman" w:hAnsi="Times New Roman"/>
          <w:color w:val="000000"/>
          <w:sz w:val="20"/>
        </w:rPr>
        <w:t xml:space="preserve"> </w:t>
      </w:r>
      <w:r>
        <w:rPr>
          <w:rFonts w:ascii="Times New Roman" w:hAnsi="Times New Roman"/>
          <w:b w:val="false"/>
          <w:color w:val="000000"/>
          <w:sz w:val="24"/>
        </w:rPr>
        <w:t xml:space="preserve">of this Agreement. If AMC grants the Event Distributor a waiver of compliance with one or more of such standards, AMC will give LLC written notice of such waiver at such time as the waiver is granted. LLC shall be deemed to be granted a waiver from compliance with the content standards of </w:t>
      </w:r>
      <w:r>
        <w:rPr>
          <w:rFonts w:ascii="Times New Roman" w:hAnsi="Times New Roman"/>
          <w:b w:val="false"/>
          <w:color w:val="000000"/>
          <w:sz w:val="24"/>
          <w:u w:val="single"/>
        </w:rPr>
        <w:t>Section 4.02</w:t>
      </w:r>
      <w:r>
        <w:rPr>
          <w:rFonts w:ascii="Times New Roman" w:hAnsi="Times New Roman"/>
          <w:color w:val="000000"/>
          <w:sz w:val="20"/>
        </w:rPr>
        <w:t xml:space="preserve"> </w:t>
      </w:r>
      <w:r>
        <w:rPr>
          <w:rFonts w:ascii="Times New Roman" w:hAnsi="Times New Roman"/>
          <w:b w:val="false"/>
          <w:color w:val="000000"/>
          <w:sz w:val="24"/>
        </w:rPr>
        <w:t>to the same extent for sole purposes of providing Event Simulcast Advertising Services for the Digital Programming Event Simulcast to which the waiver applies. If AMC or any of its Affiliates receives any compensation specifically for the</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broadcast of third-party advertising during a Digital Programming Event Simulcast, AMC or such Affiliate will pay LLC one hundred percent (100%) of such compensation. For example purposes only, the receipt of revenue from ticket sales or revenue from a content provider or a Sponsor for the purpose of hosting a Digital Programming Event Simulcast (and such revenue is not in any way attributable to the Inventory) will not be considered compensation for advertising that must be paid to LLC. The exhibition by AMC at the direction of an Event Distributor of any third-party advertising during a Digital Programming Event Simulcast shall be expressly permitted by LLC hereunder notwithstanding the provisions of </w:t>
      </w:r>
      <w:r>
        <w:rPr>
          <w:rFonts w:ascii="Times New Roman" w:hAnsi="Times New Roman"/>
          <w:b w:val="false"/>
          <w:color w:val="000000"/>
          <w:sz w:val="24"/>
          <w:u w:val="single"/>
        </w:rPr>
        <w:t>Section 2.04</w:t>
      </w:r>
      <w:r>
        <w:rPr>
          <w:rFonts w:ascii="Times New Roman" w:hAnsi="Times New Roman"/>
          <w:color w:val="000000"/>
          <w:sz w:val="20"/>
        </w:rPr>
        <w:t xml:space="preserve"> </w:t>
      </w:r>
      <w:r>
        <w:rPr>
          <w:rFonts w:ascii="Times New Roman" w:hAnsi="Times New Roman"/>
          <w:b w:val="false"/>
          <w:color w:val="000000"/>
          <w:sz w:val="24"/>
        </w:rPr>
        <w:t>hereof.</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(c) </w:t>
      </w:r>
      <w:r>
        <w:rPr>
          <w:rFonts w:ascii="Times New Roman" w:hAnsi="Times New Roman"/>
          <w:b w:val="false"/>
          <w:color w:val="000000"/>
          <w:sz w:val="24"/>
          <w:u w:val="single"/>
        </w:rPr>
        <w:t>No Liability</w:t>
      </w:r>
      <w:r>
        <w:rPr>
          <w:rFonts w:ascii="Times New Roman" w:hAnsi="Times New Roman"/>
          <w:b w:val="false"/>
          <w:color w:val="000000"/>
          <w:sz w:val="24"/>
        </w:rPr>
        <w:t>. LLC will have no liability of any kind under this Agreement for any content included in a Digital Programming Event Simulcast, unless, and only to the extent that, LLC provides Event Simulcast Advertising Services.</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4.17 </w:t>
      </w:r>
      <w:r>
        <w:rPr>
          <w:rFonts w:ascii="Times New Roman" w:hAnsi="Times New Roman"/>
          <w:color w:val="000000"/>
          <w:sz w:val="24"/>
          <w:u w:val="single"/>
        </w:rPr>
        <w:t>Event Sponsorships; Sponsor Message</w:t>
      </w:r>
      <w:r>
        <w:rPr>
          <w:rFonts w:ascii="Times New Roman" w:hAnsi="Times New Roman"/>
          <w:b w:val="false"/>
          <w:color w:val="000000"/>
          <w:sz w:val="24"/>
        </w:rPr>
        <w:t>.</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color w:val="000000"/>
          <w:sz w:val="24"/>
          <w:u w:val="single"/>
        </w:rPr>
        <w:t>Event Sponsorships</w:t>
      </w:r>
      <w:r>
        <w:rPr>
          <w:rFonts w:ascii="Times New Roman" w:hAnsi="Times New Roman"/>
          <w:b w:val="false"/>
          <w:color w:val="000000"/>
          <w:sz w:val="24"/>
        </w:rPr>
        <w:t xml:space="preserve">. LLC and AMC will work together in good faith to develop and sell Event Sponsorships for Digital Programming Events. No Sponsor for an Event Sponsorship may be a theatre or theatre circuit which is a competitor of AMC. Any Event Sponsorship provided by LLC shall be subject to the content standards of </w:t>
      </w:r>
      <w:r>
        <w:rPr>
          <w:rFonts w:ascii="Times New Roman" w:hAnsi="Times New Roman"/>
          <w:b w:val="false"/>
          <w:color w:val="000000"/>
          <w:sz w:val="24"/>
          <w:u w:val="single"/>
        </w:rPr>
        <w:t>Section 4.02</w:t>
      </w:r>
      <w:r>
        <w:rPr>
          <w:rFonts w:ascii="Times New Roman" w:hAnsi="Times New Roman"/>
          <w:color w:val="000000"/>
          <w:sz w:val="20"/>
        </w:rPr>
        <w:t xml:space="preserve"> </w:t>
      </w:r>
      <w:r>
        <w:rPr>
          <w:rFonts w:ascii="Times New Roman" w:hAnsi="Times New Roman"/>
          <w:b w:val="false"/>
          <w:color w:val="000000"/>
          <w:sz w:val="24"/>
        </w:rPr>
        <w:t>of this Agreement. LLC acknowledges that AMC shall require any Event Sponsorship provided by any third-party distributor of a Digital Programming Event (the “</w:t>
      </w:r>
      <w:r>
        <w:rPr>
          <w:rFonts w:ascii="Times New Roman" w:hAnsi="Times New Roman"/>
          <w:color w:val="000000"/>
          <w:sz w:val="24"/>
        </w:rPr>
        <w:t>Event Distributor</w:t>
      </w:r>
      <w:r>
        <w:rPr>
          <w:rFonts w:ascii="Times New Roman" w:hAnsi="Times New Roman"/>
          <w:color w:val="000000"/>
          <w:sz w:val="20"/>
        </w:rPr>
        <w:t>”</w:t>
      </w:r>
      <w:r>
        <w:rPr>
          <w:rFonts w:ascii="Times New Roman" w:hAnsi="Times New Roman"/>
          <w:b w:val="false"/>
          <w:color w:val="000000"/>
          <w:sz w:val="24"/>
        </w:rPr>
        <w:t xml:space="preserve">) to be subject to content standards substantially similar to those contained in </w:t>
      </w:r>
      <w:r>
        <w:rPr>
          <w:rFonts w:ascii="Times New Roman" w:hAnsi="Times New Roman"/>
          <w:b w:val="false"/>
          <w:color w:val="000000"/>
          <w:sz w:val="24"/>
          <w:u w:val="single"/>
        </w:rPr>
        <w:t>Section 4.02</w:t>
      </w:r>
      <w:r>
        <w:rPr>
          <w:rFonts w:ascii="Times New Roman" w:hAnsi="Times New Roman"/>
          <w:color w:val="000000"/>
          <w:sz w:val="20"/>
        </w:rPr>
        <w:t xml:space="preserve"> </w:t>
      </w:r>
      <w:r>
        <w:rPr>
          <w:rFonts w:ascii="Times New Roman" w:hAnsi="Times New Roman"/>
          <w:b w:val="false"/>
          <w:color w:val="000000"/>
          <w:sz w:val="24"/>
        </w:rPr>
        <w:t xml:space="preserve">of this Agreement. If AMC grants an Event Distributor a waiver of compliance with one or more of such standards, AMC will give LLC written notice of such waiver at such time as the waiver is granted. LLC shall be deemed to be granted a waiver from compliance with the content standards of </w:t>
      </w:r>
      <w:r>
        <w:rPr>
          <w:rFonts w:ascii="Times New Roman" w:hAnsi="Times New Roman"/>
          <w:b w:val="false"/>
          <w:color w:val="000000"/>
          <w:sz w:val="24"/>
          <w:u w:val="single"/>
        </w:rPr>
        <w:t>Section 4.02</w:t>
      </w:r>
      <w:r>
        <w:rPr>
          <w:rFonts w:ascii="Times New Roman" w:hAnsi="Times New Roman"/>
          <w:color w:val="000000"/>
          <w:sz w:val="20"/>
        </w:rPr>
        <w:t xml:space="preserve"> </w:t>
      </w:r>
      <w:r>
        <w:rPr>
          <w:rFonts w:ascii="Times New Roman" w:hAnsi="Times New Roman"/>
          <w:b w:val="false"/>
          <w:color w:val="000000"/>
          <w:sz w:val="24"/>
        </w:rPr>
        <w:t xml:space="preserve">to the same extent for purposes of the sale of advertising by LLC for such Event Sponsorship to which the waiver applies. The exhibition of third-party advertising relating to an Event Sponsorship by AMC at the direction of the Event Distributor shall be expressly permitted by LLC hereunder notwithstanding the provisions of </w:t>
      </w:r>
      <w:r>
        <w:rPr>
          <w:rFonts w:ascii="Times New Roman" w:hAnsi="Times New Roman"/>
          <w:b w:val="false"/>
          <w:color w:val="000000"/>
          <w:sz w:val="24"/>
          <w:u w:val="single"/>
        </w:rPr>
        <w:t>Section 2.04</w:t>
      </w:r>
      <w:r>
        <w:rPr>
          <w:rFonts w:ascii="Times New Roman" w:hAnsi="Times New Roman"/>
          <w:color w:val="000000"/>
          <w:sz w:val="20"/>
        </w:rPr>
        <w:t xml:space="preserve"> </w:t>
      </w:r>
      <w:r>
        <w:rPr>
          <w:rFonts w:ascii="Times New Roman" w:hAnsi="Times New Roman"/>
          <w:b w:val="false"/>
          <w:color w:val="000000"/>
          <w:sz w:val="24"/>
        </w:rPr>
        <w:t>hereof; provided however, that LLC shall have no liability of any kind under this Agreement for any content provided by the Event Distributor.</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(b) </w:t>
      </w:r>
      <w:r>
        <w:rPr>
          <w:rFonts w:ascii="Times New Roman" w:hAnsi="Times New Roman"/>
          <w:b w:val="false"/>
          <w:color w:val="000000"/>
          <w:sz w:val="24"/>
          <w:u w:val="single"/>
        </w:rPr>
        <w:t>Sponsor Message</w:t>
      </w:r>
      <w:r>
        <w:rPr>
          <w:rFonts w:ascii="Times New Roman" w:hAnsi="Times New Roman"/>
          <w:b w:val="false"/>
          <w:color w:val="000000"/>
          <w:sz w:val="24"/>
        </w:rPr>
        <w:t xml:space="preserve">. If LLC or an Event Distributor sell an Event Sponsorship for a Digital Programming Event, no third-party advertising, trademark, service mark, logo or other advertising or branding, including any third-party mentions for products and services, may be displayed, except a Sponsor Message may be included in the Event Trailer, Branded Slot, Lobby Entertainment Program, Lobby Promotion or as part of a Strategic Program, subject to the limits of </w:t>
      </w:r>
      <w:r>
        <w:rPr>
          <w:rFonts w:ascii="Times New Roman" w:hAnsi="Times New Roman"/>
          <w:b w:val="false"/>
          <w:color w:val="000000"/>
          <w:sz w:val="24"/>
          <w:u w:val="single"/>
        </w:rPr>
        <w:t>Section 4.06(b)</w:t>
      </w:r>
      <w:r>
        <w:rPr>
          <w:rFonts w:ascii="Times New Roman" w:hAnsi="Times New Roman"/>
          <w:b w:val="false"/>
          <w:color w:val="000000"/>
          <w:sz w:val="24"/>
        </w:rPr>
        <w:t>. Any Sponsor Message shall be limited to (a) up to 5 seconds per Sponsor and (b) not more than 10 seconds if there is more than one Sponsor setting forth a “sponsored by” or “presented by” mention. The Sponsor Message may include Sponsor’s logo and audio announcement or mention of the Sponsor’s name, subject to the limits in the previous sentence, and may not include any references of any kind to any of the Sponsor’s products or services. Under no circumstances will any Sponsor have the right to “pass-through” any of the marketing rights in the Event Sponsorship or Strategic Program.</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4.18 </w:t>
      </w:r>
      <w:r>
        <w:rPr>
          <w:rFonts w:ascii="Times New Roman" w:hAnsi="Times New Roman"/>
          <w:color w:val="000000"/>
          <w:sz w:val="24"/>
          <w:u w:val="single"/>
        </w:rPr>
        <w:t>Bar/Lounge Video Screens</w:t>
      </w:r>
      <w:r>
        <w:rPr>
          <w:rFonts w:ascii="Times New Roman" w:hAnsi="Times New Roman"/>
          <w:b w:val="false"/>
          <w:color w:val="000000"/>
          <w:sz w:val="24"/>
        </w:rPr>
        <w:t>. Notwithstanding anything herein to the contrary, AMC shall not be prohibited from placing video screens in its bar and/or lounge areas where alcoholic beverages are sold and such screens may display live</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broadcast/cable/streaming programming including such advertising as included with such live broadcast/cable/streaming programming (such screens, the “</w:t>
      </w:r>
      <w:r>
        <w:rPr>
          <w:rFonts w:ascii="Times New Roman" w:hAnsi="Times New Roman"/>
          <w:color w:val="000000"/>
          <w:sz w:val="24"/>
        </w:rPr>
        <w:t>Bar/Lounge Video Screens</w:t>
      </w:r>
      <w:r>
        <w:rPr>
          <w:rFonts w:ascii="Times New Roman" w:hAnsi="Times New Roman"/>
          <w:color w:val="000000"/>
          <w:sz w:val="20"/>
        </w:rPr>
        <w:t>”</w:t>
      </w:r>
      <w:r>
        <w:rPr>
          <w:rFonts w:ascii="Times New Roman" w:hAnsi="Times New Roman"/>
          <w:b w:val="false"/>
          <w:color w:val="000000"/>
          <w:sz w:val="24"/>
        </w:rPr>
        <w:t>). When not being used for the aforementioned programming, the Bar/Lounge Video Screens may, but are not required to, display the Lobby Entertainment Program where technically feasible, but AMC will not display any other content on the Bar/Lounge Video Screens.</w:t>
      </w:r>
    </w:p>
    <w:p>
      <w:pPr>
        <w:pStyle w:val="Heading1"/>
        <w:bidi w:val="0"/>
        <w:spacing w:before="240" w:after="283"/>
        <w:jc w:val="center"/>
        <w:rPr>
          <w:rFonts w:ascii="Times New Roman" w:hAnsi="Times New Roman"/>
          <w:sz w:val="20"/>
        </w:rPr>
      </w:pPr>
      <w:r>
        <w:rPr>
          <w:rFonts w:ascii="Times New Roman" w:hAnsi="Times New Roman"/>
          <w:color w:val="000000"/>
          <w:sz w:val="24"/>
        </w:rPr>
        <w:t xml:space="preserve">Article 5. </w:t>
        <w:br/>
        <w:br/>
      </w:r>
      <w:r>
        <w:rPr>
          <w:rFonts w:ascii="Times New Roman" w:hAnsi="Times New Roman"/>
          <w:color w:val="000000"/>
          <w:sz w:val="24"/>
          <w:u w:val="single"/>
        </w:rPr>
        <w:t>SUPPORT; MAKE GOODS</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5.01 </w:t>
      </w:r>
      <w:r>
        <w:rPr>
          <w:rFonts w:ascii="Times New Roman" w:hAnsi="Times New Roman"/>
          <w:color w:val="000000"/>
          <w:sz w:val="24"/>
          <w:u w:val="single"/>
        </w:rPr>
        <w:t>Software Support</w:t>
      </w:r>
      <w:r>
        <w:rPr>
          <w:rFonts w:ascii="Times New Roman" w:hAnsi="Times New Roman"/>
          <w:b w:val="false"/>
          <w:color w:val="000000"/>
          <w:sz w:val="24"/>
        </w:rPr>
        <w:t xml:space="preserve">. LLC reserves the right to request of AMC and agrees to consult with AMC during the Term on any proposed material changes or updates to the Software. LLC shall make available to AMC pursuant to the terms of the license in </w:t>
      </w:r>
      <w:r>
        <w:rPr>
          <w:rFonts w:ascii="Times New Roman" w:hAnsi="Times New Roman"/>
          <w:b w:val="false"/>
          <w:color w:val="000000"/>
          <w:sz w:val="24"/>
          <w:u w:val="single"/>
        </w:rPr>
        <w:t>Section 7.01</w:t>
      </w:r>
      <w:r>
        <w:rPr>
          <w:rFonts w:ascii="Times New Roman" w:hAnsi="Times New Roman"/>
          <w:color w:val="000000"/>
          <w:sz w:val="20"/>
        </w:rPr>
        <w:t xml:space="preserve"> </w:t>
      </w:r>
      <w:r>
        <w:rPr>
          <w:rFonts w:ascii="Times New Roman" w:hAnsi="Times New Roman"/>
          <w:b w:val="false"/>
          <w:color w:val="000000"/>
          <w:sz w:val="24"/>
        </w:rPr>
        <w:t>below all such updates or modifications to the Software. Unless otherwise agreed to in writing by LLC, AMC shall not permit any third party to perform or provide any maintenance or support services with respect to the LLC Equipment or the Software.</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5.02 </w:t>
      </w:r>
      <w:r>
        <w:rPr>
          <w:rFonts w:ascii="Times New Roman" w:hAnsi="Times New Roman"/>
          <w:color w:val="000000"/>
          <w:sz w:val="24"/>
          <w:u w:val="single"/>
        </w:rPr>
        <w:t>Cooperation</w:t>
      </w:r>
      <w:r>
        <w:rPr>
          <w:rFonts w:ascii="Times New Roman" w:hAnsi="Times New Roman"/>
          <w:b w:val="false"/>
          <w:color w:val="000000"/>
          <w:sz w:val="24"/>
        </w:rPr>
        <w:t>. AMC agrees to take all actions during the Term that are within its control and reasonably necessary to permit the delivery, exhibition and viewing of the Advertising Services in the Theatres on the terms and conditions set forth herein.</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5.03 </w:t>
      </w:r>
      <w:r>
        <w:rPr>
          <w:rFonts w:ascii="Times New Roman" w:hAnsi="Times New Roman"/>
          <w:color w:val="000000"/>
          <w:sz w:val="24"/>
          <w:u w:val="single"/>
        </w:rPr>
        <w:t>Make Goods</w:t>
      </w:r>
      <w:r>
        <w:rPr>
          <w:rFonts w:ascii="Times New Roman" w:hAnsi="Times New Roman"/>
          <w:b w:val="false"/>
          <w:color w:val="000000"/>
          <w:sz w:val="24"/>
        </w:rPr>
        <w:t xml:space="preserve">. In the event that any Inventory scheduled for exhibition pursuant to </w:t>
      </w:r>
      <w:r>
        <w:rPr>
          <w:rFonts w:ascii="Times New Roman" w:hAnsi="Times New Roman"/>
          <w:b w:val="false"/>
          <w:color w:val="000000"/>
          <w:sz w:val="24"/>
          <w:u w:val="single"/>
        </w:rPr>
        <w:t>Sections 4.05(a)</w:t>
      </w:r>
      <w:r>
        <w:rPr>
          <w:rFonts w:ascii="Times New Roman" w:hAnsi="Times New Roman"/>
          <w:color w:val="000000"/>
          <w:sz w:val="20"/>
        </w:rPr>
        <w:t xml:space="preserve"> </w:t>
      </w:r>
      <w:r>
        <w:rPr>
          <w:rFonts w:ascii="Times New Roman" w:hAnsi="Times New Roman"/>
          <w:b w:val="false"/>
          <w:color w:val="000000"/>
          <w:sz w:val="24"/>
        </w:rPr>
        <w:t xml:space="preserve">or </w:t>
      </w:r>
      <w:r>
        <w:rPr>
          <w:rFonts w:ascii="Times New Roman" w:hAnsi="Times New Roman"/>
          <w:b w:val="false"/>
          <w:color w:val="000000"/>
          <w:sz w:val="24"/>
          <w:u w:val="single"/>
        </w:rPr>
        <w:t>4.06</w:t>
      </w:r>
      <w:r>
        <w:rPr>
          <w:rFonts w:ascii="Times New Roman" w:hAnsi="Times New Roman"/>
          <w:color w:val="000000"/>
          <w:sz w:val="20"/>
        </w:rPr>
        <w:t xml:space="preserve"> </w:t>
      </w:r>
      <w:r>
        <w:rPr>
          <w:rFonts w:ascii="Times New Roman" w:hAnsi="Times New Roman"/>
          <w:b w:val="false"/>
          <w:color w:val="000000"/>
          <w:sz w:val="24"/>
        </w:rPr>
        <w:t>is not exhibited as scheduled, LLC shall take such action or provide such remedy as is required pursuant to the applicable AMC advertising agreement, including the exhibition of “make good” Inventory sufficient to achieve the level of Inventory content impressions necessary to satisfy any contractual obligations governing the exhibition of such Inventory. AMC acknowledges and agrees that such contractual obligations must have been timely disclosed to LLC in writing as a condition to the exercise of the foregoing exclusive right and remedy; such obligations as of the Execution Date have been provided by AMC to LLC in a separate letter. To the extent such third-party agreement prescribed a “make good” remedy, AMC agrees to make its Theatres (including screens and Lobby Screens, if applicable) available for the exhibition of such “make goods,” and LLC agrees to exhibit such “make goods” consistent with any contractual obligations of AMC concerning the exhibition of such “make goods.” LLC reserves the right to use excess or unsold Inventory as “make goods,” remnant advertising, other revenue generating advertising, public service announcements, and the like. Notwithstanding the foregoing, LLC shall only be required to make any payment of moneys (including a refund of amounts paid by the applicable advertiser) in the event that the reason that the applicable Inventory was not exhibited or was exhibited in an incorrect position was primarily a result of actions or inactions by LLC (or its designees or assigns) and the applicable advertising agreement does not allow, or LLC otherwise does not provide, a remedy of exhibition of “make good” Inventory.</w:t>
      </w:r>
    </w:p>
    <w:p>
      <w:pPr>
        <w:pStyle w:val="Heading1"/>
        <w:bidi w:val="0"/>
        <w:spacing w:before="240" w:after="283"/>
        <w:jc w:val="center"/>
        <w:rPr>
          <w:rFonts w:ascii="Times New Roman" w:hAnsi="Times New Roman"/>
          <w:sz w:val="20"/>
        </w:rPr>
      </w:pPr>
      <w:r>
        <w:rPr>
          <w:rFonts w:ascii="Times New Roman" w:hAnsi="Times New Roman"/>
          <w:color w:val="000000"/>
          <w:sz w:val="24"/>
        </w:rPr>
        <w:t xml:space="preserve">Article 6. </w:t>
        <w:br/>
        <w:br/>
      </w:r>
      <w:r>
        <w:rPr>
          <w:rFonts w:ascii="Times New Roman" w:hAnsi="Times New Roman"/>
          <w:color w:val="000000"/>
          <w:sz w:val="24"/>
          <w:u w:val="single"/>
        </w:rPr>
        <w:t>OTHER AGREEMENTS</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6.01 </w:t>
      </w:r>
      <w:r>
        <w:rPr>
          <w:rFonts w:ascii="Times New Roman" w:hAnsi="Times New Roman"/>
          <w:color w:val="000000"/>
          <w:sz w:val="24"/>
          <w:u w:val="single"/>
        </w:rPr>
        <w:t>Joint Venture Termination and Settlement Agreement</w:t>
      </w:r>
      <w:r>
        <w:rPr>
          <w:rFonts w:ascii="Times New Roman" w:hAnsi="Times New Roman"/>
          <w:b w:val="false"/>
          <w:color w:val="000000"/>
          <w:sz w:val="24"/>
        </w:rPr>
        <w:t xml:space="preserve">. On the Execution Date, LLC and AMC will enter into the Joint Venture Termination and Settlement and Release in the form attached hereto as </w:t>
      </w:r>
      <w:r>
        <w:rPr>
          <w:rFonts w:ascii="Times New Roman" w:hAnsi="Times New Roman"/>
          <w:b w:val="false"/>
          <w:color w:val="000000"/>
          <w:sz w:val="24"/>
          <w:u w:val="single"/>
        </w:rPr>
        <w:t>Exhibit C</w:t>
      </w:r>
      <w:r>
        <w:rPr>
          <w:rFonts w:ascii="Times New Roman" w:hAnsi="Times New Roman"/>
          <w:color w:val="000000"/>
          <w:sz w:val="20"/>
        </w:rPr>
        <w:t xml:space="preserve"> </w:t>
      </w:r>
      <w:r>
        <w:rPr>
          <w:rFonts w:ascii="Times New Roman" w:hAnsi="Times New Roman"/>
          <w:b w:val="false"/>
          <w:color w:val="000000"/>
          <w:sz w:val="24"/>
        </w:rPr>
        <w:t>(the “</w:t>
      </w:r>
      <w:r>
        <w:rPr>
          <w:rFonts w:ascii="Times New Roman" w:hAnsi="Times New Roman"/>
          <w:color w:val="000000"/>
          <w:sz w:val="24"/>
        </w:rPr>
        <w:t>Joint Venture Termination and</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color w:val="000000"/>
          <w:sz w:val="24"/>
        </w:rPr>
        <w:t>Settlement Agreement</w:t>
      </w:r>
      <w:r>
        <w:rPr>
          <w:rFonts w:ascii="Times New Roman" w:hAnsi="Times New Roman"/>
          <w:color w:val="000000"/>
          <w:sz w:val="20"/>
        </w:rPr>
        <w:t>”</w:t>
      </w:r>
      <w:r>
        <w:rPr>
          <w:rFonts w:ascii="Times New Roman" w:hAnsi="Times New Roman"/>
          <w:b w:val="false"/>
          <w:color w:val="000000"/>
          <w:sz w:val="24"/>
        </w:rPr>
        <w:t>). AMC will promptly take all action needed to cause any actions identified in the Settlement and Release to be dismissed with prejudice.</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6.02 </w:t>
      </w:r>
      <w:r>
        <w:rPr>
          <w:rFonts w:ascii="Times New Roman" w:hAnsi="Times New Roman"/>
          <w:color w:val="000000"/>
          <w:sz w:val="24"/>
          <w:u w:val="single"/>
        </w:rPr>
        <w:t>Digital Advertising Agreement</w:t>
      </w:r>
      <w:r>
        <w:rPr>
          <w:rFonts w:ascii="Times New Roman" w:hAnsi="Times New Roman"/>
          <w:b w:val="false"/>
          <w:color w:val="000000"/>
          <w:sz w:val="24"/>
        </w:rPr>
        <w:t>. LLC and AMC will use commercially reasonable efforts to negotiate a Digital Advertising Agreement covering AMC’s digital touchpoints with consumers on commercially reasonable terms in light of the Parties larger relationship (the “</w:t>
      </w:r>
      <w:r>
        <w:rPr>
          <w:rFonts w:ascii="Times New Roman" w:hAnsi="Times New Roman"/>
          <w:color w:val="000000"/>
          <w:sz w:val="24"/>
        </w:rPr>
        <w:t>Digital Advertising Agreement</w:t>
      </w:r>
      <w:r>
        <w:rPr>
          <w:rFonts w:ascii="Times New Roman" w:hAnsi="Times New Roman"/>
          <w:color w:val="000000"/>
          <w:sz w:val="20"/>
        </w:rPr>
        <w:t>”</w:t>
      </w:r>
      <w:r>
        <w:rPr>
          <w:rFonts w:ascii="Times New Roman" w:hAnsi="Times New Roman"/>
          <w:b w:val="false"/>
          <w:color w:val="000000"/>
          <w:sz w:val="24"/>
        </w:rPr>
        <w:t>).</w:t>
      </w:r>
    </w:p>
    <w:p>
      <w:pPr>
        <w:pStyle w:val="Heading1"/>
        <w:bidi w:val="0"/>
        <w:spacing w:before="240" w:after="283"/>
        <w:jc w:val="center"/>
        <w:rPr>
          <w:rFonts w:ascii="Times New Roman" w:hAnsi="Times New Roman"/>
          <w:sz w:val="20"/>
        </w:rPr>
      </w:pPr>
      <w:r>
        <w:rPr>
          <w:rFonts w:ascii="Times New Roman" w:hAnsi="Times New Roman"/>
          <w:color w:val="000000"/>
          <w:sz w:val="24"/>
        </w:rPr>
        <w:t xml:space="preserve">Article 7. </w:t>
        <w:br/>
        <w:br/>
      </w:r>
      <w:r>
        <w:rPr>
          <w:rFonts w:ascii="Times New Roman" w:hAnsi="Times New Roman"/>
          <w:color w:val="000000"/>
          <w:sz w:val="24"/>
          <w:u w:val="single"/>
        </w:rPr>
        <w:t>INTELLECTUAL PROPERTY</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7.01 </w:t>
      </w:r>
      <w:r>
        <w:rPr>
          <w:rFonts w:ascii="Times New Roman" w:hAnsi="Times New Roman"/>
          <w:color w:val="000000"/>
          <w:sz w:val="24"/>
          <w:u w:val="single"/>
        </w:rPr>
        <w:t>Software License</w:t>
      </w:r>
      <w:r>
        <w:rPr>
          <w:rFonts w:ascii="Times New Roman" w:hAnsi="Times New Roman"/>
          <w:b w:val="false"/>
          <w:color w:val="000000"/>
          <w:sz w:val="24"/>
        </w:rPr>
        <w:t>. Subject to the terms and conditions of this Agreement and the License Agreement, LLC hereby grants to AMC, and AMC hereby accepts, a non- exclusive, non-transferable, non-sublicenseable, limited license to install and execute the object code version of the Software solely for the limited purpose to receive, store, display and exhibit the Digital Content Service and the Digital Carousel, as applicable, on the LLC Equipment and the AMC Equipment solely in connection with its performance of and subject to all of the terms and conditions of this Agreement and only to the extent such Software is utilized by AMC.</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7.02 </w:t>
      </w:r>
      <w:r>
        <w:rPr>
          <w:rFonts w:ascii="Times New Roman" w:hAnsi="Times New Roman"/>
          <w:color w:val="000000"/>
          <w:sz w:val="24"/>
          <w:u w:val="single"/>
        </w:rPr>
        <w:t>License of the LLC Marks</w:t>
      </w:r>
      <w:r>
        <w:rPr>
          <w:rFonts w:ascii="Times New Roman" w:hAnsi="Times New Roman"/>
          <w:b w:val="false"/>
          <w:color w:val="000000"/>
          <w:sz w:val="24"/>
        </w:rPr>
        <w:t>.</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color w:val="000000"/>
          <w:sz w:val="24"/>
          <w:u w:val="single"/>
        </w:rPr>
        <w:t>Grant</w:t>
      </w:r>
      <w:r>
        <w:rPr>
          <w:rFonts w:ascii="Times New Roman" w:hAnsi="Times New Roman"/>
          <w:b w:val="false"/>
          <w:color w:val="000000"/>
          <w:sz w:val="24"/>
        </w:rPr>
        <w:t xml:space="preserve">. Subject to the terms and conditions of this Agreement and any guidelines or requirements provided in writing from time-to-time by LLC to AMC, LLC hereby grants at no additional cost to AMC, and AMC hereby accepts, a non-exclusive, non-transferable (except in connection with an assignment of this Agreement in accordance with </w:t>
      </w:r>
      <w:r>
        <w:rPr>
          <w:rFonts w:ascii="Times New Roman" w:hAnsi="Times New Roman"/>
          <w:b w:val="false"/>
          <w:color w:val="000000"/>
          <w:sz w:val="24"/>
          <w:u w:val="single"/>
        </w:rPr>
        <w:t>Section 15.08</w:t>
      </w:r>
      <w:r>
        <w:rPr>
          <w:rFonts w:ascii="Times New Roman" w:hAnsi="Times New Roman"/>
          <w:color w:val="000000"/>
          <w:sz w:val="20"/>
        </w:rPr>
        <w:t xml:space="preserve"> </w:t>
      </w:r>
      <w:r>
        <w:rPr>
          <w:rFonts w:ascii="Times New Roman" w:hAnsi="Times New Roman"/>
          <w:b w:val="false"/>
          <w:color w:val="000000"/>
          <w:sz w:val="24"/>
        </w:rPr>
        <w:t>hereof), nonsublicenseable, limited license (i) to use the LLC Marks solely in connection with its participation in the Advertising Services, as approved by LLC in writing in advance (which shall not be unreasonably or untimely withheld), and (ii) to use the LLC Marks in marketing or advertising materials (“</w:t>
      </w:r>
      <w:r>
        <w:rPr>
          <w:rFonts w:ascii="Times New Roman" w:hAnsi="Times New Roman"/>
          <w:color w:val="000000"/>
          <w:sz w:val="24"/>
        </w:rPr>
        <w:t>Marketing Materials</w:t>
      </w:r>
      <w:r>
        <w:rPr>
          <w:rFonts w:ascii="Times New Roman" w:hAnsi="Times New Roman"/>
          <w:color w:val="000000"/>
          <w:sz w:val="20"/>
        </w:rPr>
        <w:t>”</w:t>
      </w:r>
      <w:r>
        <w:rPr>
          <w:rFonts w:ascii="Times New Roman" w:hAnsi="Times New Roman"/>
          <w:b w:val="false"/>
          <w:color w:val="000000"/>
          <w:sz w:val="24"/>
        </w:rPr>
        <w:t>) that have been approved (which shall not be unreasonably or untimely withheld) by LLC pursuant to the terms hereof, provided and to the extent LLC shall have authorized AMC to promote the Advertising Services. AMC acknowledges that LLC is and shall remain the sole owner of the LLC Marks, including the goodwill of the business symbolized thereby. AMC recognizes the value of the goodwill associated with the LLC Marks and acknowledges and agrees that any goodwill arising out of the use of the LLC Marks or any of them by AMC shall inure to the sole benefit of LLC for all purposes hereof.</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(b) </w:t>
      </w:r>
      <w:r>
        <w:rPr>
          <w:rFonts w:ascii="Times New Roman" w:hAnsi="Times New Roman"/>
          <w:b w:val="false"/>
          <w:color w:val="000000"/>
          <w:sz w:val="24"/>
          <w:u w:val="single"/>
        </w:rPr>
        <w:t>Approval of Use</w:t>
      </w:r>
      <w:r>
        <w:rPr>
          <w:rFonts w:ascii="Times New Roman" w:hAnsi="Times New Roman"/>
          <w:b w:val="false"/>
          <w:color w:val="000000"/>
          <w:sz w:val="24"/>
        </w:rPr>
        <w:t>. Prior to using any Marketing Material or depicting or presenting any LLC Mark in or on any marketing or advertising material or otherwise, AMC shall submit a sample of such Marketing Material or other material to LLC for approval. LLC shall exercise commercially reasonable efforts to approve (which shall not be unreasonably withheld) or reject any such Marketing Material or other material submitted to it for review within five (5) business days from the date of receipt by LLC. AMC shall not use, publish, or distribute any Marketing Material or other material unless and until LLC has so approved it in writing. Upon receipt of such approval from LLC for a particular Marketing Material or other material, AMC shall not be obligated to submit to LLC substantially similar material for approval; provided, however, AMC shall timely furnish samples of all such material to LLC.</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(c) </w:t>
      </w:r>
      <w:r>
        <w:rPr>
          <w:rFonts w:ascii="Times New Roman" w:hAnsi="Times New Roman"/>
          <w:b w:val="false"/>
          <w:color w:val="000000"/>
          <w:sz w:val="24"/>
          <w:u w:val="single"/>
        </w:rPr>
        <w:t>Quality Standards</w:t>
      </w:r>
      <w:r>
        <w:rPr>
          <w:rFonts w:ascii="Times New Roman" w:hAnsi="Times New Roman"/>
          <w:b w:val="false"/>
          <w:color w:val="000000"/>
          <w:sz w:val="24"/>
        </w:rPr>
        <w:t>. Any and all use or exercise of rights by AMC with respect to the LLC Marks or any other trademark, tradename, service mark or service name provided by LLC to AMC for use in connection with the Advertising Services shall be in accordance with standards of quality and specifications prescribed by LLC from time to time (the “</w:t>
      </w:r>
      <w:r>
        <w:rPr>
          <w:rFonts w:ascii="Times New Roman" w:hAnsi="Times New Roman"/>
          <w:color w:val="000000"/>
          <w:sz w:val="24"/>
        </w:rPr>
        <w:t>LLC Quality Standards</w:t>
      </w:r>
      <w:r>
        <w:rPr>
          <w:rFonts w:ascii="Times New Roman" w:hAnsi="Times New Roman"/>
          <w:color w:val="000000"/>
          <w:sz w:val="20"/>
        </w:rPr>
        <w:t>”</w:t>
      </w:r>
      <w:r>
        <w:rPr>
          <w:rFonts w:ascii="Times New Roman" w:hAnsi="Times New Roman"/>
          <w:b w:val="false"/>
          <w:color w:val="000000"/>
          <w:sz w:val="24"/>
        </w:rPr>
        <w:t>) and which have been delivered to AMC. LLC shall have the right to change the LLC Quality Standards from time to time upon written notice to AMC, provided such modified LLC Quality Standards are equally and timely applied to any and all other exhibitors of the Advertising Services.</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(d) </w:t>
      </w:r>
      <w:r>
        <w:rPr>
          <w:rFonts w:ascii="Times New Roman" w:hAnsi="Times New Roman"/>
          <w:b w:val="false"/>
          <w:color w:val="000000"/>
          <w:sz w:val="24"/>
          <w:u w:val="single"/>
        </w:rPr>
        <w:t>Designation</w:t>
      </w:r>
      <w:r>
        <w:rPr>
          <w:rFonts w:ascii="Times New Roman" w:hAnsi="Times New Roman"/>
          <w:b w:val="false"/>
          <w:color w:val="000000"/>
          <w:sz w:val="24"/>
        </w:rPr>
        <w:t>. AMC shall cause the appropriate designation “(TM)” or “(SM)” or the registration symbol “(R)” to be placed adjacent to the LLC Marks in connection with the use thereof and to indicate such additional or alternative information as LLC shall specify from time to time concerning the use by AMC of the LLC Marks as such is, equally and timely communicated and applied to any and all other exhibitors of the Advertising Services.</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(e) </w:t>
      </w:r>
      <w:r>
        <w:rPr>
          <w:rFonts w:ascii="Times New Roman" w:hAnsi="Times New Roman"/>
          <w:b w:val="false"/>
          <w:color w:val="000000"/>
          <w:sz w:val="24"/>
          <w:u w:val="single"/>
        </w:rPr>
        <w:t>Right to Suspend Use</w:t>
      </w:r>
      <w:r>
        <w:rPr>
          <w:rFonts w:ascii="Times New Roman" w:hAnsi="Times New Roman"/>
          <w:b w:val="false"/>
          <w:color w:val="000000"/>
          <w:sz w:val="24"/>
        </w:rPr>
        <w:t>. AMC shall not use any LLC Mark in any manner that may reflect adversely on the image or quality symbolized by the LLC Mark, or that may be detrimental to the image or reputation of LLC. Notwithstanding anything herein to the contrary, LLC shall have the right, at its sole option, to terminate or suspend the trademark license grant provided herein if it determines that AMC’s use of the LLC Marks or any of them is in violation of its trademark usage guidelines or is otherwise disparaging to its image or reputation, and such use is not conformed to such guidelines and other reasonable requests of LLC within ten (10) days of receipt of written notice thereof.</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(f) </w:t>
      </w:r>
      <w:r>
        <w:rPr>
          <w:rFonts w:ascii="Times New Roman" w:hAnsi="Times New Roman"/>
          <w:b w:val="false"/>
          <w:color w:val="000000"/>
          <w:sz w:val="24"/>
          <w:u w:val="single"/>
        </w:rPr>
        <w:t>Use Limitations</w:t>
      </w:r>
      <w:r>
        <w:rPr>
          <w:rFonts w:ascii="Times New Roman" w:hAnsi="Times New Roman"/>
          <w:b w:val="false"/>
          <w:color w:val="000000"/>
          <w:sz w:val="24"/>
        </w:rPr>
        <w:t xml:space="preserve">. AMC agrees not to use (i) any trademark or service mark which is confusingly similar to, or a colorable imitation of, any LLC Mark or any part thereof, (ii) any trademark or service mark in combination with any LLC Mark, except in the case of the Brand as created by LLC under the terms of </w:t>
      </w:r>
      <w:r>
        <w:rPr>
          <w:rFonts w:ascii="Times New Roman" w:hAnsi="Times New Roman"/>
          <w:b w:val="false"/>
          <w:color w:val="000000"/>
          <w:sz w:val="24"/>
          <w:u w:val="single"/>
        </w:rPr>
        <w:t>Section 4.04(a)</w:t>
      </w:r>
      <w:r>
        <w:rPr>
          <w:rFonts w:ascii="Times New Roman" w:hAnsi="Times New Roman"/>
          <w:color w:val="000000"/>
          <w:sz w:val="20"/>
        </w:rPr>
        <w:t xml:space="preserve"> </w:t>
      </w:r>
      <w:r>
        <w:rPr>
          <w:rFonts w:ascii="Times New Roman" w:hAnsi="Times New Roman"/>
          <w:b w:val="false"/>
          <w:color w:val="000000"/>
          <w:sz w:val="24"/>
        </w:rPr>
        <w:t xml:space="preserve">or (iii) any LLC Mark in connection with or for the benefit of any product or service of any other Person or entity, except in the case of the Brand as created by LLC under the terms of </w:t>
      </w:r>
      <w:r>
        <w:rPr>
          <w:rFonts w:ascii="Times New Roman" w:hAnsi="Times New Roman"/>
          <w:b w:val="false"/>
          <w:color w:val="000000"/>
          <w:sz w:val="24"/>
          <w:u w:val="single"/>
        </w:rPr>
        <w:t>Section 4.04(a)</w:t>
      </w:r>
      <w:r>
        <w:rPr>
          <w:rFonts w:ascii="Times New Roman" w:hAnsi="Times New Roman"/>
          <w:b w:val="false"/>
          <w:color w:val="000000"/>
          <w:sz w:val="24"/>
        </w:rPr>
        <w:t>. AMC shall not engage in any conduct which may place LLC or any LLC Mark in a negative light or context, and shall not represent that it owns or has any interest in any LLC Mark other than as expressly granted herein, nor shall it contest or assist others in contesting the title or any rights of LLC (or any other owner) in and to any LLC Mark.</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(g) </w:t>
      </w:r>
      <w:r>
        <w:rPr>
          <w:rFonts w:ascii="Times New Roman" w:hAnsi="Times New Roman"/>
          <w:b w:val="false"/>
          <w:color w:val="000000"/>
          <w:sz w:val="24"/>
          <w:u w:val="single"/>
        </w:rPr>
        <w:t>Treatment</w:t>
      </w:r>
      <w:r>
        <w:rPr>
          <w:rFonts w:ascii="Times New Roman" w:hAnsi="Times New Roman"/>
          <w:b w:val="false"/>
          <w:color w:val="000000"/>
          <w:sz w:val="24"/>
        </w:rPr>
        <w:t xml:space="preserve">. With respect to all of LLC’s approvals, rights and otherwise under this </w:t>
      </w:r>
      <w:r>
        <w:rPr>
          <w:rFonts w:ascii="Times New Roman" w:hAnsi="Times New Roman"/>
          <w:b w:val="false"/>
          <w:color w:val="000000"/>
          <w:sz w:val="24"/>
          <w:u w:val="single"/>
        </w:rPr>
        <w:t>Section 7.02</w:t>
      </w:r>
      <w:r>
        <w:rPr>
          <w:rFonts w:ascii="Times New Roman" w:hAnsi="Times New Roman"/>
          <w:b w:val="false"/>
          <w:color w:val="000000"/>
          <w:sz w:val="24"/>
        </w:rPr>
        <w:t>, LLC shall treat AMC at least as favorably with respect to each instance as it has for any other exhibitor of the Advertising Services.</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7.03 </w:t>
      </w:r>
      <w:r>
        <w:rPr>
          <w:rFonts w:ascii="Times New Roman" w:hAnsi="Times New Roman"/>
          <w:color w:val="000000"/>
          <w:sz w:val="24"/>
          <w:u w:val="single"/>
        </w:rPr>
        <w:t>License of the AMC Marks</w:t>
      </w:r>
      <w:r>
        <w:rPr>
          <w:rFonts w:ascii="Times New Roman" w:hAnsi="Times New Roman"/>
          <w:b w:val="false"/>
          <w:color w:val="000000"/>
          <w:sz w:val="24"/>
        </w:rPr>
        <w:t>.</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color w:val="000000"/>
          <w:sz w:val="24"/>
          <w:u w:val="single"/>
        </w:rPr>
        <w:t>Grant</w:t>
      </w:r>
      <w:r>
        <w:rPr>
          <w:rFonts w:ascii="Times New Roman" w:hAnsi="Times New Roman"/>
          <w:b w:val="false"/>
          <w:color w:val="000000"/>
          <w:sz w:val="24"/>
        </w:rPr>
        <w:t xml:space="preserve">. Subject to the terms and conditions of this Agreement, and any guidelines or requirements provided in writing from time-to-time by AMC to LLC, AMC hereby grants at no cost to LLC, and LLC hereby accepts, a non-exclusive, non-transferable (except in connection with an assignment of this Agreement in accordance with </w:t>
      </w:r>
      <w:r>
        <w:rPr>
          <w:rFonts w:ascii="Times New Roman" w:hAnsi="Times New Roman"/>
          <w:b w:val="false"/>
          <w:color w:val="000000"/>
          <w:sz w:val="24"/>
          <w:u w:val="single"/>
        </w:rPr>
        <w:t>Section 15.08</w:t>
      </w:r>
      <w:r>
        <w:rPr>
          <w:rFonts w:ascii="Times New Roman" w:hAnsi="Times New Roman"/>
          <w:color w:val="000000"/>
          <w:sz w:val="20"/>
        </w:rPr>
        <w:t xml:space="preserve"> </w:t>
      </w:r>
      <w:r>
        <w:rPr>
          <w:rFonts w:ascii="Times New Roman" w:hAnsi="Times New Roman"/>
          <w:b w:val="false"/>
          <w:color w:val="000000"/>
          <w:sz w:val="24"/>
        </w:rPr>
        <w:t>hereof), nonsublicenseable, limited license (i) to use the AMC Marks solely in connection with its delivery of the Advertising Services, as approved (which shall not be unreasonably or untimely withheld) by AMC in writing in advance, and (ii) to use the AMC Marks in Marketing Materials that have been approved (which shall not be unreasonably or untimely</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b w:val="false"/>
          <w:color w:val="000000"/>
          <w:sz w:val="24"/>
        </w:rPr>
      </w:pPr>
      <w:r>
        <w:rPr>
          <w:rFonts w:ascii="Times New Roman" w:hAnsi="Times New Roman"/>
          <w:b w:val="false"/>
          <w:color w:val="000000"/>
          <w:sz w:val="24"/>
        </w:rPr>
        <w:t>withheld) by AMC pursuant to the terms hereof. LLC acknowledges that AMC is and shall remain the sole owner of the AMC Marks, including the goodwill of the business symbolized thereby. LLC recognizes the value of the goodwill associated with the AMC Marks and acknowledges and agrees that any goodwill arising out of the use of the AMC Marks by LLC shall inure to the sole benefit of AMC for all purposes hereof.</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(b) </w:t>
      </w:r>
      <w:r>
        <w:rPr>
          <w:rFonts w:ascii="Times New Roman" w:hAnsi="Times New Roman"/>
          <w:b w:val="false"/>
          <w:color w:val="000000"/>
          <w:sz w:val="24"/>
          <w:u w:val="single"/>
        </w:rPr>
        <w:t>Approval of Use</w:t>
      </w:r>
      <w:r>
        <w:rPr>
          <w:rFonts w:ascii="Times New Roman" w:hAnsi="Times New Roman"/>
          <w:b w:val="false"/>
          <w:color w:val="000000"/>
          <w:sz w:val="24"/>
        </w:rPr>
        <w:t>. Prior to using any Marketing Material or depicting or presenting any AMC Mark in or on any marketing or advertising material or otherwise, LLC shall submit a sample of such Marketing Material or other material to AMC for approval. AMC shall exercise commercially reasonable efforts to approve (which shall not be unreasonably withheld) or reject any such Marketing Material or other material submitted to it for review within five (5) business days from the date of receipt by AMC LLC shall not use, publish, or distribute any Marketing Material or other material unless and until AMC has so approved it in writing. Upon receipt of such approval from AMC for a particular Marketing Material or other material, LLC shall not be obligated to submit to AMC substantially similar material for approval; provided, however, LLC shall timely furnish samples of all such material to AMC.</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(c) </w:t>
      </w:r>
      <w:r>
        <w:rPr>
          <w:rFonts w:ascii="Times New Roman" w:hAnsi="Times New Roman"/>
          <w:b w:val="false"/>
          <w:color w:val="000000"/>
          <w:sz w:val="24"/>
          <w:u w:val="single"/>
        </w:rPr>
        <w:t>Quality Standards</w:t>
      </w:r>
      <w:r>
        <w:rPr>
          <w:rFonts w:ascii="Times New Roman" w:hAnsi="Times New Roman"/>
          <w:b w:val="false"/>
          <w:color w:val="000000"/>
          <w:sz w:val="24"/>
        </w:rPr>
        <w:t>. Any and all use or exercise of rights by LLC with respect to the AMC Marks or any other trademark, tradename, service mark or service name provided by AMC to LLC for use in connection with the Advertising Services shall be in accordance with standards of quality and specifications prescribed by AMC from time to time (the “</w:t>
      </w:r>
      <w:r>
        <w:rPr>
          <w:rFonts w:ascii="Times New Roman" w:hAnsi="Times New Roman"/>
          <w:color w:val="000000"/>
          <w:sz w:val="24"/>
        </w:rPr>
        <w:t>AMC Quality Standards</w:t>
      </w:r>
      <w:r>
        <w:rPr>
          <w:rFonts w:ascii="Times New Roman" w:hAnsi="Times New Roman"/>
          <w:color w:val="000000"/>
          <w:sz w:val="20"/>
        </w:rPr>
        <w:t>”</w:t>
      </w:r>
      <w:r>
        <w:rPr>
          <w:rFonts w:ascii="Times New Roman" w:hAnsi="Times New Roman"/>
          <w:b w:val="false"/>
          <w:color w:val="000000"/>
          <w:sz w:val="24"/>
        </w:rPr>
        <w:t>) and provided to LLC. AMC shall have the right to change the AMC Quality Standards from time to time upon written notice to LLC.</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(d) </w:t>
      </w:r>
      <w:r>
        <w:rPr>
          <w:rFonts w:ascii="Times New Roman" w:hAnsi="Times New Roman"/>
          <w:b w:val="false"/>
          <w:color w:val="000000"/>
          <w:sz w:val="24"/>
          <w:u w:val="single"/>
        </w:rPr>
        <w:t>Designation</w:t>
      </w:r>
      <w:r>
        <w:rPr>
          <w:rFonts w:ascii="Times New Roman" w:hAnsi="Times New Roman"/>
          <w:b w:val="false"/>
          <w:color w:val="000000"/>
          <w:sz w:val="24"/>
        </w:rPr>
        <w:t>. LLC shall cause the appropriate designation “(TM)” or “(SM)” or the registration symbol “(R)” to be placed adjacent to the AMC Marks in connection with the use thereof and to indicate such additional or alternative information as AMC shall specify from time to time concerning the use by LLC of the AMC Marks as such is equally and timely communicated and applied to any and all other licensees of the AMC Marks.</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(e) </w:t>
      </w:r>
      <w:r>
        <w:rPr>
          <w:rFonts w:ascii="Times New Roman" w:hAnsi="Times New Roman"/>
          <w:b w:val="false"/>
          <w:color w:val="000000"/>
          <w:sz w:val="24"/>
          <w:u w:val="single"/>
        </w:rPr>
        <w:t>Right to Suspend Use</w:t>
      </w:r>
      <w:r>
        <w:rPr>
          <w:rFonts w:ascii="Times New Roman" w:hAnsi="Times New Roman"/>
          <w:b w:val="false"/>
          <w:color w:val="000000"/>
          <w:sz w:val="24"/>
        </w:rPr>
        <w:t>. LLC shall not use any AMC Mark in any manner that may reflect adversely on the image or quality symbolized by the AMC Mark, or that may be detrimental to the image or reputation of AMC. Notwithstanding anything herein to the contrary, AMC shall have the right, at its sole option, to terminate or suspend the trademark license grant provided herein if it determines that LLC’s use of the AMC Marks or any of them is in violation of its trademark usage guidelines or is otherwise disparaging to its image or reputation, and such use is not conformed to such guidelines and other reasonable requests of AMC within ten (10) days of receipt of written notice thereof.</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(f) </w:t>
      </w:r>
      <w:r>
        <w:rPr>
          <w:rFonts w:ascii="Times New Roman" w:hAnsi="Times New Roman"/>
          <w:b w:val="false"/>
          <w:color w:val="000000"/>
          <w:sz w:val="24"/>
          <w:u w:val="single"/>
        </w:rPr>
        <w:t>Use Limitations</w:t>
      </w:r>
      <w:r>
        <w:rPr>
          <w:rFonts w:ascii="Times New Roman" w:hAnsi="Times New Roman"/>
          <w:b w:val="false"/>
          <w:color w:val="000000"/>
          <w:sz w:val="24"/>
        </w:rPr>
        <w:t>. LLC agrees not to use (i) any trademark or service mark which is confusingly similar to, or a colorable imitation of, any AMC Mark or any part thereof, (ii) any trademark or service mark in combination with any AMC Mark, except for the LLC Marks as permitted under this Agreement or (iii) any AMC Mark in connection with or for the, benefit of any product or service of any other Person or entity, except for the LLC Marks as permitted under this Agreement. LLC shall not engage in any conduct which may place AMC or any AMC Mark in a negative light or context, and shall not represent that it owns or has any interest in any AMC Mark other than as expressly granted herein, nor shall</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b w:val="false"/>
          <w:color w:val="000000"/>
          <w:sz w:val="24"/>
        </w:rPr>
      </w:pPr>
      <w:r>
        <w:rPr>
          <w:rFonts w:ascii="Times New Roman" w:hAnsi="Times New Roman"/>
          <w:b w:val="false"/>
          <w:color w:val="000000"/>
          <w:sz w:val="24"/>
        </w:rPr>
        <w:t>it contest or assist others in contesting the title or any rights of AMC (or any other owner) in and to any AMC Mark.</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7.04 </w:t>
      </w:r>
      <w:r>
        <w:rPr>
          <w:rFonts w:ascii="Times New Roman" w:hAnsi="Times New Roman"/>
          <w:color w:val="000000"/>
          <w:sz w:val="24"/>
          <w:u w:val="single"/>
        </w:rPr>
        <w:t>Status of the LLC Marks and AMC Marks</w:t>
      </w:r>
      <w:r>
        <w:rPr>
          <w:rFonts w:ascii="Times New Roman" w:hAnsi="Times New Roman"/>
          <w:b w:val="false"/>
          <w:color w:val="000000"/>
          <w:sz w:val="24"/>
        </w:rPr>
        <w:t>. Without expanding the rights and licenses granted under this Agreement, the Parties acknowledge and agree that (a) the rights and licenses granted under this Agreement to use the LLC Marks and AMC Marks permit the use of the AMC Marks in combination or connection with the LLC Marks, (b) the use of the AMC Marks in combination or connection with the LLC Marks, whether in the Brand, Policy Trailer, Branded Slots, Marketing Materials or otherwise in connection with the participation in or delivery of the Advertising Services, will not be deemed to create a composite or combination mark consisting of the AMC Marks and the LLC Marks, but instead will be deemed to create and will be treated by the Parties as creating a simultaneous use of the LLC Marks and AMC Marks as multiple separate and distinct trademarks or service marks, (c) neither Party will claim or assert any rights in a composite mark consisting of elements of the LLC Marks and AMC Marks, and (d) all use of the AMC Marks and the LLC Marks under this Agreement will be subject to the provisions regarding the use and ownership of the AMC Marks and LLC Marks contained in this Agreement.</w:t>
      </w:r>
    </w:p>
    <w:p>
      <w:pPr>
        <w:pStyle w:val="Heading1"/>
        <w:bidi w:val="0"/>
        <w:spacing w:before="240" w:after="283"/>
        <w:jc w:val="center"/>
        <w:rPr>
          <w:rFonts w:ascii="Times New Roman" w:hAnsi="Times New Roman"/>
          <w:sz w:val="20"/>
        </w:rPr>
      </w:pPr>
      <w:r>
        <w:rPr>
          <w:rFonts w:ascii="Times New Roman" w:hAnsi="Times New Roman"/>
          <w:color w:val="000000"/>
          <w:sz w:val="24"/>
        </w:rPr>
        <w:t xml:space="preserve">Article 8. </w:t>
        <w:br/>
        <w:br/>
      </w:r>
      <w:r>
        <w:rPr>
          <w:rFonts w:ascii="Times New Roman" w:hAnsi="Times New Roman"/>
          <w:color w:val="000000"/>
          <w:sz w:val="24"/>
          <w:u w:val="single"/>
        </w:rPr>
        <w:t>FEES</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8.01 </w:t>
      </w:r>
      <w:r>
        <w:rPr>
          <w:rFonts w:ascii="Times New Roman" w:hAnsi="Times New Roman"/>
          <w:color w:val="000000"/>
          <w:sz w:val="24"/>
          <w:u w:val="single"/>
        </w:rPr>
        <w:t>Payment</w:t>
      </w:r>
      <w:r>
        <w:rPr>
          <w:rFonts w:ascii="Times New Roman" w:hAnsi="Times New Roman"/>
          <w:b w:val="false"/>
          <w:color w:val="000000"/>
          <w:sz w:val="24"/>
        </w:rPr>
        <w:t xml:space="preserve">. Except as otherwise provided in this Agreement (e.g., payment of the Revenue Share, Platinum Revenue Share, Lobby Revenue Share, Political Revenue Share and Minimum Guarantee pursuant to </w:t>
      </w:r>
      <w:r>
        <w:rPr>
          <w:rFonts w:ascii="Times New Roman" w:hAnsi="Times New Roman"/>
          <w:b w:val="false"/>
          <w:color w:val="000000"/>
          <w:sz w:val="24"/>
          <w:u w:val="single"/>
        </w:rPr>
        <w:t>Section 2.05</w:t>
      </w:r>
      <w:r>
        <w:rPr>
          <w:rFonts w:ascii="Times New Roman" w:hAnsi="Times New Roman"/>
          <w:color w:val="000000"/>
          <w:sz w:val="20"/>
        </w:rPr>
        <w:t xml:space="preserve"> </w:t>
      </w:r>
      <w:r>
        <w:rPr>
          <w:rFonts w:ascii="Times New Roman" w:hAnsi="Times New Roman"/>
          <w:b w:val="false"/>
          <w:color w:val="000000"/>
          <w:sz w:val="24"/>
        </w:rPr>
        <w:t xml:space="preserve">and Beverage Advertising Agreement Rate pursuant to </w:t>
      </w:r>
      <w:r>
        <w:rPr>
          <w:rFonts w:ascii="Times New Roman" w:hAnsi="Times New Roman"/>
          <w:b w:val="false"/>
          <w:color w:val="000000"/>
          <w:sz w:val="24"/>
          <w:u w:val="single"/>
        </w:rPr>
        <w:t>Section 4.05</w:t>
      </w:r>
      <w:r>
        <w:rPr>
          <w:rFonts w:ascii="Times New Roman" w:hAnsi="Times New Roman"/>
          <w:b w:val="false"/>
          <w:color w:val="000000"/>
          <w:sz w:val="24"/>
        </w:rPr>
        <w:t>), all amounts due by one Party to the other under this Agreement shall be paid in full within thirty (30) days after the receipt by the paying Party of an invoice therefor. Each Party agrees that invoices for amounts payable by the other Party will not be issued until the event triggering such payment obligation has occurred, or the condition triggering such payment obligation has been satisfied, as applicable. LLC may set off or recoup any amounts owed by LLC to AMC under this agreement against any amounts that LLC determines in good faith is owed by AMC to LLC under this Agreement.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8.02 </w:t>
      </w:r>
      <w:r>
        <w:rPr>
          <w:rFonts w:ascii="Times New Roman" w:hAnsi="Times New Roman"/>
          <w:color w:val="000000"/>
          <w:sz w:val="24"/>
          <w:u w:val="single"/>
        </w:rPr>
        <w:t>Administrative Fee</w:t>
      </w:r>
      <w:r>
        <w:rPr>
          <w:rFonts w:ascii="Times New Roman" w:hAnsi="Times New Roman"/>
          <w:b w:val="false"/>
          <w:color w:val="000000"/>
          <w:sz w:val="24"/>
        </w:rPr>
        <w:t xml:space="preserve">. AMC may request the right to use the Digital Content Network for the delivery of any Digital Programming Events, Event Trailers, Trailers, PSA Trailers, meeting events or other entertainment content programming and, if such use is acceptable to LLC, AMC shall pay an Administrative Fee for such use as set forth in </w:t>
      </w:r>
      <w:r>
        <w:rPr>
          <w:rFonts w:ascii="Times New Roman" w:hAnsi="Times New Roman"/>
          <w:b w:val="false"/>
          <w:color w:val="000000"/>
          <w:sz w:val="24"/>
          <w:u w:val="single"/>
        </w:rPr>
        <w:t>Exhibit B</w:t>
      </w:r>
      <w:r>
        <w:rPr>
          <w:rFonts w:ascii="Times New Roman" w:hAnsi="Times New Roman"/>
          <w:b w:val="false"/>
          <w:color w:val="000000"/>
          <w:sz w:val="24"/>
        </w:rPr>
        <w: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8.03 </w:t>
      </w:r>
      <w:r>
        <w:rPr>
          <w:rFonts w:ascii="Times New Roman" w:hAnsi="Times New Roman"/>
          <w:color w:val="000000"/>
          <w:sz w:val="24"/>
          <w:u w:val="single"/>
        </w:rPr>
        <w:t>Audit</w:t>
      </w:r>
      <w:r>
        <w:rPr>
          <w:rFonts w:ascii="Times New Roman" w:hAnsi="Times New Roman"/>
          <w:b w:val="false"/>
          <w:color w:val="000000"/>
          <w:sz w:val="24"/>
        </w:rPr>
        <w:t>. Each Party shall keep and maintain accurate books and records of all matters relating to the performance of its obligations hereunder, including without limitation the sale of advertising, in accordance with generally accepted accounting principles. During the Term and for a period of one (1) year thereafter, each Party, at its sole expense, shall, upon reasonable advance written notice from the other Party, make such books and records (redacted, as applicable, to provide information relative to the Advertising Services and this Agreement) available at its offices for inspection and audit by the other Party, its employees and agents. Any audit with respect to amounts payable by either Party to the other Party under this Agreement shall be limited to an audit with respect to amounts to be paid in the current Fiscal Year and immediately preceding Fiscal Year only. Any period that has been audited pursuant to this section shall not be subject to any further audit. In the event an audit of the</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b w:val="false"/>
          <w:color w:val="000000"/>
          <w:sz w:val="24"/>
        </w:rPr>
      </w:pPr>
      <w:r>
        <w:rPr>
          <w:rFonts w:ascii="Times New Roman" w:hAnsi="Times New Roman"/>
          <w:b w:val="false"/>
          <w:color w:val="000000"/>
          <w:sz w:val="24"/>
        </w:rPr>
        <w:t>books and records of a Party reveals an underpayment to the other Party, the audited Party shall pay to the other Party the amount of such underpayment within 30 days of the completion of the audit. If such audit determines that the underage in payments paid to a Party were in the aggregate in excess of five percent (5%) of the payments owed, the Party owing the payment shall, in addition to making the payment set forth above, reimburse the Party receiving the payment for all reasonable costs, expenses and fees incurred in connection with such audit. Any disputes between the Parties relating to the calculation of amounts owed shall be referred to a mutually satisfactory independent public accounting firm that has not been employed by either Party for the two (2) year period immediately preceding the date of such referral. The determination of such firm shall be conclusive and binding on each Party, and judgment upon any such determination can be entered in any court having jurisdiction over the matter. Each Party shall bear one-half of the fees of such firm. If the Parties cannot select such accounting firm, then the selection of such accounting firm shall be made by the American Arbitration Association located in New York, New York. In addition to the foregoing audit rights of the Parties, during the Term, LLC and its authorized agents shall have the right, upon reasonable advance notice, to inspect any AMC premises or facilities involved in the performance of this Agreement to confirm the performance and satisfaction of AMC’s obligations hereunder.</w:t>
      </w:r>
    </w:p>
    <w:p>
      <w:pPr>
        <w:pStyle w:val="Heading1"/>
        <w:bidi w:val="0"/>
        <w:spacing w:before="240" w:after="283"/>
        <w:jc w:val="center"/>
        <w:rPr>
          <w:rFonts w:ascii="Times New Roman" w:hAnsi="Times New Roman"/>
          <w:sz w:val="20"/>
        </w:rPr>
      </w:pPr>
      <w:r>
        <w:rPr>
          <w:rFonts w:ascii="Times New Roman" w:hAnsi="Times New Roman"/>
          <w:color w:val="000000"/>
          <w:sz w:val="24"/>
        </w:rPr>
        <w:t xml:space="preserve">Article 9. </w:t>
      </w:r>
      <w:r>
        <w:rPr>
          <w:rFonts w:ascii="Times New Roman" w:hAnsi="Times New Roman"/>
          <w:color w:val="000000"/>
          <w:sz w:val="24"/>
          <w:u w:val="single"/>
        </w:rPr>
        <w:br/>
        <w:br/>
        <w:t>TERM AND TERMINATION</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9.01 </w:t>
      </w:r>
      <w:r>
        <w:rPr>
          <w:rFonts w:ascii="Times New Roman" w:hAnsi="Times New Roman"/>
          <w:color w:val="000000"/>
          <w:sz w:val="24"/>
          <w:u w:val="single"/>
        </w:rPr>
        <w:t>Term</w:t>
      </w:r>
      <w:r>
        <w:rPr>
          <w:rFonts w:ascii="Times New Roman" w:hAnsi="Times New Roman"/>
          <w:b w:val="false"/>
          <w:color w:val="000000"/>
          <w:sz w:val="24"/>
        </w:rPr>
        <w:t>. Unless earlier terminated as provided below, the term of this Agreement shall begin on the Execution Date and shall continue through February 13, 2042 (the “</w:t>
      </w:r>
      <w:r>
        <w:rPr>
          <w:rFonts w:ascii="Times New Roman" w:hAnsi="Times New Roman"/>
          <w:color w:val="000000"/>
          <w:sz w:val="24"/>
        </w:rPr>
        <w:t>Initial Term</w:t>
      </w:r>
      <w:r>
        <w:rPr>
          <w:rFonts w:ascii="Times New Roman" w:hAnsi="Times New Roman"/>
          <w:color w:val="000000"/>
          <w:sz w:val="20"/>
        </w:rPr>
        <w:t>”</w:t>
      </w:r>
      <w:r>
        <w:rPr>
          <w:rFonts w:ascii="Times New Roman" w:hAnsi="Times New Roman"/>
          <w:b w:val="false"/>
          <w:color w:val="000000"/>
          <w:sz w:val="24"/>
        </w:rPr>
        <w:t>), after which the Parties shall have the right to renew this Agreement on the terms as set forth in this Agreement for continuous, successive five-year periods upon mutual agreement (each, a “</w:t>
      </w:r>
      <w:r>
        <w:rPr>
          <w:rFonts w:ascii="Times New Roman" w:hAnsi="Times New Roman"/>
          <w:color w:val="000000"/>
          <w:sz w:val="24"/>
        </w:rPr>
        <w:t>Renewal Term</w:t>
      </w:r>
      <w:r>
        <w:rPr>
          <w:rFonts w:ascii="Times New Roman" w:hAnsi="Times New Roman"/>
          <w:b w:val="false"/>
          <w:color w:val="000000"/>
          <w:sz w:val="24"/>
        </w:rPr>
        <w:t>,” and together with the Initial Term, the “</w:t>
      </w:r>
      <w:r>
        <w:rPr>
          <w:rFonts w:ascii="Times New Roman" w:hAnsi="Times New Roman"/>
          <w:color w:val="000000"/>
          <w:sz w:val="24"/>
        </w:rPr>
        <w:t>Term</w:t>
      </w:r>
      <w:r>
        <w:rPr>
          <w:rFonts w:ascii="Times New Roman" w:hAnsi="Times New Roman"/>
          <w:color w:val="000000"/>
          <w:sz w:val="20"/>
        </w:rPr>
        <w:t>”</w:t>
      </w:r>
      <w:r>
        <w:rPr>
          <w:rFonts w:ascii="Times New Roman" w:hAnsi="Times New Roman"/>
          <w:b w:val="false"/>
          <w:color w:val="000000"/>
          <w:sz w:val="24"/>
        </w:rPr>
        <w:t>). The Parties shall, for a period of six (6) months commencing eighteen (18) months before the conclusion of the Initial Term and any Renewal Term, negotiate in good faith terms, if any, on which they may agree to extend the Initial Term or any Renewal Term, and, if such agreement is reached, this Agreement shall be amended to incorporate such terms. Prior to and during such six (6) month period, AMC shall not enter into or conduct any negotiations with any third party with respect to any service that may be competitive with the Advertising Services or any feature thereof.</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9.02 </w:t>
      </w:r>
      <w:r>
        <w:rPr>
          <w:rFonts w:ascii="Times New Roman" w:hAnsi="Times New Roman"/>
          <w:color w:val="000000"/>
          <w:sz w:val="24"/>
          <w:u w:val="single"/>
        </w:rPr>
        <w:t>Termination; Defaults</w:t>
      </w:r>
      <w:r>
        <w:rPr>
          <w:rFonts w:ascii="Times New Roman" w:hAnsi="Times New Roman"/>
          <w:b w:val="false"/>
          <w:color w:val="000000"/>
          <w:sz w:val="24"/>
        </w:rPr>
        <w:t>. Either Party may terminate this Agreement, immediately, by giving written notice of termination to the other, and without prejudice to any other rights or remedies the terminating Party may have, if:</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color w:val="000000"/>
          <w:sz w:val="24"/>
          <w:u w:val="single"/>
        </w:rPr>
        <w:t>Breach of Material Provision</w:t>
      </w:r>
      <w:r>
        <w:rPr>
          <w:rFonts w:ascii="Times New Roman" w:hAnsi="Times New Roman"/>
          <w:b w:val="false"/>
          <w:color w:val="000000"/>
          <w:sz w:val="24"/>
        </w:rPr>
        <w:t xml:space="preserve">. The other Party materially breaches this Agreement, other than any provision of </w:t>
      </w:r>
      <w:r>
        <w:rPr>
          <w:rFonts w:ascii="Times New Roman" w:hAnsi="Times New Roman"/>
          <w:b w:val="false"/>
          <w:color w:val="000000"/>
          <w:sz w:val="24"/>
          <w:u w:val="single"/>
        </w:rPr>
        <w:t>Section 15.08</w:t>
      </w:r>
      <w:r>
        <w:rPr>
          <w:rFonts w:ascii="Times New Roman" w:hAnsi="Times New Roman"/>
          <w:b w:val="false"/>
          <w:color w:val="000000"/>
          <w:sz w:val="24"/>
        </w:rPr>
        <w:t>, and fails to cure such breach within ninety (90) days after receipt from the terminating Party of written notice of the breach specifying in detail the nature of the breach, provided, that if such material breach cannot be cured within ninety (90) days from the notice, then the ninety-day period shall be extended as long as is reasonably necessary to cure such breach if the Party receiving notice diligently attempts to cure such breach; and provided, further, that if any such breach by AMC is confined to a Theatre or limited number of Theatres, LLC shall have the right in its sole discretion to terminate this Agreement only as to such Theatre or Theatres.</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(b) </w:t>
      </w:r>
      <w:r>
        <w:rPr>
          <w:rFonts w:ascii="Times New Roman" w:hAnsi="Times New Roman"/>
          <w:b w:val="false"/>
          <w:color w:val="000000"/>
          <w:sz w:val="24"/>
          <w:u w:val="single"/>
        </w:rPr>
        <w:t>Breach of Anti-Assignment Provision</w:t>
      </w:r>
      <w:r>
        <w:rPr>
          <w:rFonts w:ascii="Times New Roman" w:hAnsi="Times New Roman"/>
          <w:b w:val="false"/>
          <w:color w:val="000000"/>
          <w:sz w:val="24"/>
        </w:rPr>
        <w:t xml:space="preserve">. The other Party materially breaches any provision of </w:t>
      </w:r>
      <w:r>
        <w:rPr>
          <w:rFonts w:ascii="Times New Roman" w:hAnsi="Times New Roman"/>
          <w:b w:val="false"/>
          <w:color w:val="000000"/>
          <w:sz w:val="24"/>
          <w:u w:val="single"/>
        </w:rPr>
        <w:t>Section 15.08</w:t>
      </w:r>
      <w:r>
        <w:rPr>
          <w:rFonts w:ascii="Times New Roman" w:hAnsi="Times New Roman"/>
          <w:b w:val="false"/>
          <w:color w:val="000000"/>
          <w:sz w:val="24"/>
        </w:rPr>
        <w:t>, and fails to cure such breach within thirty (30) business days after receipt from the terminating Party of written notice of the breach; provided, that if such breach cannot be cured within thirty (30) business days from the notice, then the period of thirty business days shall be extended as long as is reasonably necessary to cure such breach if the Party receiving notice diligently attempts to cure such breach; and provided, further, that if any such breach by AMC is confined to a Theatre or limited number of Theatres, LLC shall have the right in its sole discretion to terminate this Agreement only as to such Theatre or Theatres.</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(c) </w:t>
      </w:r>
      <w:r>
        <w:rPr>
          <w:rFonts w:ascii="Times New Roman" w:hAnsi="Times New Roman"/>
          <w:b w:val="false"/>
          <w:color w:val="000000"/>
          <w:sz w:val="24"/>
          <w:u w:val="single"/>
        </w:rPr>
        <w:t>Injunction, Order or Decree</w:t>
      </w:r>
      <w:r>
        <w:rPr>
          <w:rFonts w:ascii="Times New Roman" w:hAnsi="Times New Roman"/>
          <w:b w:val="false"/>
          <w:color w:val="000000"/>
          <w:sz w:val="24"/>
        </w:rPr>
        <w:t>. Any governmental, regulatory or judicial entity of competent jurisdiction shall have issued a permanent injunction or other final order or decree which is not subject to appeal or in respect of which all time periods for appeal have expired, enjoining or otherwise preventing LLC or, AMC from performing, in any material respect, this Agreement.</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(d) </w:t>
      </w:r>
      <w:r>
        <w:rPr>
          <w:rFonts w:ascii="Times New Roman" w:hAnsi="Times New Roman"/>
          <w:b w:val="false"/>
          <w:color w:val="000000"/>
          <w:sz w:val="24"/>
          <w:u w:val="single"/>
        </w:rPr>
        <w:t>Bankruptcy</w:t>
      </w:r>
      <w:r>
        <w:rPr>
          <w:rFonts w:ascii="Times New Roman" w:hAnsi="Times New Roman"/>
          <w:b w:val="false"/>
          <w:color w:val="000000"/>
          <w:sz w:val="24"/>
        </w:rPr>
        <w:t>. The dissolution, bankruptcy, insolvency or appointment of a receiver or trustee of the other Party that is not dismissed within sixty (60) days, or the other Party convenes a meeting of creditors, has a receiver appointed, ceases for any reason to carry on business or is unable to pay its debts generally.</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9.03 </w:t>
      </w:r>
      <w:r>
        <w:rPr>
          <w:rFonts w:ascii="Times New Roman" w:hAnsi="Times New Roman"/>
          <w:color w:val="000000"/>
          <w:sz w:val="24"/>
          <w:u w:val="single"/>
        </w:rPr>
        <w:t xml:space="preserve">Optional Termination </w:t>
      </w:r>
      <w:r>
        <w:rPr>
          <w:rFonts w:ascii="Times New Roman" w:hAnsi="Times New Roman"/>
          <w:b w:val="false"/>
          <w:color w:val="000000"/>
          <w:sz w:val="24"/>
        </w:rPr>
        <w:t>.</w:t>
      </w:r>
      <w:r>
        <w:rPr>
          <w:rFonts w:ascii="Times New Roman" w:hAnsi="Times New Roman"/>
          <w:color w:val="000000"/>
          <w:sz w:val="20"/>
        </w:rPr>
        <w:t xml:space="preserve"> </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color w:val="000000"/>
          <w:sz w:val="24"/>
          <w:u w:val="single"/>
        </w:rPr>
        <w:t>AMC Option</w:t>
      </w:r>
      <w:r>
        <w:rPr>
          <w:rFonts w:ascii="Times New Roman" w:hAnsi="Times New Roman"/>
          <w:b w:val="false"/>
          <w:color w:val="000000"/>
          <w:sz w:val="24"/>
        </w:rPr>
        <w:t xml:space="preserve">. If, in AMC’s reasonable discretion, it determines that AMC has received meaningful negative customer reaction to the revised show structure detailed in this Agreement that is unrelated to AMC’s Trailers and other AMC content displayed before the feature film or Digital Programming Content, then AMC may, by written notice to LLC, no later than the date that is 3 months following the 18-month anniversary of the Effective Date terminate the Agreement and revert to the Reverted Agreement, subject to </w:t>
      </w:r>
      <w:r>
        <w:rPr>
          <w:rFonts w:ascii="Times New Roman" w:hAnsi="Times New Roman"/>
          <w:b w:val="false"/>
          <w:color w:val="000000"/>
          <w:sz w:val="24"/>
          <w:u w:val="single"/>
        </w:rPr>
        <w:t>Section 9.03(c)</w:t>
      </w:r>
      <w:r>
        <w:rPr>
          <w:rFonts w:ascii="Times New Roman" w:hAnsi="Times New Roman"/>
          <w:color w:val="000000"/>
          <w:sz w:val="20"/>
        </w:rPr>
        <w:t xml:space="preserve"> </w:t>
      </w:r>
      <w:r>
        <w:rPr>
          <w:rFonts w:ascii="Times New Roman" w:hAnsi="Times New Roman"/>
          <w:b w:val="false"/>
          <w:color w:val="000000"/>
          <w:sz w:val="24"/>
        </w:rPr>
        <w:t>(the “</w:t>
      </w:r>
      <w:r>
        <w:rPr>
          <w:rFonts w:ascii="Times New Roman" w:hAnsi="Times New Roman"/>
          <w:color w:val="000000"/>
          <w:sz w:val="24"/>
          <w:u w:val="single"/>
        </w:rPr>
        <w:t>AMC Optional Termination Right</w:t>
      </w:r>
      <w:r>
        <w:rPr>
          <w:rFonts w:ascii="Times New Roman" w:hAnsi="Times New Roman"/>
          <w:color w:val="000000"/>
          <w:sz w:val="20"/>
        </w:rPr>
        <w:t>”</w:t>
      </w:r>
      <w:r>
        <w:rPr>
          <w:rFonts w:ascii="Times New Roman" w:hAnsi="Times New Roman"/>
          <w:b w:val="false"/>
          <w:color w:val="000000"/>
          <w:sz w:val="24"/>
        </w:rPr>
        <w:t>).</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(b) </w:t>
      </w:r>
      <w:r>
        <w:rPr>
          <w:rFonts w:ascii="Times New Roman" w:hAnsi="Times New Roman"/>
          <w:b w:val="false"/>
          <w:color w:val="000000"/>
          <w:sz w:val="24"/>
          <w:u w:val="single"/>
        </w:rPr>
        <w:t>LLC Option</w:t>
      </w:r>
      <w:r>
        <w:rPr>
          <w:rFonts w:ascii="Times New Roman" w:hAnsi="Times New Roman"/>
          <w:b w:val="false"/>
          <w:color w:val="000000"/>
          <w:sz w:val="24"/>
        </w:rPr>
        <w:t xml:space="preserve">. If, in LLC’s reasonable discretion, it determines that the AMC Attributable Revenue per Attendee is insufficient to cover the Minimum Guarantee, then LLC may, by written notice to AMC, no later than the date that is 3 months following the 18-month anniversary of the Effective Date terminate the Agreement and revert to the Reverted Agreement, subject to </w:t>
      </w:r>
      <w:r>
        <w:rPr>
          <w:rFonts w:ascii="Times New Roman" w:hAnsi="Times New Roman"/>
          <w:b w:val="false"/>
          <w:color w:val="000000"/>
          <w:sz w:val="24"/>
          <w:u w:val="single"/>
        </w:rPr>
        <w:t>Section 9.03(c)</w:t>
      </w:r>
      <w:r>
        <w:rPr>
          <w:rFonts w:ascii="Times New Roman" w:hAnsi="Times New Roman"/>
          <w:color w:val="000000"/>
          <w:sz w:val="20"/>
        </w:rPr>
        <w:t xml:space="preserve"> </w:t>
      </w:r>
      <w:r>
        <w:rPr>
          <w:rFonts w:ascii="Times New Roman" w:hAnsi="Times New Roman"/>
          <w:b w:val="false"/>
          <w:color w:val="000000"/>
          <w:sz w:val="24"/>
        </w:rPr>
        <w:t>(the “</w:t>
      </w:r>
      <w:r>
        <w:rPr>
          <w:rFonts w:ascii="Times New Roman" w:hAnsi="Times New Roman"/>
          <w:color w:val="000000"/>
          <w:sz w:val="24"/>
          <w:u w:val="single"/>
        </w:rPr>
        <w:t>LLC Optional Termination Right</w:t>
      </w:r>
      <w:r>
        <w:rPr>
          <w:rFonts w:ascii="Times New Roman" w:hAnsi="Times New Roman"/>
          <w:color w:val="000000"/>
          <w:sz w:val="20"/>
        </w:rPr>
        <w:t>”</w:t>
      </w:r>
      <w:r>
        <w:rPr>
          <w:rFonts w:ascii="Times New Roman" w:hAnsi="Times New Roman"/>
          <w:b w:val="false"/>
          <w:color w:val="000000"/>
          <w:sz w:val="24"/>
        </w:rPr>
        <w:t>).</w:t>
      </w:r>
      <w:r>
        <w:rPr>
          <w:rFonts w:ascii="Times New Roman" w:hAnsi="Times New Roman"/>
          <w:color w:val="000000"/>
          <w:sz w:val="20"/>
        </w:rPr>
        <w:t xml:space="preserve"> </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(c) </w:t>
      </w:r>
      <w:r>
        <w:rPr>
          <w:rFonts w:ascii="Times New Roman" w:hAnsi="Times New Roman"/>
          <w:b w:val="false"/>
          <w:color w:val="000000"/>
          <w:sz w:val="24"/>
          <w:u w:val="single"/>
        </w:rPr>
        <w:t>Impact of AMC Optional Termination Right and LLC Optional Termination Right</w:t>
      </w:r>
      <w:r>
        <w:rPr>
          <w:rFonts w:ascii="Times New Roman" w:hAnsi="Times New Roman"/>
          <w:b w:val="false"/>
          <w:color w:val="000000"/>
          <w:sz w:val="24"/>
        </w:rPr>
        <w:t>. If either the AMC Optional Termination Right or the LLC Optional Termination Right is exercised, then (i) the Agreement will revert back to the terms of the Agreement that were in effect immediately prior to the Execution Date (the “</w:t>
      </w:r>
      <w:r>
        <w:rPr>
          <w:rFonts w:ascii="Times New Roman" w:hAnsi="Times New Roman"/>
          <w:color w:val="000000"/>
          <w:sz w:val="24"/>
        </w:rPr>
        <w:t>Reverted Agreement</w:t>
      </w:r>
      <w:r>
        <w:rPr>
          <w:rFonts w:ascii="Times New Roman" w:hAnsi="Times New Roman"/>
          <w:color w:val="000000"/>
          <w:sz w:val="20"/>
        </w:rPr>
        <w:t>”</w:t>
      </w:r>
      <w:r>
        <w:rPr>
          <w:rFonts w:ascii="Times New Roman" w:hAnsi="Times New Roman"/>
          <w:b w:val="false"/>
          <w:color w:val="000000"/>
          <w:sz w:val="24"/>
        </w:rPr>
        <w:t>) effective 9 months following notice of the AMC Optional Termination Right or the LLC Optional Termination Right, and (ii) the terms of the Reverted Agreement will apply, including the Exclusivity Run-Out Payments and Encumbered Theatre Beverage Agreement Advertising Rate payment provisions included in the Original Agreement (</w:t>
      </w:r>
      <w:r>
        <w:rPr>
          <w:rFonts w:ascii="Times New Roman" w:hAnsi="Times New Roman"/>
          <w:b w:val="false"/>
          <w:color w:val="000000"/>
          <w:sz w:val="24"/>
          <w:u w:val="single"/>
        </w:rPr>
        <w:t>Section 4.08</w:t>
      </w:r>
      <w:r>
        <w:rPr>
          <w:rFonts w:ascii="Times New Roman" w:hAnsi="Times New Roman"/>
          <w:color w:val="000000"/>
          <w:sz w:val="20"/>
        </w:rPr>
        <w:t xml:space="preserve"> </w:t>
      </w:r>
      <w:r>
        <w:rPr>
          <w:rFonts w:ascii="Times New Roman" w:hAnsi="Times New Roman"/>
          <w:b w:val="false"/>
          <w:color w:val="000000"/>
          <w:sz w:val="24"/>
        </w:rPr>
        <w:t xml:space="preserve">and the associated provisions in </w:t>
      </w:r>
      <w:r>
        <w:rPr>
          <w:rFonts w:ascii="Times New Roman" w:hAnsi="Times New Roman"/>
          <w:b w:val="false"/>
          <w:color w:val="000000"/>
          <w:sz w:val="24"/>
          <w:u w:val="single"/>
        </w:rPr>
        <w:t>Schedule 1</w:t>
      </w:r>
      <w:r>
        <w:rPr>
          <w:rFonts w:ascii="Times New Roman" w:hAnsi="Times New Roman"/>
          <w:b w:val="false"/>
          <w:color w:val="000000"/>
          <w:sz w:val="24"/>
        </w:rPr>
        <w:t xml:space="preserve">, </w:t>
      </w:r>
      <w:r>
        <w:rPr>
          <w:rFonts w:ascii="Times New Roman" w:hAnsi="Times New Roman"/>
          <w:b w:val="false"/>
          <w:color w:val="000000"/>
          <w:sz w:val="24"/>
          <w:u w:val="single"/>
        </w:rPr>
        <w:t>Section A</w:t>
      </w:r>
      <w:r>
        <w:rPr>
          <w:rFonts w:ascii="Times New Roman" w:hAnsi="Times New Roman"/>
          <w:b w:val="false"/>
          <w:color w:val="000000"/>
          <w:sz w:val="24"/>
        </w:rPr>
        <w:t xml:space="preserve">. and </w:t>
      </w:r>
      <w:r>
        <w:rPr>
          <w:rFonts w:ascii="Times New Roman" w:hAnsi="Times New Roman"/>
          <w:b w:val="false"/>
          <w:color w:val="000000"/>
          <w:sz w:val="24"/>
          <w:u w:val="single"/>
        </w:rPr>
        <w:t>Section D</w:t>
      </w:r>
      <w:r>
        <w:rPr>
          <w:rFonts w:ascii="Times New Roman" w:hAnsi="Times New Roman"/>
          <w:b w:val="false"/>
          <w:color w:val="000000"/>
          <w:sz w:val="24"/>
        </w:rPr>
        <w:t xml:space="preserve">.) other than (A) LLC will continue to have the rights to display 5 minutes of the Pre-Feature Program after Showtime, and (B) the revised content standards of this Agreement in </w:t>
      </w:r>
      <w:r>
        <w:rPr>
          <w:rFonts w:ascii="Times New Roman" w:hAnsi="Times New Roman"/>
          <w:b w:val="false"/>
          <w:color w:val="000000"/>
          <w:sz w:val="24"/>
          <w:u w:val="single"/>
        </w:rPr>
        <w:t>Section 4.2</w:t>
      </w:r>
      <w:r>
        <w:rPr>
          <w:rFonts w:ascii="Times New Roman" w:hAnsi="Times New Roman"/>
          <w:color w:val="000000"/>
          <w:sz w:val="20"/>
        </w:rPr>
        <w:t xml:space="preserve"> </w:t>
      </w:r>
      <w:r>
        <w:rPr>
          <w:rFonts w:ascii="Times New Roman" w:hAnsi="Times New Roman"/>
          <w:b w:val="false"/>
          <w:color w:val="000000"/>
          <w:sz w:val="24"/>
        </w:rPr>
        <w:t>will continue to apply to the Reverted Agreement. Additionally, only if LLC exercises the LLC Optional Termination Right, then the Exclusivity Run-Out Payments and Encumbered</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Theatre Beverage Agreement Advertising Rate payment provisions included in the Reverted Agreement (</w:t>
      </w:r>
      <w:r>
        <w:rPr>
          <w:rFonts w:ascii="Times New Roman" w:hAnsi="Times New Roman"/>
          <w:b w:val="false"/>
          <w:color w:val="000000"/>
          <w:sz w:val="24"/>
          <w:u w:val="single"/>
        </w:rPr>
        <w:t>Section 4.08</w:t>
      </w:r>
      <w:r>
        <w:rPr>
          <w:rFonts w:ascii="Times New Roman" w:hAnsi="Times New Roman"/>
          <w:color w:val="000000"/>
          <w:sz w:val="20"/>
        </w:rPr>
        <w:t xml:space="preserve"> </w:t>
      </w:r>
      <w:r>
        <w:rPr>
          <w:rFonts w:ascii="Times New Roman" w:hAnsi="Times New Roman"/>
          <w:b w:val="false"/>
          <w:color w:val="000000"/>
          <w:sz w:val="24"/>
        </w:rPr>
        <w:t xml:space="preserve">and the associated provisions in </w:t>
      </w:r>
      <w:r>
        <w:rPr>
          <w:rFonts w:ascii="Times New Roman" w:hAnsi="Times New Roman"/>
          <w:b w:val="false"/>
          <w:color w:val="000000"/>
          <w:sz w:val="24"/>
          <w:u w:val="single"/>
        </w:rPr>
        <w:t>Schedule 1</w:t>
      </w:r>
      <w:r>
        <w:rPr>
          <w:rFonts w:ascii="Times New Roman" w:hAnsi="Times New Roman"/>
          <w:b w:val="false"/>
          <w:color w:val="000000"/>
          <w:sz w:val="24"/>
        </w:rPr>
        <w:t xml:space="preserve">, </w:t>
      </w:r>
      <w:r>
        <w:rPr>
          <w:rFonts w:ascii="Times New Roman" w:hAnsi="Times New Roman"/>
          <w:b w:val="false"/>
          <w:color w:val="000000"/>
          <w:sz w:val="24"/>
          <w:u w:val="single"/>
        </w:rPr>
        <w:t>Section A</w:t>
      </w:r>
      <w:r>
        <w:rPr>
          <w:rFonts w:ascii="Times New Roman" w:hAnsi="Times New Roman"/>
          <w:b w:val="false"/>
          <w:color w:val="000000"/>
          <w:sz w:val="24"/>
        </w:rPr>
        <w:t xml:space="preserve">. and </w:t>
      </w:r>
      <w:r>
        <w:rPr>
          <w:rFonts w:ascii="Times New Roman" w:hAnsi="Times New Roman"/>
          <w:b w:val="false"/>
          <w:color w:val="000000"/>
          <w:sz w:val="24"/>
          <w:u w:val="single"/>
        </w:rPr>
        <w:t>Section D</w:t>
      </w:r>
      <w:r>
        <w:rPr>
          <w:rFonts w:ascii="Times New Roman" w:hAnsi="Times New Roman"/>
          <w:b w:val="false"/>
          <w:color w:val="000000"/>
          <w:sz w:val="24"/>
        </w:rPr>
        <w:t xml:space="preserve">.) will no longer apply. The Exclusivity Run-Out Payments and Encumbered Theatre Beverage Agreement Advertising Rate payments will be calculated as set forth on </w:t>
      </w:r>
      <w:r>
        <w:rPr>
          <w:rFonts w:ascii="Times New Roman" w:hAnsi="Times New Roman"/>
          <w:b w:val="false"/>
          <w:color w:val="000000"/>
          <w:sz w:val="24"/>
          <w:u w:val="single"/>
        </w:rPr>
        <w:t>Schedule 9.03(c)</w:t>
      </w:r>
      <w:r>
        <w:rPr>
          <w:rFonts w:ascii="Times New Roman" w:hAnsi="Times New Roman"/>
          <w:color w:val="000000"/>
          <w:sz w:val="20"/>
        </w:rPr>
        <w:t xml:space="preserve"> </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9.04 </w:t>
      </w:r>
      <w:r>
        <w:rPr>
          <w:rFonts w:ascii="Times New Roman" w:hAnsi="Times New Roman"/>
          <w:color w:val="000000"/>
          <w:sz w:val="24"/>
          <w:u w:val="single"/>
        </w:rPr>
        <w:t>Survival</w:t>
      </w:r>
      <w:r>
        <w:rPr>
          <w:rFonts w:ascii="Times New Roman" w:hAnsi="Times New Roman"/>
          <w:b w:val="false"/>
          <w:color w:val="000000"/>
          <w:sz w:val="24"/>
        </w:rPr>
        <w:t xml:space="preserve">. </w:t>
      </w:r>
      <w:r>
        <w:rPr>
          <w:rFonts w:ascii="Times New Roman" w:hAnsi="Times New Roman"/>
          <w:b w:val="false"/>
          <w:color w:val="000000"/>
          <w:sz w:val="24"/>
          <w:u w:val="single"/>
        </w:rPr>
        <w:t>Articles 1</w:t>
      </w:r>
      <w:r>
        <w:rPr>
          <w:rFonts w:ascii="Times New Roman" w:hAnsi="Times New Roman"/>
          <w:b w:val="false"/>
          <w:color w:val="000000"/>
          <w:sz w:val="24"/>
        </w:rPr>
        <w:t xml:space="preserve">, </w:t>
      </w:r>
      <w:r>
        <w:rPr>
          <w:rFonts w:ascii="Times New Roman" w:hAnsi="Times New Roman"/>
          <w:b w:val="false"/>
          <w:color w:val="000000"/>
          <w:sz w:val="24"/>
          <w:u w:val="single"/>
        </w:rPr>
        <w:t>10</w:t>
      </w:r>
      <w:r>
        <w:rPr>
          <w:rFonts w:ascii="Times New Roman" w:hAnsi="Times New Roman"/>
          <w:b w:val="false"/>
          <w:color w:val="000000"/>
          <w:sz w:val="24"/>
        </w:rPr>
        <w:t xml:space="preserve">, </w:t>
      </w:r>
      <w:r>
        <w:rPr>
          <w:rFonts w:ascii="Times New Roman" w:hAnsi="Times New Roman"/>
          <w:b w:val="false"/>
          <w:color w:val="000000"/>
          <w:sz w:val="24"/>
          <w:u w:val="single"/>
        </w:rPr>
        <w:t>11</w:t>
      </w:r>
      <w:r>
        <w:rPr>
          <w:rFonts w:ascii="Times New Roman" w:hAnsi="Times New Roman"/>
          <w:b w:val="false"/>
          <w:color w:val="000000"/>
          <w:sz w:val="24"/>
        </w:rPr>
        <w:t xml:space="preserve">, </w:t>
      </w:r>
      <w:r>
        <w:rPr>
          <w:rFonts w:ascii="Times New Roman" w:hAnsi="Times New Roman"/>
          <w:b w:val="false"/>
          <w:color w:val="000000"/>
          <w:sz w:val="24"/>
          <w:u w:val="single"/>
        </w:rPr>
        <w:t>13</w:t>
      </w:r>
      <w:r>
        <w:rPr>
          <w:rFonts w:ascii="Times New Roman" w:hAnsi="Times New Roman"/>
          <w:b w:val="false"/>
          <w:color w:val="000000"/>
          <w:sz w:val="24"/>
        </w:rPr>
        <w:t xml:space="preserve">, </w:t>
      </w:r>
      <w:r>
        <w:rPr>
          <w:rFonts w:ascii="Times New Roman" w:hAnsi="Times New Roman"/>
          <w:b w:val="false"/>
          <w:color w:val="000000"/>
          <w:sz w:val="24"/>
          <w:u w:val="single"/>
        </w:rPr>
        <w:t>14</w:t>
      </w:r>
      <w:r>
        <w:rPr>
          <w:rFonts w:ascii="Times New Roman" w:hAnsi="Times New Roman"/>
          <w:color w:val="000000"/>
          <w:sz w:val="20"/>
        </w:rPr>
        <w:t xml:space="preserve"> </w:t>
      </w:r>
      <w:r>
        <w:rPr>
          <w:rFonts w:ascii="Times New Roman" w:hAnsi="Times New Roman"/>
          <w:b w:val="false"/>
          <w:color w:val="000000"/>
          <w:sz w:val="24"/>
        </w:rPr>
        <w:t xml:space="preserve">and </w:t>
      </w:r>
      <w:r>
        <w:rPr>
          <w:rFonts w:ascii="Times New Roman" w:hAnsi="Times New Roman"/>
          <w:b w:val="false"/>
          <w:color w:val="000000"/>
          <w:sz w:val="24"/>
          <w:u w:val="single"/>
        </w:rPr>
        <w:t>15</w:t>
      </w:r>
      <w:r>
        <w:rPr>
          <w:rFonts w:ascii="Times New Roman" w:hAnsi="Times New Roman"/>
          <w:color w:val="000000"/>
          <w:sz w:val="20"/>
        </w:rPr>
        <w:t xml:space="preserve"> </w:t>
      </w:r>
      <w:r>
        <w:rPr>
          <w:rFonts w:ascii="Times New Roman" w:hAnsi="Times New Roman"/>
          <w:b w:val="false"/>
          <w:color w:val="000000"/>
          <w:sz w:val="24"/>
        </w:rPr>
        <w:t xml:space="preserve">and </w:t>
      </w:r>
      <w:r>
        <w:rPr>
          <w:rFonts w:ascii="Times New Roman" w:hAnsi="Times New Roman"/>
          <w:b w:val="false"/>
          <w:color w:val="000000"/>
          <w:sz w:val="24"/>
          <w:u w:val="single"/>
        </w:rPr>
        <w:t>Sections 2.04</w:t>
      </w:r>
      <w:r>
        <w:rPr>
          <w:rFonts w:ascii="Times New Roman" w:hAnsi="Times New Roman"/>
          <w:b w:val="false"/>
          <w:color w:val="000000"/>
          <w:sz w:val="24"/>
        </w:rPr>
        <w:t xml:space="preserve">, </w:t>
      </w:r>
      <w:r>
        <w:rPr>
          <w:rFonts w:ascii="Times New Roman" w:hAnsi="Times New Roman"/>
          <w:b w:val="false"/>
          <w:color w:val="000000"/>
          <w:sz w:val="24"/>
          <w:u w:val="single"/>
        </w:rPr>
        <w:t>9.04</w:t>
      </w:r>
      <w:r>
        <w:rPr>
          <w:rFonts w:ascii="Times New Roman" w:hAnsi="Times New Roman"/>
          <w:b w:val="false"/>
          <w:color w:val="000000"/>
          <w:sz w:val="24"/>
        </w:rPr>
        <w:t xml:space="preserve">, </w:t>
      </w:r>
      <w:r>
        <w:rPr>
          <w:rFonts w:ascii="Times New Roman" w:hAnsi="Times New Roman"/>
          <w:b w:val="false"/>
          <w:color w:val="000000"/>
          <w:sz w:val="24"/>
          <w:u w:val="single"/>
        </w:rPr>
        <w:t>9.05</w:t>
      </w:r>
      <w:r>
        <w:rPr>
          <w:rFonts w:ascii="Times New Roman" w:hAnsi="Times New Roman"/>
          <w:b w:val="false"/>
          <w:color w:val="000000"/>
          <w:sz w:val="24"/>
        </w:rPr>
        <w:t xml:space="preserve">, and </w:t>
      </w:r>
      <w:r>
        <w:rPr>
          <w:rFonts w:ascii="Times New Roman" w:hAnsi="Times New Roman"/>
          <w:b w:val="false"/>
          <w:color w:val="000000"/>
          <w:sz w:val="24"/>
          <w:u w:val="single"/>
        </w:rPr>
        <w:t>12.07</w:t>
      </w:r>
      <w:r>
        <w:rPr>
          <w:rFonts w:ascii="Times New Roman" w:hAnsi="Times New Roman"/>
          <w:color w:val="000000"/>
          <w:sz w:val="20"/>
        </w:rPr>
        <w:t xml:space="preserve"> </w:t>
      </w:r>
      <w:r>
        <w:rPr>
          <w:rFonts w:ascii="Times New Roman" w:hAnsi="Times New Roman"/>
          <w:b w:val="false"/>
          <w:color w:val="000000"/>
          <w:sz w:val="24"/>
        </w:rPr>
        <w:t>shall survive any expiration or termination of this Agreement.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9.05 </w:t>
      </w:r>
      <w:r>
        <w:rPr>
          <w:rFonts w:ascii="Times New Roman" w:hAnsi="Times New Roman"/>
          <w:color w:val="000000"/>
          <w:sz w:val="24"/>
          <w:u w:val="single"/>
        </w:rPr>
        <w:t>Effect of Termination</w:t>
      </w:r>
      <w:r>
        <w:rPr>
          <w:rFonts w:ascii="Times New Roman" w:hAnsi="Times New Roman"/>
          <w:b w:val="false"/>
          <w:color w:val="000000"/>
          <w:sz w:val="24"/>
        </w:rPr>
        <w:t>.</w:t>
      </w:r>
      <w:r>
        <w:rPr>
          <w:rFonts w:ascii="Times New Roman" w:hAnsi="Times New Roman"/>
          <w:color w:val="000000"/>
          <w:sz w:val="20"/>
        </w:rPr>
        <w:t xml:space="preserve"> </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color w:val="000000"/>
          <w:sz w:val="24"/>
          <w:u w:val="single"/>
        </w:rPr>
        <w:t>General</w:t>
      </w:r>
      <w:r>
        <w:rPr>
          <w:rFonts w:ascii="Times New Roman" w:hAnsi="Times New Roman"/>
          <w:b w:val="false"/>
          <w:color w:val="000000"/>
          <w:sz w:val="24"/>
        </w:rPr>
        <w:t xml:space="preserve">. Upon termination or expiration of this Agreement, each Party may exercise all remedies available to it as a matter of law and upon prior notice to AMC, LLC shall be entitled to enter the Theatres, and any other premises of AMC where any LLC Property may be located (or in the event of partial termination of this Agreement pursuant to </w:t>
      </w:r>
      <w:r>
        <w:rPr>
          <w:rFonts w:ascii="Times New Roman" w:hAnsi="Times New Roman"/>
          <w:b w:val="false"/>
          <w:color w:val="000000"/>
          <w:sz w:val="24"/>
          <w:u w:val="single"/>
        </w:rPr>
        <w:t>Section 9.02(a)</w:t>
      </w:r>
      <w:r>
        <w:rPr>
          <w:rFonts w:ascii="Times New Roman" w:hAnsi="Times New Roman"/>
          <w:color w:val="000000"/>
          <w:sz w:val="20"/>
        </w:rPr>
        <w:t xml:space="preserve"> </w:t>
      </w:r>
      <w:r>
        <w:rPr>
          <w:rFonts w:ascii="Times New Roman" w:hAnsi="Times New Roman"/>
          <w:b w:val="false"/>
          <w:color w:val="000000"/>
          <w:sz w:val="24"/>
        </w:rPr>
        <w:t xml:space="preserve">or </w:t>
      </w:r>
      <w:r>
        <w:rPr>
          <w:rFonts w:ascii="Times New Roman" w:hAnsi="Times New Roman"/>
          <w:b w:val="false"/>
          <w:color w:val="000000"/>
          <w:sz w:val="24"/>
          <w:u w:val="single"/>
        </w:rPr>
        <w:t>(b)</w:t>
      </w:r>
      <w:r>
        <w:rPr>
          <w:rFonts w:ascii="Times New Roman" w:hAnsi="Times New Roman"/>
          <w:color w:val="000000"/>
          <w:sz w:val="20"/>
        </w:rPr>
        <w:t xml:space="preserve"> </w:t>
      </w:r>
      <w:r>
        <w:rPr>
          <w:rFonts w:ascii="Times New Roman" w:hAnsi="Times New Roman"/>
          <w:b w:val="false"/>
          <w:color w:val="000000"/>
          <w:sz w:val="24"/>
        </w:rPr>
        <w:t>the affected Theatre(s) or premises), at a time mutually agreed to by the Parties in order to recover any and all LLC Property. In the event LLC fails to recover any LLC Property within the timeframe the Parties agree upon for such recovery, AMC shall have the right to remove and dispose of such LLC Property in its sole discretion, provided that any Software included in the LLC Property shall be recovered and returned to LLC at LLC’s expense. LLC shall be obligated to restore all premises from which LLC Property is removed pursuant to this section to their previous condition, excluding reasonable wear and tear and any other improvements or material alterations to such premises as may have been approved by the Parties in connection with installation of LLC Equipment or operation of the Advertising Services and shall repair any damage to the premises as a result of such removal. In addition, any and all licenses granted by either Party to the other under this Agreement shall immediately terminate, AMC shall cease using LLC Marks, LLC shall cease using AMC Marks and LLC shall be entitled to immediately discontinue the Advertising Services. Promptly upon termination or expiration of this Agreement, and except as expressly provided in Article 8 of the License Agreement, each Party shall return to the other Party all Confidential Information of the other Party, or, at the other Party’s option, destroy such Confidential Information and promptly provide to the other Party a certificate signed by an officer of the Party attesting to such destruction. Notwithstanding termination of this Agreement, each Party shall pay to the other, within thirty (30) days after the effective date of such termination, any and all fees (including costs and expenses) and other amounts owed hereunder as of such termination.</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(b) </w:t>
      </w:r>
      <w:r>
        <w:rPr>
          <w:rFonts w:ascii="Times New Roman" w:hAnsi="Times New Roman"/>
          <w:b w:val="false"/>
          <w:color w:val="000000"/>
          <w:sz w:val="24"/>
          <w:u w:val="single"/>
        </w:rPr>
        <w:t>[***]</w:t>
      </w:r>
      <w:r>
        <w:rPr>
          <w:rFonts w:ascii="Times New Roman" w:hAnsi="Times New Roman"/>
          <w:color w:val="000000"/>
          <w:sz w:val="20"/>
        </w:rPr>
        <w:t xml:space="preserve"> </w:t>
      </w:r>
    </w:p>
    <w:p>
      <w:pPr>
        <w:pStyle w:val="Heading1"/>
        <w:bidi w:val="0"/>
        <w:spacing w:before="240" w:after="283"/>
        <w:jc w:val="center"/>
        <w:rPr>
          <w:rFonts w:ascii="Times New Roman" w:hAnsi="Times New Roman"/>
          <w:sz w:val="20"/>
        </w:rPr>
      </w:pPr>
      <w:r>
        <w:rPr>
          <w:rFonts w:ascii="Times New Roman" w:hAnsi="Times New Roman"/>
          <w:color w:val="000000"/>
          <w:sz w:val="24"/>
        </w:rPr>
        <w:t xml:space="preserve">Article 10. </w:t>
        <w:br/>
        <w:br/>
      </w:r>
      <w:r>
        <w:rPr>
          <w:rFonts w:ascii="Times New Roman" w:hAnsi="Times New Roman"/>
          <w:color w:val="000000"/>
          <w:sz w:val="24"/>
          <w:u w:val="single"/>
        </w:rPr>
        <w:t>REPRESENTATIONS, WARRANTIES AND COVENANTS</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10.01 </w:t>
      </w:r>
      <w:r>
        <w:rPr>
          <w:rFonts w:ascii="Times New Roman" w:hAnsi="Times New Roman"/>
          <w:color w:val="000000"/>
          <w:sz w:val="24"/>
          <w:u w:val="single"/>
        </w:rPr>
        <w:t>Representations and Warranties</w:t>
      </w:r>
      <w:r>
        <w:rPr>
          <w:rFonts w:ascii="Times New Roman" w:hAnsi="Times New Roman"/>
          <w:b w:val="false"/>
          <w:color w:val="000000"/>
          <w:sz w:val="24"/>
        </w:rPr>
        <w:t>. Each Party represents and warrants that:</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color w:val="000000"/>
          <w:sz w:val="24"/>
          <w:u w:val="single"/>
        </w:rPr>
        <w:t>Formation</w:t>
      </w:r>
      <w:r>
        <w:rPr>
          <w:rFonts w:ascii="Times New Roman" w:hAnsi="Times New Roman"/>
          <w:b w:val="false"/>
          <w:color w:val="000000"/>
          <w:sz w:val="24"/>
        </w:rPr>
        <w:t>. It (i) is duly formed and organized, validly existing, and in good standing under the laws of the jurisdiction of its formation and incorporation and has the power and authority to carry on its business as carried on, and (ii) has the right to enter</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into this Agreement and to perform its obligations under this Agreement and has the power and authority to execute and deliver this Agreement.</w:t>
      </w:r>
      <w:r>
        <w:rPr>
          <w:rFonts w:ascii="Times New Roman" w:hAnsi="Times New Roman"/>
          <w:color w:val="000000"/>
          <w:sz w:val="20"/>
        </w:rPr>
        <w:t xml:space="preserve"> </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(b) </w:t>
      </w:r>
      <w:r>
        <w:rPr>
          <w:rFonts w:ascii="Times New Roman" w:hAnsi="Times New Roman"/>
          <w:b w:val="false"/>
          <w:color w:val="000000"/>
          <w:sz w:val="24"/>
          <w:u w:val="single"/>
        </w:rPr>
        <w:t>Governmental Authorization</w:t>
      </w:r>
      <w:r>
        <w:rPr>
          <w:rFonts w:ascii="Times New Roman" w:hAnsi="Times New Roman"/>
          <w:b w:val="false"/>
          <w:color w:val="000000"/>
          <w:sz w:val="24"/>
        </w:rPr>
        <w:t>. Any registration, declaration, or filing with, or consent, approval, license, permit or other authorization or order by, any governmental or regulatory authority, domestic or foreign, that is required to be obtained by it in connection with the valid execution, delivery, acceptance and performance by it under this Agreement or the consummation by it of any transaction contemplated hereby has been completed, made, or obtained, as the case may be.</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(c) </w:t>
      </w:r>
      <w:r>
        <w:rPr>
          <w:rFonts w:ascii="Times New Roman" w:hAnsi="Times New Roman"/>
          <w:b w:val="false"/>
          <w:color w:val="000000"/>
          <w:sz w:val="24"/>
          <w:u w:val="single"/>
        </w:rPr>
        <w:t>Consents</w:t>
      </w:r>
      <w:r>
        <w:rPr>
          <w:rFonts w:ascii="Times New Roman" w:hAnsi="Times New Roman"/>
          <w:b w:val="false"/>
          <w:color w:val="000000"/>
          <w:sz w:val="24"/>
        </w:rPr>
        <w:t>. It is the exclusive owner of, or otherwise has or will have timely obtained all rights, licenses, clearances and consents necessary to make the grants of rights made or otherwise perform its obligations under this Agreement as required under this Agreement.</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(d) </w:t>
      </w:r>
      <w:r>
        <w:rPr>
          <w:rFonts w:ascii="Times New Roman" w:hAnsi="Times New Roman"/>
          <w:b w:val="false"/>
          <w:color w:val="000000"/>
          <w:sz w:val="24"/>
          <w:u w:val="single"/>
        </w:rPr>
        <w:t>No Conflicts</w:t>
      </w:r>
      <w:r>
        <w:rPr>
          <w:rFonts w:ascii="Times New Roman" w:hAnsi="Times New Roman"/>
          <w:b w:val="false"/>
          <w:color w:val="000000"/>
          <w:sz w:val="24"/>
        </w:rPr>
        <w:t>. The execution and delivery of this Agreement do not, and the performance of its obligations under this Agreement and the consummation of the transactions contemplated hereby will not (with or without notice or lapse of time or both) (i) conflict with or result in a violation or breach of its charter or other organizational documents; conflict with or result in a violation or breach of any law or order applicable to it, or (A) conflict with or result in a violation or breach of, (B) constitute a default under, or (C) result in the creation or imposition of any lien upon it or any of its assets and properties under, any material contract or material license to which it or any of its Affiliates is a party or by which any of its or their respective assets and properties are bound.</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10.02 </w:t>
      </w:r>
      <w:r>
        <w:rPr>
          <w:rFonts w:ascii="Times New Roman" w:hAnsi="Times New Roman"/>
          <w:color w:val="000000"/>
          <w:sz w:val="24"/>
          <w:u w:val="single"/>
        </w:rPr>
        <w:t>Additional Covenants</w:t>
      </w:r>
      <w:r>
        <w:rPr>
          <w:rFonts w:ascii="Times New Roman" w:hAnsi="Times New Roman"/>
          <w:b w:val="false"/>
          <w:color w:val="000000"/>
          <w:sz w:val="24"/>
        </w:rPr>
        <w:t>.</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color w:val="000000"/>
          <w:sz w:val="24"/>
          <w:u w:val="single"/>
        </w:rPr>
        <w:t>No Challenge</w:t>
      </w:r>
      <w:r>
        <w:rPr>
          <w:rFonts w:ascii="Times New Roman" w:hAnsi="Times New Roman"/>
          <w:b w:val="false"/>
          <w:color w:val="000000"/>
          <w:sz w:val="24"/>
        </w:rPr>
        <w:t>. Each Party covenants that it will not at any time, except to the extent necessary to, assert or defend its rights under this Agreement: (i) challenge or otherwise do anything inconsistent with the other Party’s right, title or interest in its property, (ii) do or cause to be done or omit to do anything, the doing, causing or omitting of which would contest or in any way impair or tend to impair the rights of the other Party in its property or the rights of third party licensors or providers in their property, or (iii) assist or cause any Person or entity to do any of the foregoing.</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(b) </w:t>
      </w:r>
      <w:r>
        <w:rPr>
          <w:rFonts w:ascii="Times New Roman" w:hAnsi="Times New Roman"/>
          <w:b w:val="false"/>
          <w:color w:val="000000"/>
          <w:sz w:val="24"/>
          <w:u w:val="single"/>
        </w:rPr>
        <w:t>No Infringement by AMC</w:t>
      </w:r>
      <w:r>
        <w:rPr>
          <w:rFonts w:ascii="Times New Roman" w:hAnsi="Times New Roman"/>
          <w:b w:val="false"/>
          <w:color w:val="000000"/>
          <w:sz w:val="24"/>
        </w:rPr>
        <w:t>. AMC covenants that, except as AMC discloses in writing concurrently with the execution hereof and excluding any intellectual property or other rights licensed pursuant to the License Agreement, none of the information, content, materials, or services it supplies or has supplied on its behalf under this Agreement to its knowledge infringes or misappropriates, or will infringe or misappropriate, any U.S. patent, trademark, copyright or other intellectual property or proprietary right of any third party to the extent used in accordance with the terms and conditions of this Agreement.</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(c) </w:t>
      </w:r>
      <w:r>
        <w:rPr>
          <w:rFonts w:ascii="Times New Roman" w:hAnsi="Times New Roman"/>
          <w:b w:val="false"/>
          <w:color w:val="000000"/>
          <w:sz w:val="24"/>
          <w:u w:val="single"/>
        </w:rPr>
        <w:t>No Infringement by LLC</w:t>
      </w:r>
      <w:r>
        <w:rPr>
          <w:rFonts w:ascii="Times New Roman" w:hAnsi="Times New Roman"/>
          <w:b w:val="false"/>
          <w:color w:val="000000"/>
          <w:sz w:val="24"/>
        </w:rPr>
        <w:t xml:space="preserve">. LLC covenants that, except as specified in </w:t>
      </w:r>
      <w:r>
        <w:rPr>
          <w:rFonts w:ascii="Times New Roman" w:hAnsi="Times New Roman"/>
          <w:b w:val="false"/>
          <w:color w:val="000000"/>
          <w:sz w:val="24"/>
          <w:u w:val="single"/>
        </w:rPr>
        <w:t>Section 10.02(b)</w:t>
      </w:r>
      <w:r>
        <w:rPr>
          <w:rFonts w:ascii="Times New Roman" w:hAnsi="Times New Roman"/>
          <w:color w:val="000000"/>
          <w:sz w:val="20"/>
        </w:rPr>
        <w:t xml:space="preserve"> </w:t>
      </w:r>
      <w:r>
        <w:rPr>
          <w:rFonts w:ascii="Times New Roman" w:hAnsi="Times New Roman"/>
          <w:b w:val="false"/>
          <w:color w:val="000000"/>
          <w:sz w:val="24"/>
        </w:rPr>
        <w:t>and excluding any intellectual property or other rights licensed pursuant to the License Agreement, (i) to its knowledge, the Advertising Services will not violate, infringe or dilute any trademark, tradename, service mark or service name or any other intellectual property of any third party or the right of privacy or publicity of any person and (ii) LLC shall procure any and all consents, licenses or permits necessary relating to the Advertising Services provided to AMC and shall pay all license fees and royalties to the appropriate parties</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b w:val="false"/>
          <w:color w:val="000000"/>
          <w:sz w:val="24"/>
        </w:rPr>
      </w:pPr>
      <w:r>
        <w:rPr>
          <w:rFonts w:ascii="Times New Roman" w:hAnsi="Times New Roman"/>
          <w:b w:val="false"/>
          <w:color w:val="000000"/>
          <w:sz w:val="24"/>
        </w:rPr>
        <w:t>that become due and owing as a result of the performance of the Advertising Services or any other services as may be provided by LLC to AMC from time to time, other than film rent to the film distributors.</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10.03 </w:t>
      </w:r>
      <w:r>
        <w:rPr>
          <w:rFonts w:ascii="Times New Roman" w:hAnsi="Times New Roman"/>
          <w:color w:val="000000"/>
          <w:sz w:val="24"/>
          <w:u w:val="single"/>
        </w:rPr>
        <w:t>Disclaimer</w:t>
      </w:r>
      <w:r>
        <w:rPr>
          <w:rFonts w:ascii="Times New Roman" w:hAnsi="Times New Roman"/>
          <w:b w:val="false"/>
          <w:color w:val="000000"/>
          <w:sz w:val="24"/>
        </w:rPr>
        <w:t>. EXCEPT AS EXPRESSLY AND EXPLICITLY SET FORTH IN THIS AGREEMENT, ANY AND ALL INFORMATION, PRODUCTS, AND SERVICES, INCLUDING, WITHOUT LIMITATION, THE AMC PROPERTY AND LLC PROPERTY, ARE PROVIDED “AS IS” AND “WITH ALL FAULTS,” AND NEITHER PARTY MAKES ANY REPRESENTATIONS OR WARRANTIES, AND EACH PARTY DISCLAIMS ALL REPRESENTATIONS AND WARRANTIES, EXPRESS OR IMPLIED, WRITTEN OR ORAL, ARISING FROM COURSE OF DEALING, COURSE OF PERFORMANCE, USAGE OF TRADE, OR OTHERWISE, INCLUDING, WITHOUT LIMITATION, THE IMPLIED WARRANTIES OF NON-INFRINGEMENT, MERCHANTABILITY, TITLE AND FITNESS FOR A PARTICULAR PURPOSE. NEITHER PARTY MAKES ANY REPRESENTATION THAT THE DIGITAL CONTENT SERVICE OR ITS DISPLAY, OR RECEIPT OF ANY OTHER SERVICES, WILL BE UNINTERRUPTED OR ERROR-FREE.</w:t>
      </w:r>
    </w:p>
    <w:p>
      <w:pPr>
        <w:pStyle w:val="Heading1"/>
        <w:bidi w:val="0"/>
        <w:spacing w:before="240" w:after="283"/>
        <w:jc w:val="center"/>
        <w:rPr>
          <w:rFonts w:ascii="Times New Roman" w:hAnsi="Times New Roman"/>
          <w:sz w:val="20"/>
        </w:rPr>
      </w:pPr>
      <w:r>
        <w:rPr>
          <w:rFonts w:ascii="Times New Roman" w:hAnsi="Times New Roman"/>
          <w:color w:val="000000"/>
          <w:sz w:val="24"/>
        </w:rPr>
        <w:t xml:space="preserve">Article 11. </w:t>
        <w:br/>
        <w:br/>
      </w:r>
      <w:r>
        <w:rPr>
          <w:rFonts w:ascii="Times New Roman" w:hAnsi="Times New Roman"/>
          <w:color w:val="000000"/>
          <w:sz w:val="24"/>
          <w:u w:val="single"/>
        </w:rPr>
        <w:t>INDEMNIFICATION</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11.01 </w:t>
      </w:r>
      <w:r>
        <w:rPr>
          <w:rFonts w:ascii="Times New Roman" w:hAnsi="Times New Roman"/>
          <w:color w:val="000000"/>
          <w:sz w:val="24"/>
          <w:u w:val="single"/>
        </w:rPr>
        <w:t>Indemnification</w:t>
      </w:r>
      <w:r>
        <w:rPr>
          <w:rFonts w:ascii="Times New Roman" w:hAnsi="Times New Roman"/>
          <w:b w:val="false"/>
          <w:color w:val="000000"/>
          <w:sz w:val="24"/>
        </w:rPr>
        <w:t>.</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color w:val="000000"/>
          <w:sz w:val="24"/>
          <w:u w:val="single"/>
        </w:rPr>
        <w:t>Indemnification by AMC</w:t>
      </w:r>
      <w:r>
        <w:rPr>
          <w:rFonts w:ascii="Times New Roman" w:hAnsi="Times New Roman"/>
          <w:b w:val="false"/>
          <w:color w:val="000000"/>
          <w:sz w:val="24"/>
        </w:rPr>
        <w:t>. AMC shall defend, indemnify, and hold harmless LLC and its officers, directors, members, owners, contractors, employees, representatives, agents, successors, and assigns (collectively, “</w:t>
      </w:r>
      <w:r>
        <w:rPr>
          <w:rFonts w:ascii="Times New Roman" w:hAnsi="Times New Roman"/>
          <w:color w:val="000000"/>
          <w:sz w:val="24"/>
        </w:rPr>
        <w:t>Representatives</w:t>
      </w:r>
      <w:r>
        <w:rPr>
          <w:rFonts w:ascii="Times New Roman" w:hAnsi="Times New Roman"/>
          <w:color w:val="000000"/>
          <w:sz w:val="20"/>
        </w:rPr>
        <w:t>”</w:t>
      </w:r>
      <w:r>
        <w:rPr>
          <w:rFonts w:ascii="Times New Roman" w:hAnsi="Times New Roman"/>
          <w:b w:val="false"/>
          <w:color w:val="000000"/>
          <w:sz w:val="24"/>
        </w:rPr>
        <w:t xml:space="preserve">) from and against any and all losses, obligations, risks, costs, claims, liabilities, settlements, damages, liens, judgments, awards, fines, penalties, expenses and other obligations whatsoever (including, without limitation, reasonable attorneys’ fees and disbursements, except as limited by </w:t>
      </w:r>
      <w:r>
        <w:rPr>
          <w:rFonts w:ascii="Times New Roman" w:hAnsi="Times New Roman"/>
          <w:b w:val="false"/>
          <w:color w:val="000000"/>
          <w:sz w:val="24"/>
          <w:u w:val="single"/>
        </w:rPr>
        <w:t>Section 11.02</w:t>
      </w:r>
      <w:r>
        <w:rPr>
          <w:rFonts w:ascii="Times New Roman" w:hAnsi="Times New Roman"/>
          <w:b w:val="false"/>
          <w:color w:val="000000"/>
          <w:sz w:val="24"/>
        </w:rPr>
        <w:t>, and any consultants or experts and expenses of investigation) (collectively, “</w:t>
      </w:r>
      <w:r>
        <w:rPr>
          <w:rFonts w:ascii="Times New Roman" w:hAnsi="Times New Roman"/>
          <w:color w:val="000000"/>
          <w:sz w:val="24"/>
        </w:rPr>
        <w:t>Costs</w:t>
      </w:r>
      <w:r>
        <w:rPr>
          <w:rFonts w:ascii="Times New Roman" w:hAnsi="Times New Roman"/>
          <w:color w:val="000000"/>
          <w:sz w:val="20"/>
        </w:rPr>
        <w:t>”</w:t>
      </w:r>
      <w:r>
        <w:rPr>
          <w:rFonts w:ascii="Times New Roman" w:hAnsi="Times New Roman"/>
          <w:b w:val="false"/>
          <w:color w:val="000000"/>
          <w:sz w:val="24"/>
        </w:rPr>
        <w:t xml:space="preserve">) suffered or incurred by LLC or its Representatives in connection with, as a result of, based upon, or relating to, (i) any breach by AMC of this Agreement, (ii) any use by AMC of any LLC Property (other than LLC Property licensed by LLC to AMC under the License Agreement) other than as authorized by this Agreement, (iii) any third-party claims directly resulting from acts or omissions of AMC or its designee(s), (iv) AMC’s fraud, willful misconduct, or noncompliance with law, (v) any infringement, violation, misappropriation, or misuse of any third-party intellectual property rights by the AMC Property (excluding the intellectual property or other rights licensed by AMC pursuant to the License Agreement); or (vii) any items disclosed by AMC pursuant to </w:t>
      </w:r>
      <w:r>
        <w:rPr>
          <w:rFonts w:ascii="Times New Roman" w:hAnsi="Times New Roman"/>
          <w:b w:val="false"/>
          <w:color w:val="000000"/>
          <w:sz w:val="24"/>
          <w:u w:val="single"/>
        </w:rPr>
        <w:t>Section 10.02(b)</w:t>
      </w:r>
      <w:r>
        <w:rPr>
          <w:rFonts w:ascii="Times New Roman" w:hAnsi="Times New Roman"/>
          <w:b w:val="false"/>
          <w:color w:val="000000"/>
          <w:sz w:val="24"/>
        </w:rPr>
        <w:t>.</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(b) </w:t>
      </w:r>
      <w:r>
        <w:rPr>
          <w:rFonts w:ascii="Times New Roman" w:hAnsi="Times New Roman"/>
          <w:b w:val="false"/>
          <w:color w:val="000000"/>
          <w:sz w:val="24"/>
          <w:u w:val="single"/>
        </w:rPr>
        <w:t>Indemnification by LLC</w:t>
      </w:r>
      <w:r>
        <w:rPr>
          <w:rFonts w:ascii="Times New Roman" w:hAnsi="Times New Roman"/>
          <w:b w:val="false"/>
          <w:color w:val="000000"/>
          <w:sz w:val="24"/>
        </w:rPr>
        <w:t>. LLC shall defend, indemnify, and hold harmless AMC and its Representatives from and against any and all Costs suffered or incurred by AMC or its Representatives in connection with, as a result of, based upon, or relating to, (i) any breach by LLC of this Agreement, (ii) any use by LLC of any information, content or other materials supplied by or on behalf of AMC hereunder (including the Brand), but not under the License Agreement, other than as authorized by this Agreement, (iii) any damage caused by LLC, its vendors or subcontractors in installation, inspection or maintenance of any Equipment, (iv) any third-party claims directly resulting from acts or omissions of LLC or its designee(s), including subcontractors, (v) any infringement, violation, misappropriation, or</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b w:val="false"/>
          <w:color w:val="000000"/>
          <w:sz w:val="24"/>
        </w:rPr>
      </w:pPr>
      <w:r>
        <w:rPr>
          <w:rFonts w:ascii="Times New Roman" w:hAnsi="Times New Roman"/>
          <w:b w:val="false"/>
          <w:color w:val="000000"/>
          <w:sz w:val="24"/>
        </w:rPr>
        <w:t>misuse of any third-party intellectual property rights by the LLC Property (excluding the intellectual property or other rights licensed by LLC pursuant to the License Agreement); or (vii) LLC’s fraud, willful misconduct, or noncompliance with law.</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(c) </w:t>
      </w:r>
      <w:r>
        <w:rPr>
          <w:rFonts w:ascii="Times New Roman" w:hAnsi="Times New Roman"/>
          <w:b w:val="false"/>
          <w:color w:val="000000"/>
          <w:sz w:val="24"/>
          <w:u w:val="single"/>
        </w:rPr>
        <w:t>Mutual Indemnification</w:t>
      </w:r>
      <w:r>
        <w:rPr>
          <w:rFonts w:ascii="Times New Roman" w:hAnsi="Times New Roman"/>
          <w:b w:val="false"/>
          <w:color w:val="000000"/>
          <w:sz w:val="24"/>
        </w:rPr>
        <w:t>. Each Party (the “</w:t>
      </w:r>
      <w:r>
        <w:rPr>
          <w:rFonts w:ascii="Times New Roman" w:hAnsi="Times New Roman"/>
          <w:color w:val="000000"/>
          <w:sz w:val="24"/>
        </w:rPr>
        <w:t>Indemnifying Party</w:t>
      </w:r>
      <w:r>
        <w:rPr>
          <w:rFonts w:ascii="Times New Roman" w:hAnsi="Times New Roman"/>
          <w:color w:val="000000"/>
          <w:sz w:val="20"/>
        </w:rPr>
        <w:t>”</w:t>
      </w:r>
      <w:r>
        <w:rPr>
          <w:rFonts w:ascii="Times New Roman" w:hAnsi="Times New Roman"/>
          <w:b w:val="false"/>
          <w:color w:val="000000"/>
          <w:sz w:val="24"/>
        </w:rPr>
        <w:t xml:space="preserve">) shall defend, indemnify, and hold harmless the other Party and the other Party’s Representatives from and against any and all Costs suffered or incurred by the other Party or the other Party’s Representatives in connection with or as a result of, and from and against any and all third party claims, suits, actions, or proceedings actually or allegedly arising out of, based upon, or relating to any infringement or dilution of any third party trademark, tradename, service mark or service name by any trademark, tradename, service mark or service name provided by the Indemnifying Party. In the event of any infringement or dilution giving rise to a claim for indemnification under </w:t>
      </w:r>
      <w:r>
        <w:rPr>
          <w:rFonts w:ascii="Times New Roman" w:hAnsi="Times New Roman"/>
          <w:b w:val="false"/>
          <w:color w:val="000000"/>
          <w:sz w:val="24"/>
          <w:u w:val="single"/>
        </w:rPr>
        <w:t>Sections 10.02(b)</w:t>
      </w:r>
      <w:r>
        <w:rPr>
          <w:rFonts w:ascii="Times New Roman" w:hAnsi="Times New Roman"/>
          <w:b w:val="false"/>
          <w:color w:val="000000"/>
          <w:sz w:val="24"/>
        </w:rPr>
        <w:t xml:space="preserve">, </w:t>
      </w:r>
      <w:r>
        <w:rPr>
          <w:rFonts w:ascii="Times New Roman" w:hAnsi="Times New Roman"/>
          <w:b w:val="false"/>
          <w:color w:val="000000"/>
          <w:sz w:val="24"/>
          <w:u w:val="single"/>
        </w:rPr>
        <w:t>10.02(c)</w:t>
      </w:r>
      <w:r>
        <w:rPr>
          <w:rFonts w:ascii="Times New Roman" w:hAnsi="Times New Roman"/>
          <w:color w:val="000000"/>
          <w:sz w:val="20"/>
        </w:rPr>
        <w:t xml:space="preserve"> </w:t>
      </w:r>
      <w:r>
        <w:rPr>
          <w:rFonts w:ascii="Times New Roman" w:hAnsi="Times New Roman"/>
          <w:b w:val="false"/>
          <w:color w:val="000000"/>
          <w:sz w:val="24"/>
        </w:rPr>
        <w:t xml:space="preserve">or </w:t>
      </w:r>
      <w:r>
        <w:rPr>
          <w:rFonts w:ascii="Times New Roman" w:hAnsi="Times New Roman"/>
          <w:b w:val="false"/>
          <w:color w:val="000000"/>
          <w:sz w:val="24"/>
          <w:u w:val="single"/>
        </w:rPr>
        <w:t>11.01(a)(iii)</w:t>
      </w:r>
      <w:r>
        <w:rPr>
          <w:rFonts w:ascii="Times New Roman" w:hAnsi="Times New Roman"/>
          <w:b w:val="false"/>
          <w:color w:val="000000"/>
          <w:sz w:val="24"/>
        </w:rPr>
        <w:t xml:space="preserve">, or if infringement or dilution potentially giving rise to a claim under this Section is, in the Indemnifying Party’s opinion, likely to occur the Indemnifying Party may, either: (i) procure for the other Party the right to continue using the trademark, tradename, service mark or service name in question, (ii) replace or modify the trademark, tradename, service mark or service name in question with a non-infringing or non- dilution alternative; or (iii) order the other Party to cease use of, and terminate the grant of rights under this Agreement with respect to, the trademark, tradename, service mark or service name in question. The Indemnifying Party will have no obligation under this Section for any infringement or dilution caused by, and the other Party will indemnify the Indemnifying Party in the event of, use by the other Party of the trademark, tradename, service mark or service name in question: (A) after the Indemnifying Party has notified the other Party to cease use of that trademark, tradename, service mark or service name; (B) in combination with any other trademark, tradename, service mark or service name not supplied by the Indemnifying Party; or (C) in breach of this Agreement. This </w:t>
      </w:r>
      <w:r>
        <w:rPr>
          <w:rFonts w:ascii="Times New Roman" w:hAnsi="Times New Roman"/>
          <w:b w:val="false"/>
          <w:color w:val="000000"/>
          <w:sz w:val="24"/>
          <w:u w:val="single"/>
        </w:rPr>
        <w:t>Section 11.01(c)</w:t>
      </w:r>
      <w:r>
        <w:rPr>
          <w:rFonts w:ascii="Times New Roman" w:hAnsi="Times New Roman"/>
          <w:color w:val="000000"/>
          <w:sz w:val="20"/>
        </w:rPr>
        <w:t xml:space="preserve"> </w:t>
      </w:r>
      <w:r>
        <w:rPr>
          <w:rFonts w:ascii="Times New Roman" w:hAnsi="Times New Roman"/>
          <w:b w:val="false"/>
          <w:color w:val="000000"/>
          <w:sz w:val="24"/>
        </w:rPr>
        <w:t>states each Party’s entire liability and sole and exclusive remedy for infringement or dilution claims or actions relating to third party trademarks, tradenames, service marks or service names in connection with this Agreement.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11.02 </w:t>
      </w:r>
      <w:r>
        <w:rPr>
          <w:rFonts w:ascii="Times New Roman" w:hAnsi="Times New Roman"/>
          <w:color w:val="000000"/>
          <w:sz w:val="24"/>
          <w:u w:val="single"/>
        </w:rPr>
        <w:t>Defense of Action</w:t>
      </w:r>
      <w:r>
        <w:rPr>
          <w:rFonts w:ascii="Times New Roman" w:hAnsi="Times New Roman"/>
          <w:b w:val="false"/>
          <w:color w:val="000000"/>
          <w:sz w:val="24"/>
        </w:rPr>
        <w:t xml:space="preserve">. An indemnitor under this Article shall have the right to control the defense and settlement of any and all claims, suits, proceedings, and actions for which such indemnitor is obligated to indemnify, hold harmless, and defend hereunder, but the indemnitee shall have the right to participate in such claims, suits, proceedings, and actions at its own cost and expense. An indemnitor shall have no liability under this </w:t>
      </w:r>
      <w:r>
        <w:rPr>
          <w:rFonts w:ascii="Times New Roman" w:hAnsi="Times New Roman"/>
          <w:b w:val="false"/>
          <w:color w:val="000000"/>
          <w:sz w:val="24"/>
          <w:u w:val="single"/>
        </w:rPr>
        <w:t>Article 11</w:t>
      </w:r>
      <w:r>
        <w:rPr>
          <w:rFonts w:ascii="Times New Roman" w:hAnsi="Times New Roman"/>
          <w:color w:val="000000"/>
          <w:sz w:val="20"/>
        </w:rPr>
        <w:t xml:space="preserve"> </w:t>
      </w:r>
      <w:r>
        <w:rPr>
          <w:rFonts w:ascii="Times New Roman" w:hAnsi="Times New Roman"/>
          <w:b w:val="false"/>
          <w:color w:val="000000"/>
          <w:sz w:val="24"/>
        </w:rPr>
        <w:t>unless the indemnitee gives notice of such claim to the indemnitor promptly after the indemnitee learns of such claim so as to not prejudice the indemnitor. Under no circumstance shall either Party hereto settle or compromise or consent to the entry of any judgment with respect to any claim, suit, proceeding, or action that is the subject of indemnification hereunder without the prior written consent of the other Party, except for settlement involving only monetary payment by the indemnitor or no commitment or admission by the indemnitee, which consent shall not be withheld or delayed unreasonably.</w:t>
      </w:r>
    </w:p>
    <w:p>
      <w:pPr>
        <w:pStyle w:val="Heading1"/>
        <w:bidi w:val="0"/>
        <w:spacing w:before="240" w:after="283"/>
        <w:jc w:val="center"/>
        <w:rPr>
          <w:rFonts w:ascii="Times New Roman" w:hAnsi="Times New Roman"/>
          <w:sz w:val="20"/>
        </w:rPr>
      </w:pPr>
      <w:r>
        <w:rPr>
          <w:rFonts w:ascii="Times New Roman" w:hAnsi="Times New Roman"/>
          <w:color w:val="000000"/>
          <w:sz w:val="24"/>
        </w:rPr>
        <w:t xml:space="preserve">Article 12. </w:t>
      </w:r>
      <w:r>
        <w:rPr>
          <w:rFonts w:ascii="Times New Roman" w:hAnsi="Times New Roman"/>
          <w:color w:val="000000"/>
          <w:sz w:val="24"/>
          <w:u w:val="single"/>
        </w:rPr>
        <w:br/>
        <w:br/>
        <w:t>ADDITIONAL RIGHTS AND OBLIGATIONS</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12.01 </w:t>
      </w:r>
      <w:r>
        <w:rPr>
          <w:rFonts w:ascii="Times New Roman" w:hAnsi="Times New Roman"/>
          <w:color w:val="000000"/>
          <w:sz w:val="24"/>
          <w:u w:val="single"/>
        </w:rPr>
        <w:t>Assistance</w:t>
      </w:r>
      <w:r>
        <w:rPr>
          <w:rFonts w:ascii="Times New Roman" w:hAnsi="Times New Roman"/>
          <w:b w:val="false"/>
          <w:color w:val="000000"/>
          <w:sz w:val="24"/>
        </w:rPr>
        <w:t>. Each Party, upon the request of the other, shall perform any and all further reasonable acts and reasonably execute, acknowledge, and deliver any and all documents which the other Party determines in its sole reasonable judgment may be necessary,</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appropriate, or desirable to carry out the intent and purposes of this Agreement, including without limitation to document, perfect, or enforce the other Party’s right, title, or interest in and to any of such Party’s property, as well as any assistance requested in connection with the proceedings, suits, and hearings described in </w:t>
      </w:r>
      <w:r>
        <w:rPr>
          <w:rFonts w:ascii="Times New Roman" w:hAnsi="Times New Roman"/>
          <w:b w:val="false"/>
          <w:color w:val="000000"/>
          <w:sz w:val="24"/>
          <w:u w:val="single"/>
        </w:rPr>
        <w:t>Section 12.02</w:t>
      </w:r>
      <w:r>
        <w:rPr>
          <w:rFonts w:ascii="Times New Roman" w:hAnsi="Times New Roman"/>
          <w:b w:val="false"/>
          <w:color w:val="000000"/>
          <w:sz w:val="24"/>
        </w:rPr>
        <w: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12.02 </w:t>
      </w:r>
      <w:r>
        <w:rPr>
          <w:rFonts w:ascii="Times New Roman" w:hAnsi="Times New Roman"/>
          <w:color w:val="000000"/>
          <w:sz w:val="24"/>
          <w:u w:val="single"/>
        </w:rPr>
        <w:t>Infringement</w:t>
      </w:r>
      <w:r>
        <w:rPr>
          <w:rFonts w:ascii="Times New Roman" w:hAnsi="Times New Roman"/>
          <w:b w:val="false"/>
          <w:color w:val="000000"/>
          <w:sz w:val="24"/>
        </w:rPr>
        <w:t>. The Parties shall notify one another promptly, in writing, of any alleged, actual or threatened infringement, violation, misappropriation or misuse of or interference with (“</w:t>
      </w:r>
      <w:r>
        <w:rPr>
          <w:rFonts w:ascii="Times New Roman" w:hAnsi="Times New Roman"/>
          <w:color w:val="000000"/>
          <w:sz w:val="24"/>
        </w:rPr>
        <w:t>Infringement</w:t>
      </w:r>
      <w:r>
        <w:rPr>
          <w:rFonts w:ascii="Times New Roman" w:hAnsi="Times New Roman"/>
          <w:color w:val="000000"/>
          <w:sz w:val="20"/>
        </w:rPr>
        <w:t>”</w:t>
      </w:r>
      <w:r>
        <w:rPr>
          <w:rFonts w:ascii="Times New Roman" w:hAnsi="Times New Roman"/>
          <w:b w:val="false"/>
          <w:color w:val="000000"/>
          <w:sz w:val="24"/>
        </w:rPr>
        <w:t>) any intellectual property which such Party knows of or has reason to suspect.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12.03 </w:t>
      </w:r>
      <w:r>
        <w:rPr>
          <w:rFonts w:ascii="Times New Roman" w:hAnsi="Times New Roman"/>
          <w:color w:val="000000"/>
          <w:sz w:val="24"/>
          <w:u w:val="single"/>
        </w:rPr>
        <w:t>Theatre Passes</w:t>
      </w:r>
      <w:r>
        <w:rPr>
          <w:rFonts w:ascii="Times New Roman" w:hAnsi="Times New Roman"/>
          <w:b w:val="false"/>
          <w:color w:val="000000"/>
          <w:sz w:val="24"/>
        </w:rPr>
        <w:t>. Upon the request of LLC’s CEO, AMC will issue a number of annual passes, as reasonably requested by LLC and agreed by the parties and as reasonably consistent with prior practice, to the Theatres for use by LLC advertising clients, subject to AMC’s ability to issue such passes pursuant to AMC’s agreements with film distributors. LLC may purchase passes in excess of such number each year at a reasonably negotiated price. All other tickets used by LLC for promotional and sales purposes will be acquired by LLC at AMC’s then current group ticket discount rate.</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12.04 </w:t>
      </w:r>
      <w:r>
        <w:rPr>
          <w:rFonts w:ascii="Times New Roman" w:hAnsi="Times New Roman"/>
          <w:color w:val="000000"/>
          <w:sz w:val="24"/>
          <w:u w:val="single"/>
        </w:rPr>
        <w:t>Compliance with Law</w:t>
      </w:r>
      <w:r>
        <w:rPr>
          <w:rFonts w:ascii="Times New Roman" w:hAnsi="Times New Roman"/>
          <w:b w:val="false"/>
          <w:color w:val="000000"/>
          <w:sz w:val="24"/>
        </w:rPr>
        <w:t>. AMC and LLC shall each at all times operate and conduct its business, including, without limitation, exercising its rights under this Agreement, in compliance with all applicable international, national, state, and local laws, rules, and requirements, and the compliance by either Party with such laws, rules and requirements shall under no circumstances be deemed a breach of this Agreement.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12.05 </w:t>
      </w:r>
      <w:r>
        <w:rPr>
          <w:rFonts w:ascii="Times New Roman" w:hAnsi="Times New Roman"/>
          <w:color w:val="000000"/>
          <w:sz w:val="24"/>
          <w:u w:val="single"/>
        </w:rPr>
        <w:t>Insurance</w:t>
      </w:r>
      <w:r>
        <w:rPr>
          <w:rFonts w:ascii="Times New Roman" w:hAnsi="Times New Roman"/>
          <w:b w:val="false"/>
          <w:color w:val="000000"/>
          <w:sz w:val="24"/>
        </w:rPr>
        <w:t>. AMC shall maintain with financially sound and reputable insurance companies insurance on the Theatres and Equipment in such amounts and against such perils as AMC deems adequate for its business. LLC shall maintain with financially sound and reputable insurance companies insurance for its business and Equipment in such amounts and against such perils as LLC deems adequate for its business. Each Party will name the other Party (including its agents, officers, directors, employees and affiliates) as an additional insured on such policies of insurance. Furthermore, to the extent reasonably practicable, LLC shall use commercially reasonable efforts to have AMC listed as an additional insured on any insurance policy carried by the advertiser, agent or event promoter in connection with Advertising Services provided under this Agreement.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12.06 </w:t>
      </w:r>
      <w:r>
        <w:rPr>
          <w:rFonts w:ascii="Times New Roman" w:hAnsi="Times New Roman"/>
          <w:color w:val="000000"/>
          <w:sz w:val="24"/>
          <w:u w:val="single"/>
        </w:rPr>
        <w:t>Most Favored Nations</w:t>
      </w:r>
      <w:r>
        <w:rPr>
          <w:rFonts w:ascii="Times New Roman" w:hAnsi="Times New Roman"/>
          <w:b w:val="false"/>
          <w:color w:val="000000"/>
          <w:sz w:val="24"/>
        </w:rPr>
        <w:t>. If prior to final adjudication (including any appeal or the expiration of time to appeal) of the MFN Litigation, LLC enters into an amendment to the existing Cinemark Exhibitor Agreement or enters into another agreement with Cinemark or its Affiliates to provide services substantially similar to those provided under the Cinemark Exhibitor Agreement and that agreement contains an improved revenue share as compared to the Revenue Share or an improved revenue share for the Platinum advertising as compared to the Platinum Revenue Share, LLC shall promptly provide to AMC a copy of each such amendments or agreements. At the election of AMC, by written notice to LLC within twenty (20) days following its receipt of such agreements or amendments, to amend this Agreement so that it conforms to any of such agreements or amendments relating solely to the Revenue Share or Platinum Revenue Share, this Agreement shall be deemed so amended by LLC and AMC as soon as reasonably practicable after receipt of such notice. The amendment of this Agreement, if any, will include the changes to the Revenue Share or Platinum Revenue Share and any other associated provisions that are necessary in LLC’s reasonable discretion for AMC to receive the benefit of the Revenue Share or Platinum Revenue Share (the</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pPr>
      <w:r>
        <w:rPr>
          <w:color w:val="000000"/>
        </w:rPr>
        <w:t>“</w:t>
      </w:r>
      <w:r>
        <w:rPr>
          <w:rFonts w:ascii="Times New Roman" w:hAnsi="Times New Roman"/>
          <w:color w:val="000000"/>
          <w:sz w:val="24"/>
        </w:rPr>
        <w:t>Associated Provisions</w:t>
      </w:r>
      <w:r>
        <w:rPr>
          <w:rFonts w:ascii="Times New Roman" w:hAnsi="Times New Roman"/>
          <w:color w:val="000000"/>
          <w:sz w:val="20"/>
        </w:rPr>
        <w:t>”</w:t>
      </w:r>
      <w:r>
        <w:rPr>
          <w:rFonts w:ascii="Times New Roman" w:hAnsi="Times New Roman"/>
          <w:b w:val="false"/>
          <w:color w:val="000000"/>
          <w:sz w:val="24"/>
        </w:rPr>
        <w:t>). AMC shall have no right to the benefit of any agreements or amendments relating to provisions other than the Revenue Share and Platinum Revenue Share and the Associated Provisions.</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12.07 </w:t>
      </w:r>
      <w:r>
        <w:rPr>
          <w:rFonts w:ascii="Times New Roman" w:hAnsi="Times New Roman"/>
          <w:color w:val="000000"/>
          <w:sz w:val="24"/>
          <w:u w:val="single"/>
        </w:rPr>
        <w:t>Non-Competition and Non-Solicitation</w:t>
      </w:r>
      <w:r>
        <w:rPr>
          <w:rFonts w:ascii="Times New Roman" w:hAnsi="Times New Roman"/>
          <w:b w:val="false"/>
          <w:color w:val="000000"/>
          <w:sz w:val="24"/>
        </w:rPr>
        <w:t>.</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color w:val="000000"/>
          <w:sz w:val="24"/>
          <w:u w:val="single"/>
        </w:rPr>
        <w:t>Non-Competition</w:t>
      </w:r>
      <w:r>
        <w:rPr>
          <w:rFonts w:ascii="Times New Roman" w:hAnsi="Times New Roman"/>
          <w:b w:val="false"/>
          <w:color w:val="000000"/>
          <w:sz w:val="24"/>
        </w:rPr>
        <w:t>. In consideration of AMC’s participation in LLC and in consideration of the mutual covenants and agreements contained in this Agreement, AMC and its Affiliates agree, except as otherwise provided in this Agreement, not to engage or participate in any business, hold equity interests, directly or indirectly, in another entity, whether currently existing or hereafter created, or participate in any other joint venture that competes or would compete with any business that LLC is authorized to conduct in the Territory pursuant to this Agreement, whether or not LLC is actually conducting such business in a particular portion of the Territory. The foregoing restrictions shall not apply (i) in the event AMC or its Affiliate acquires a competing business in the Territory as an incidental part of an acquisition of any other business that is not prohibited by the foregoing, if AMC disposes of the portion of such business that is a competing business as soon as practicable, (ii) to any direct or indirect ownership or other equity investments by AMC or its Affiliates in such other competing business that represents in the aggregate less than 10% of the voting power of all outstanding equity of such business, and (iii) in the event AMC enters into any agreement for the acquisition or installation of equipment or the provision of services on customary terms that does not violate the exclusivity of LLC hereunder with any entity that has other businesses and provides other services that may compete with LLC.</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(b) </w:t>
      </w:r>
      <w:r>
        <w:rPr>
          <w:rFonts w:ascii="Times New Roman" w:hAnsi="Times New Roman"/>
          <w:b w:val="false"/>
          <w:color w:val="000000"/>
          <w:sz w:val="24"/>
          <w:u w:val="single"/>
        </w:rPr>
        <w:t>Non-Solicitation</w:t>
      </w:r>
      <w:r>
        <w:rPr>
          <w:rFonts w:ascii="Times New Roman" w:hAnsi="Times New Roman"/>
          <w:b w:val="false"/>
          <w:color w:val="000000"/>
          <w:sz w:val="24"/>
        </w:rPr>
        <w:t>. For the Term of this Agreement and a three-year period after its termination or expiration, each Party shall not, without the prior written approval of the other Party, directly or indirectly: (i) solicit for hire any employees of any other Party or its Affiliates at the level of vice president or higher; or (ii) induce any such employee of such Party to terminate their relationship with such Party. The foregoing will not apply to individuals hired as a result of the use of a general solicitation (such as a newspaper, radio or television advertisement) not specifically directed to the employees of such Party.</w:t>
      </w:r>
      <w:r>
        <w:rPr>
          <w:rFonts w:ascii="Times New Roman" w:hAnsi="Times New Roman"/>
          <w:color w:val="000000"/>
          <w:sz w:val="20"/>
        </w:rPr>
        <w:t xml:space="preserve"> </w:t>
      </w:r>
    </w:p>
    <w:p>
      <w:pPr>
        <w:pStyle w:val="Heading1"/>
        <w:bidi w:val="0"/>
        <w:spacing w:before="240" w:after="283"/>
        <w:jc w:val="center"/>
        <w:rPr>
          <w:rFonts w:ascii="Times New Roman" w:hAnsi="Times New Roman"/>
          <w:color w:val="000000"/>
          <w:sz w:val="24"/>
        </w:rPr>
      </w:pPr>
      <w:r>
        <w:rPr>
          <w:rFonts w:ascii="Times New Roman" w:hAnsi="Times New Roman"/>
          <w:color w:val="000000"/>
          <w:sz w:val="24"/>
        </w:rPr>
        <w:t xml:space="preserve">Article 13. </w:t>
        <w:br/>
        <w:br/>
        <w:t>OWNERSHIP</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13.01 </w:t>
      </w:r>
      <w:r>
        <w:rPr>
          <w:rFonts w:ascii="Times New Roman" w:hAnsi="Times New Roman"/>
          <w:color w:val="000000"/>
          <w:sz w:val="24"/>
          <w:u w:val="single"/>
        </w:rPr>
        <w:t>Property</w:t>
      </w:r>
      <w:r>
        <w:rPr>
          <w:rFonts w:ascii="Times New Roman" w:hAnsi="Times New Roman"/>
          <w:b w:val="false"/>
          <w:color w:val="000000"/>
          <w:sz w:val="24"/>
        </w:rPr>
        <w:t>.</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color w:val="000000"/>
          <w:sz w:val="24"/>
          <w:u w:val="single"/>
        </w:rPr>
        <w:t>LLC Property</w:t>
      </w:r>
      <w:r>
        <w:rPr>
          <w:rFonts w:ascii="Times New Roman" w:hAnsi="Times New Roman"/>
          <w:b w:val="false"/>
          <w:color w:val="000000"/>
          <w:sz w:val="24"/>
        </w:rPr>
        <w:t>. As between LLC and AMC, LLC owns, solely and exclusively, any and all right, title, and interest in and to the Advertising Services (including all Inventory and other content supplied by or on behalf of LLC), the LLC Marks, the Software (excluding any Software owned by AMC as provided in the License Agreement), LLC’s Confidential Information, the Digital Content Network, and any and all other data, information, Equipment (excluding the AMC Equipment), material, inventions, discoveries, processes, methods, technology, know-how, written works, software, works of visual art, audio works, and multimedia works provided, developed, created, reduced to practice, conceived, or made available by or on behalf of LLC to AMC or used by LLC to perform any of its obligations under or in connection with this Agreement, as well as any and all translations, improvements, adaptations, reproductions, look and feel attributes, and derivates</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thereof (collectively, the “</w:t>
      </w:r>
      <w:r>
        <w:rPr>
          <w:rFonts w:ascii="Times New Roman" w:hAnsi="Times New Roman"/>
          <w:color w:val="000000"/>
          <w:sz w:val="24"/>
        </w:rPr>
        <w:t>LLC Property</w:t>
      </w:r>
      <w:r>
        <w:rPr>
          <w:rFonts w:ascii="Times New Roman" w:hAnsi="Times New Roman"/>
          <w:color w:val="000000"/>
          <w:sz w:val="20"/>
        </w:rPr>
        <w:t>”</w:t>
      </w:r>
      <w:r>
        <w:rPr>
          <w:rFonts w:ascii="Times New Roman" w:hAnsi="Times New Roman"/>
          <w:b w:val="false"/>
          <w:color w:val="000000"/>
          <w:sz w:val="24"/>
        </w:rPr>
        <w:t>), and, except as expressly and explicitly stated in this Agreement, reserves all such right, title, and interest.</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(b) </w:t>
      </w:r>
      <w:r>
        <w:rPr>
          <w:rFonts w:ascii="Times New Roman" w:hAnsi="Times New Roman"/>
          <w:b w:val="false"/>
          <w:color w:val="000000"/>
          <w:sz w:val="24"/>
          <w:u w:val="single"/>
        </w:rPr>
        <w:t>AMC Property</w:t>
      </w:r>
      <w:r>
        <w:rPr>
          <w:rFonts w:ascii="Times New Roman" w:hAnsi="Times New Roman"/>
          <w:b w:val="false"/>
          <w:color w:val="000000"/>
          <w:sz w:val="24"/>
        </w:rPr>
        <w:t xml:space="preserve">. As between AMC and LLC, AMC owns, solely and exclusively, any and all right, title, and interest in and to all content supplied by or on behalf of AMC, the AMC Marks, Software not included in </w:t>
      </w:r>
      <w:r>
        <w:rPr>
          <w:rFonts w:ascii="Times New Roman" w:hAnsi="Times New Roman"/>
          <w:b w:val="false"/>
          <w:color w:val="000000"/>
          <w:sz w:val="24"/>
          <w:u w:val="single"/>
        </w:rPr>
        <w:t>Section 13.01(a)</w:t>
      </w:r>
      <w:r>
        <w:rPr>
          <w:rFonts w:ascii="Times New Roman" w:hAnsi="Times New Roman"/>
          <w:color w:val="000000"/>
          <w:sz w:val="20"/>
        </w:rPr>
        <w:t xml:space="preserve"> </w:t>
      </w:r>
      <w:r>
        <w:rPr>
          <w:rFonts w:ascii="Times New Roman" w:hAnsi="Times New Roman"/>
          <w:b w:val="false"/>
          <w:color w:val="000000"/>
          <w:sz w:val="24"/>
        </w:rPr>
        <w:t>above, AMC’s Confidential Information, and any and all other data, information, Equipment (excluding the LLC Equipment), material, inventions, discoveries, processes, methods, technology, know-how, written works, software, works of visual art, audio works, and multimedia works provided, developed, created, reduced to practice, conceived, or made available by or on behalf of AMC to LLC or used by AMC to perform any of its obligations under or in connection with this Agreement, as well as any and all translations, improvements, adaptations, reproductions, look- and-feel attributes, and derivates thereof (collectively, the “</w:t>
      </w:r>
      <w:r>
        <w:rPr>
          <w:rFonts w:ascii="Times New Roman" w:hAnsi="Times New Roman"/>
          <w:color w:val="000000"/>
          <w:sz w:val="24"/>
        </w:rPr>
        <w:t>AMC Property</w:t>
      </w:r>
      <w:r>
        <w:rPr>
          <w:rFonts w:ascii="Times New Roman" w:hAnsi="Times New Roman"/>
          <w:color w:val="000000"/>
          <w:sz w:val="20"/>
        </w:rPr>
        <w:t>”</w:t>
      </w:r>
      <w:r>
        <w:rPr>
          <w:rFonts w:ascii="Times New Roman" w:hAnsi="Times New Roman"/>
          <w:b w:val="false"/>
          <w:color w:val="000000"/>
          <w:sz w:val="24"/>
        </w:rPr>
        <w:t>), and, except as expressly and explicitly stated in this Agreement, reserves all such right, title, and interest.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13.02 </w:t>
      </w:r>
      <w:r>
        <w:rPr>
          <w:rFonts w:ascii="Times New Roman" w:hAnsi="Times New Roman"/>
          <w:color w:val="000000"/>
          <w:sz w:val="24"/>
          <w:u w:val="single"/>
        </w:rPr>
        <w:t>Derived Works</w:t>
      </w:r>
      <w:r>
        <w:rPr>
          <w:rFonts w:ascii="Times New Roman" w:hAnsi="Times New Roman"/>
          <w:b w:val="false"/>
          <w:color w:val="000000"/>
          <w:sz w:val="24"/>
        </w:rPr>
        <w:t>.</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color w:val="000000"/>
          <w:sz w:val="24"/>
          <w:u w:val="single"/>
        </w:rPr>
        <w:t>Derived Works from LLC Property</w:t>
      </w:r>
      <w:r>
        <w:rPr>
          <w:rFonts w:ascii="Times New Roman" w:hAnsi="Times New Roman"/>
          <w:b w:val="false"/>
          <w:color w:val="000000"/>
          <w:sz w:val="24"/>
        </w:rPr>
        <w:t>. Any and all data, information, and material created, conceived, reduced to practice, or developed pursuant to this Agreement, but not pursuant to the License Agreement, including, without limitation, written works, processes, methods, inventions, discoveries, software, works of visual art, audio works, look-and-feel attributes, and multimedia works, to the extent based on, using, or derived from, in whole or in part, any LLC Property, whether or not done on LLC’s facilities, with LLC’s equipment, or by LLC personnel, by either Party alone or with each other or any third party, and any and all right, title, and interest therein and thereto (including, but not limited to, the right to sue for past infringement) (collectively, “</w:t>
      </w:r>
      <w:r>
        <w:rPr>
          <w:rFonts w:ascii="Times New Roman" w:hAnsi="Times New Roman"/>
          <w:color w:val="000000"/>
          <w:sz w:val="24"/>
        </w:rPr>
        <w:t>LLC Derived Works</w:t>
      </w:r>
      <w:r>
        <w:rPr>
          <w:rFonts w:ascii="Times New Roman" w:hAnsi="Times New Roman"/>
          <w:color w:val="000000"/>
          <w:sz w:val="20"/>
        </w:rPr>
        <w:t>”</w:t>
      </w:r>
      <w:r>
        <w:rPr>
          <w:rFonts w:ascii="Times New Roman" w:hAnsi="Times New Roman"/>
          <w:b w:val="false"/>
          <w:color w:val="000000"/>
          <w:sz w:val="24"/>
        </w:rPr>
        <w:t>), shall be owned solely and exclusively by LLC, and AMC hereby assigns, transfers, and conveys to LLC any right, title, or interest in or to any LLC Derived Work which it may at any time acquire by operation of law or otherwise. To the extent any LLC Derived Works are included in the Advertising Services, LLC hereby grants to AMC during the Term a non-exclusive, non-transferable, non-sublicenseable license to such LLC Derived Works solely for use in connection with the Advertising Services, as expressly provided by this Agreement.</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(b) </w:t>
      </w:r>
      <w:r>
        <w:rPr>
          <w:rFonts w:ascii="Times New Roman" w:hAnsi="Times New Roman"/>
          <w:b w:val="false"/>
          <w:color w:val="000000"/>
          <w:sz w:val="24"/>
          <w:u w:val="single"/>
        </w:rPr>
        <w:t>Derived Works from AMC Property</w:t>
      </w:r>
      <w:r>
        <w:rPr>
          <w:rFonts w:ascii="Times New Roman" w:hAnsi="Times New Roman"/>
          <w:b w:val="false"/>
          <w:color w:val="000000"/>
          <w:sz w:val="24"/>
        </w:rPr>
        <w:t xml:space="preserve">. Except as specified in </w:t>
      </w:r>
      <w:r>
        <w:rPr>
          <w:rFonts w:ascii="Times New Roman" w:hAnsi="Times New Roman"/>
          <w:b w:val="false"/>
          <w:color w:val="000000"/>
          <w:sz w:val="24"/>
          <w:u w:val="single"/>
        </w:rPr>
        <w:t>Section 13.02(a)</w:t>
      </w:r>
      <w:r>
        <w:rPr>
          <w:rFonts w:ascii="Times New Roman" w:hAnsi="Times New Roman"/>
          <w:b w:val="false"/>
          <w:color w:val="000000"/>
          <w:sz w:val="24"/>
        </w:rPr>
        <w:t>, any and all data, information, and material created, conceived, reduced to practice, or developed pursuant to this Agreement, but not pursuant to the License Agreement, including, without limitation, written works, processes, methods, inventions, discoveries, software, works of visual art, audio works, look-and-feel attributes, and multimedia works, to the extent based on, using, or derived from, in whole or in part, any AMC Property (and specifically including any materials included in the Policy Trailer or the Branded Slots based on or derived from materials supplied by AMC), whether or not done on AMC’s facilities, with AMC’s or LLC’s equipment, or by AMC personnel, by either Party alone or with each other or any third party, and any and all right, title, and interest therein and thereto (including, but not limited to, the right to sue for past infringement) (collectively, “</w:t>
      </w:r>
      <w:r>
        <w:rPr>
          <w:rFonts w:ascii="Times New Roman" w:hAnsi="Times New Roman"/>
          <w:color w:val="000000"/>
          <w:sz w:val="24"/>
        </w:rPr>
        <w:t>AMC Derived Works</w:t>
      </w:r>
      <w:r>
        <w:rPr>
          <w:rFonts w:ascii="Times New Roman" w:hAnsi="Times New Roman"/>
          <w:color w:val="000000"/>
          <w:sz w:val="20"/>
        </w:rPr>
        <w:t>”</w:t>
      </w:r>
      <w:r>
        <w:rPr>
          <w:rFonts w:ascii="Times New Roman" w:hAnsi="Times New Roman"/>
          <w:b w:val="false"/>
          <w:color w:val="000000"/>
          <w:sz w:val="24"/>
        </w:rPr>
        <w:t>), shall be owned solely and exclusively by AMC, and LLC hereby assigns, transfers, and conveys to AMC any right, title, or interest in or to any AMC Derived Work which it may at any time acquire by operation of law or otherwise. To the extent any AMC Derived Works are included in the Advertising Services, AMC hereby grants to LLC during the Term a nonexclusive, non- transferable, non-sublicenseable license to such AMC Derived Works</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b w:val="false"/>
          <w:color w:val="000000"/>
          <w:sz w:val="24"/>
        </w:rPr>
      </w:pPr>
      <w:r>
        <w:rPr>
          <w:rFonts w:ascii="Times New Roman" w:hAnsi="Times New Roman"/>
          <w:b w:val="false"/>
          <w:color w:val="000000"/>
          <w:sz w:val="24"/>
        </w:rPr>
        <w:t>solely for use in connection with the Advertising Services, as expressly provided by this Agreement.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13.03 </w:t>
      </w:r>
      <w:r>
        <w:rPr>
          <w:rFonts w:ascii="Times New Roman" w:hAnsi="Times New Roman"/>
          <w:color w:val="000000"/>
          <w:sz w:val="24"/>
          <w:u w:val="single"/>
        </w:rPr>
        <w:t>No Title</w:t>
      </w:r>
      <w:r>
        <w:rPr>
          <w:rFonts w:ascii="Times New Roman" w:hAnsi="Times New Roman"/>
          <w:b w:val="false"/>
          <w:color w:val="000000"/>
          <w:sz w:val="24"/>
        </w:rPr>
        <w:t>. This Agreement is not an agreement of sale, and (a) no title or ownership interest in or to any LLC Property is transferred to AMC, and (b) no title or ownership interest in or to any AMC Property is transferred to LLC, as a result of or pursuant to this Agreement. Further, (i) AMC acknowledges that its exercise of rights with respect to the LLC Property shall not create in AMC any right, title or interest in or to any LLC Property and that all exercise of rights with respect to the LLC Property and the goodwill symbolized thereby or connected therewith will inure solely to the benefit of LLC, and (ii) LLC acknowledges that its exercise of rights with respect to the AMC Property shall not create in LLC any right, title or interest in or to any AMC Property and that all exercise of rights with respect to the AMC Property and the goodwill symbolized thereby or connected therewith will inure solely to the benefit of AMC.</w:t>
      </w:r>
    </w:p>
    <w:p>
      <w:pPr>
        <w:pStyle w:val="Heading1"/>
        <w:bidi w:val="0"/>
        <w:spacing w:before="240" w:after="283"/>
        <w:jc w:val="center"/>
        <w:rPr>
          <w:rFonts w:ascii="Times New Roman" w:hAnsi="Times New Roman"/>
          <w:sz w:val="20"/>
        </w:rPr>
      </w:pPr>
      <w:r>
        <w:rPr>
          <w:rFonts w:ascii="Times New Roman" w:hAnsi="Times New Roman"/>
          <w:color w:val="000000"/>
          <w:sz w:val="24"/>
        </w:rPr>
        <w:t xml:space="preserve">Article 14. </w:t>
        <w:br/>
        <w:br/>
      </w:r>
      <w:r>
        <w:rPr>
          <w:rFonts w:ascii="Times New Roman" w:hAnsi="Times New Roman"/>
          <w:color w:val="000000"/>
          <w:sz w:val="24"/>
          <w:u w:val="single"/>
        </w:rPr>
        <w:t>CONFIDENTIALITY</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14.01 </w:t>
      </w:r>
      <w:r>
        <w:rPr>
          <w:rFonts w:ascii="Times New Roman" w:hAnsi="Times New Roman"/>
          <w:color w:val="000000"/>
          <w:sz w:val="24"/>
          <w:u w:val="single"/>
        </w:rPr>
        <w:t>Confidential Treatment</w:t>
      </w:r>
      <w:r>
        <w:rPr>
          <w:rFonts w:ascii="Times New Roman" w:hAnsi="Times New Roman"/>
          <w:b w:val="false"/>
          <w:color w:val="000000"/>
          <w:sz w:val="24"/>
        </w:rPr>
        <w:t>. During the Term, and for a period of three (3) years after the termination of this Agreement:</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color w:val="000000"/>
          <w:sz w:val="24"/>
          <w:u w:val="single"/>
        </w:rPr>
        <w:t>Treatment of Confidential Information</w:t>
      </w:r>
      <w:r>
        <w:rPr>
          <w:rFonts w:ascii="Times New Roman" w:hAnsi="Times New Roman"/>
          <w:b w:val="false"/>
          <w:color w:val="000000"/>
          <w:sz w:val="24"/>
        </w:rPr>
        <w:t>. Each Party shall use and cause its Affiliates to use the same degree of care it uses to safeguard its own Confidential Information and to cause its and its Affiliates’ directors, officers, employees, agents and representatives to keep confidential all Confidential Information; and each Party shall hold and shall cause its Affiliates to hold and shall cause its and its Affiliates’ directors, officers, employees, agents and representatives to hold in confidence, unless compelled to disclose by judicial or administrative process or, in the opinion of counsel, by the requirements of law, Confidential Information.</w:t>
      </w:r>
      <w:r>
        <w:rPr>
          <w:rFonts w:ascii="Times New Roman" w:hAnsi="Times New Roman"/>
          <w:color w:val="000000"/>
          <w:sz w:val="20"/>
        </w:rPr>
        <w:t xml:space="preserve"> </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(b) </w:t>
      </w:r>
      <w:r>
        <w:rPr>
          <w:rFonts w:ascii="Times New Roman" w:hAnsi="Times New Roman"/>
          <w:b w:val="false"/>
          <w:color w:val="000000"/>
          <w:sz w:val="24"/>
          <w:u w:val="single"/>
        </w:rPr>
        <w:t>LLC’s Confidential Information</w:t>
      </w:r>
      <w:r>
        <w:rPr>
          <w:rFonts w:ascii="Times New Roman" w:hAnsi="Times New Roman"/>
          <w:b w:val="false"/>
          <w:color w:val="000000"/>
          <w:sz w:val="24"/>
        </w:rPr>
        <w:t>. AMC agrees that the Confidential Information of LLC shall only be disclosed in secrecy and confidence, and is to be maintained by AMC in secrecy and confidence subject to the terms hereof. AMC shall (i) not, directly or indirectly, use the Confidential Information of LLC, except as necessary in the ordinary course of LLC’s business, or disclose the Confidential Information of LLC to any third party and (ii) inform all of its employees to whom the Confidential Information of LLC is entrusted or exposed of the requirements of this Section and of their obligations relating thereto.</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(c) </w:t>
      </w:r>
      <w:r>
        <w:rPr>
          <w:rFonts w:ascii="Times New Roman" w:hAnsi="Times New Roman"/>
          <w:b w:val="false"/>
          <w:color w:val="000000"/>
          <w:sz w:val="24"/>
          <w:u w:val="single"/>
        </w:rPr>
        <w:t>AMC’s Confidential Information</w:t>
      </w:r>
      <w:r>
        <w:rPr>
          <w:rFonts w:ascii="Times New Roman" w:hAnsi="Times New Roman"/>
          <w:b w:val="false"/>
          <w:color w:val="000000"/>
          <w:sz w:val="24"/>
        </w:rPr>
        <w:t>. Confidential Information of AMC shall not be supplied by LLC or its Subsidiaries to any Person who is not an employee of LLC or National CineMedia. Notwithstanding the foregoing, AMC Confidential Information may be disclosed to authorized third-party contractors of LLC if LLC determines that such disclosure is reasonably necessary to further the business of LLC, and if such contractor executes a non-disclosure agreement preventing such contractor from disclosing AMC’s Confidential Information for the benefit of each provider of AMC’s Confidential Information in a form reasonably acceptable to AMC. AMC’s Confidential Information disclosed to LLC shall not be shared with other members of LLC without AMC’s written consent.</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14.02 </w:t>
      </w:r>
      <w:r>
        <w:rPr>
          <w:rFonts w:ascii="Times New Roman" w:hAnsi="Times New Roman"/>
          <w:color w:val="000000"/>
          <w:sz w:val="24"/>
          <w:u w:val="single"/>
        </w:rPr>
        <w:t>Injunctive Relief</w:t>
      </w:r>
      <w:r>
        <w:rPr>
          <w:rFonts w:ascii="Times New Roman" w:hAnsi="Times New Roman"/>
          <w:b w:val="false"/>
          <w:color w:val="000000"/>
          <w:sz w:val="24"/>
        </w:rPr>
        <w:t xml:space="preserve">. It is understood and agreed that each Party’s remedies at law for a breach of this </w:t>
      </w:r>
      <w:r>
        <w:rPr>
          <w:rFonts w:ascii="Times New Roman" w:hAnsi="Times New Roman"/>
          <w:b w:val="false"/>
          <w:color w:val="000000"/>
          <w:sz w:val="24"/>
          <w:u w:val="single"/>
        </w:rPr>
        <w:t>Article 14</w:t>
      </w:r>
      <w:r>
        <w:rPr>
          <w:rFonts w:ascii="Times New Roman" w:hAnsi="Times New Roman"/>
          <w:b w:val="false"/>
          <w:color w:val="000000"/>
          <w:sz w:val="24"/>
        </w:rPr>
        <w:t xml:space="preserve">, as well as </w:t>
      </w:r>
      <w:r>
        <w:rPr>
          <w:rFonts w:ascii="Times New Roman" w:hAnsi="Times New Roman"/>
          <w:b w:val="false"/>
          <w:color w:val="000000"/>
          <w:sz w:val="24"/>
          <w:u w:val="single"/>
        </w:rPr>
        <w:t>Section 12.07</w:t>
      </w:r>
      <w:r>
        <w:rPr>
          <w:rFonts w:ascii="Times New Roman" w:hAnsi="Times New Roman"/>
          <w:b w:val="false"/>
          <w:color w:val="000000"/>
          <w:sz w:val="24"/>
        </w:rPr>
        <w:t xml:space="preserve">, will be inadequate and that each Party shall, in the event of any such breach or the threat of such breach, be entitled to equitable relief (including without limitation provisional and permanent injunctive relief and specific performance) from a court of competent jurisdiction. The Parties shall be entitled to the relief described in this </w:t>
      </w:r>
      <w:r>
        <w:rPr>
          <w:rFonts w:ascii="Times New Roman" w:hAnsi="Times New Roman"/>
          <w:b w:val="false"/>
          <w:color w:val="000000"/>
          <w:sz w:val="24"/>
          <w:u w:val="single"/>
        </w:rPr>
        <w:t>Section 14.02</w:t>
      </w:r>
      <w:r>
        <w:rPr>
          <w:rFonts w:ascii="Times New Roman" w:hAnsi="Times New Roman"/>
          <w:color w:val="000000"/>
          <w:sz w:val="20"/>
        </w:rPr>
        <w:t xml:space="preserve"> </w:t>
      </w:r>
      <w:r>
        <w:rPr>
          <w:rFonts w:ascii="Times New Roman" w:hAnsi="Times New Roman"/>
          <w:b w:val="false"/>
          <w:color w:val="000000"/>
          <w:sz w:val="24"/>
        </w:rPr>
        <w:t>without the requirement of posting a bond. Nothing stated herein shall limit any other remedies provided under this Agreement or available to the Parties at law.</w:t>
      </w:r>
    </w:p>
    <w:p>
      <w:pPr>
        <w:pStyle w:val="Heading1"/>
        <w:bidi w:val="0"/>
        <w:spacing w:before="240" w:after="283"/>
        <w:jc w:val="center"/>
        <w:rPr>
          <w:rFonts w:ascii="Times New Roman" w:hAnsi="Times New Roman"/>
          <w:sz w:val="20"/>
        </w:rPr>
      </w:pPr>
      <w:r>
        <w:rPr>
          <w:rFonts w:ascii="Times New Roman" w:hAnsi="Times New Roman"/>
          <w:color w:val="000000"/>
          <w:sz w:val="24"/>
        </w:rPr>
        <w:t xml:space="preserve">Article 15. </w:t>
      </w:r>
      <w:r>
        <w:rPr>
          <w:rFonts w:ascii="Times New Roman" w:hAnsi="Times New Roman"/>
          <w:color w:val="000000"/>
          <w:sz w:val="24"/>
          <w:u w:val="single"/>
        </w:rPr>
        <w:br/>
        <w:br/>
        <w:t>MISCELLANEOUS</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15.01 </w:t>
      </w:r>
      <w:r>
        <w:rPr>
          <w:rFonts w:ascii="Times New Roman" w:hAnsi="Times New Roman"/>
          <w:color w:val="000000"/>
          <w:sz w:val="24"/>
          <w:u w:val="single"/>
        </w:rPr>
        <w:t>Notices</w:t>
      </w:r>
      <w:r>
        <w:rPr>
          <w:rFonts w:ascii="Times New Roman" w:hAnsi="Times New Roman"/>
          <w:b w:val="false"/>
          <w:color w:val="000000"/>
          <w:sz w:val="24"/>
        </w:rPr>
        <w:t>. All notices, consents, and other communications between the Parties under or regarding this Agreement shall be in writing and shall be sent to the recipient’s address set forth in this section by hand delivery, nationally respected overnight carrier, or certified mail, return receipt requested. Such communications shall be deemed to have been received on the date actually received: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LLC: National CineMedia, LLC</w:t>
      </w:r>
    </w:p>
    <w:p>
      <w:pPr>
        <w:pStyle w:val="TextBody"/>
        <w:bidi w:val="0"/>
        <w:jc w:val="left"/>
        <w:rPr>
          <w:rFonts w:ascii="Times New Roman" w:hAnsi="Times New Roman"/>
          <w:color w:val="000000"/>
          <w:sz w:val="24"/>
        </w:rPr>
      </w:pPr>
      <w:r>
        <w:rPr>
          <w:rFonts w:ascii="Times New Roman" w:hAnsi="Times New Roman"/>
          <w:color w:val="000000"/>
          <w:sz w:val="24"/>
        </w:rPr>
        <w:t>6300 S Syracuse Way, Suite 300</w:t>
      </w:r>
    </w:p>
    <w:p>
      <w:pPr>
        <w:pStyle w:val="TextBody"/>
        <w:bidi w:val="0"/>
        <w:jc w:val="left"/>
        <w:rPr>
          <w:rFonts w:ascii="Times New Roman" w:hAnsi="Times New Roman"/>
          <w:color w:val="000000"/>
          <w:sz w:val="24"/>
        </w:rPr>
      </w:pPr>
      <w:r>
        <w:rPr>
          <w:rFonts w:ascii="Times New Roman" w:hAnsi="Times New Roman"/>
          <w:color w:val="000000"/>
          <w:sz w:val="24"/>
        </w:rPr>
        <w:t>Centennial, CO 80111</w:t>
      </w:r>
    </w:p>
    <w:p>
      <w:pPr>
        <w:pStyle w:val="TextBody"/>
        <w:bidi w:val="0"/>
        <w:jc w:val="left"/>
        <w:rPr>
          <w:rFonts w:ascii="Times New Roman" w:hAnsi="Times New Roman"/>
          <w:color w:val="000000"/>
          <w:sz w:val="24"/>
        </w:rPr>
      </w:pPr>
      <w:r>
        <w:rPr>
          <w:rFonts w:ascii="Times New Roman" w:hAnsi="Times New Roman"/>
          <w:color w:val="000000"/>
          <w:sz w:val="24"/>
        </w:rPr>
        <w:t>Attention: Chief Executive Officer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with a copy to: National CineMedia, LLC</w:t>
      </w:r>
    </w:p>
    <w:p>
      <w:pPr>
        <w:pStyle w:val="TextBody"/>
        <w:bidi w:val="0"/>
        <w:jc w:val="left"/>
        <w:rPr>
          <w:rFonts w:ascii="Times New Roman" w:hAnsi="Times New Roman"/>
          <w:color w:val="000000"/>
          <w:sz w:val="24"/>
        </w:rPr>
      </w:pPr>
      <w:r>
        <w:rPr>
          <w:rFonts w:ascii="Times New Roman" w:hAnsi="Times New Roman"/>
          <w:color w:val="000000"/>
          <w:sz w:val="24"/>
        </w:rPr>
        <w:t>6300 S Syracuse Way, Suite 300</w:t>
      </w:r>
    </w:p>
    <w:p>
      <w:pPr>
        <w:pStyle w:val="TextBody"/>
        <w:bidi w:val="0"/>
        <w:jc w:val="left"/>
        <w:rPr>
          <w:rFonts w:ascii="Times New Roman" w:hAnsi="Times New Roman"/>
          <w:color w:val="000000"/>
          <w:sz w:val="24"/>
        </w:rPr>
      </w:pPr>
      <w:r>
        <w:rPr>
          <w:rFonts w:ascii="Times New Roman" w:hAnsi="Times New Roman"/>
          <w:color w:val="000000"/>
          <w:sz w:val="24"/>
        </w:rPr>
        <w:t>Centennial, CO 80111</w:t>
      </w:r>
    </w:p>
    <w:p>
      <w:pPr>
        <w:pStyle w:val="TextBody"/>
        <w:bidi w:val="0"/>
        <w:jc w:val="left"/>
        <w:rPr>
          <w:rFonts w:ascii="Times New Roman" w:hAnsi="Times New Roman"/>
          <w:color w:val="000000"/>
          <w:sz w:val="24"/>
        </w:rPr>
      </w:pPr>
      <w:r>
        <w:rPr>
          <w:rFonts w:ascii="Times New Roman" w:hAnsi="Times New Roman"/>
          <w:color w:val="000000"/>
          <w:sz w:val="24"/>
        </w:rPr>
        <w:t>Attention: General Counsel</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 xml:space="preserve">AMC: American Multi-Cinema, Inc. </w:t>
        <w:br/>
        <w:t>c/o AMC Entertainment Inc. 11500 Ash Street</w:t>
      </w:r>
    </w:p>
    <w:p>
      <w:pPr>
        <w:pStyle w:val="TextBody"/>
        <w:bidi w:val="0"/>
        <w:jc w:val="left"/>
        <w:rPr>
          <w:rFonts w:ascii="Times New Roman" w:hAnsi="Times New Roman"/>
          <w:color w:val="000000"/>
          <w:sz w:val="24"/>
        </w:rPr>
      </w:pPr>
      <w:r>
        <w:rPr>
          <w:rFonts w:ascii="Times New Roman" w:hAnsi="Times New Roman"/>
          <w:color w:val="000000"/>
          <w:sz w:val="24"/>
        </w:rPr>
        <w:t>Leawood, KS 66211</w:t>
      </w:r>
    </w:p>
    <w:p>
      <w:pPr>
        <w:pStyle w:val="TextBody"/>
        <w:bidi w:val="0"/>
        <w:jc w:val="left"/>
        <w:rPr>
          <w:rFonts w:ascii="Times New Roman" w:hAnsi="Times New Roman"/>
          <w:color w:val="000000"/>
          <w:sz w:val="24"/>
        </w:rPr>
      </w:pPr>
      <w:r>
        <w:rPr>
          <w:rFonts w:ascii="Times New Roman" w:hAnsi="Times New Roman"/>
          <w:color w:val="000000"/>
          <w:sz w:val="24"/>
        </w:rPr>
        <w:t>Fax: 913-213-2058</w:t>
      </w:r>
    </w:p>
    <w:p>
      <w:pPr>
        <w:pStyle w:val="TextBody"/>
        <w:bidi w:val="0"/>
        <w:jc w:val="left"/>
        <w:rPr>
          <w:rFonts w:ascii="Times New Roman" w:hAnsi="Times New Roman"/>
          <w:sz w:val="20"/>
        </w:rPr>
      </w:pPr>
      <w:r>
        <w:rPr>
          <w:rFonts w:ascii="Times New Roman" w:hAnsi="Times New Roman"/>
          <w:color w:val="000000"/>
          <w:sz w:val="24"/>
        </w:rPr>
        <w:t>Attn: General Counsel</w:t>
      </w:r>
      <w:r>
        <w:rPr>
          <w:rFonts w:ascii="Times New Roman" w:hAnsi="Times New Roman"/>
          <w:color w:val="000000"/>
          <w:sz w:val="20"/>
        </w:rPr>
        <w:t xml:space="preserve"> </w:t>
      </w:r>
    </w:p>
    <w:p>
      <w:pPr>
        <w:pStyle w:val="TextBody"/>
        <w:bidi w:val="0"/>
        <w:spacing w:before="240" w:after="283"/>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Either Party may change its address for notices by giving written notice of the new address to the other Party in accordance with this section, but any element of such Party’s address that is not newly provided in such notice shall be deemed not to have changed.</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15.02 </w:t>
      </w:r>
      <w:r>
        <w:rPr>
          <w:rFonts w:ascii="Times New Roman" w:hAnsi="Times New Roman"/>
          <w:color w:val="000000"/>
          <w:sz w:val="24"/>
          <w:u w:val="single"/>
        </w:rPr>
        <w:t>Waiver; Remedies</w:t>
      </w:r>
      <w:r>
        <w:rPr>
          <w:rFonts w:ascii="Times New Roman" w:hAnsi="Times New Roman"/>
          <w:b w:val="false"/>
          <w:color w:val="000000"/>
          <w:sz w:val="24"/>
        </w:rPr>
        <w:t>. The waiver or failure of either Party to exercise in any respect any right provided hereunder shall not be deemed a waiver of such right in the future or a waiver of any other rights established under this Agreement. All remedies available to either Party hereto for breach of this Agreement are cumulative and may be exercised concurrently or separately, and the exercise of any one remedy shall not be deemed an election of such remedy to the exclusion of other remedies.</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15.03 </w:t>
      </w:r>
      <w:r>
        <w:rPr>
          <w:rFonts w:ascii="Times New Roman" w:hAnsi="Times New Roman"/>
          <w:color w:val="000000"/>
          <w:sz w:val="24"/>
          <w:u w:val="single"/>
        </w:rPr>
        <w:t>Severability</w:t>
      </w:r>
      <w:r>
        <w:rPr>
          <w:rFonts w:ascii="Times New Roman" w:hAnsi="Times New Roman"/>
          <w:b w:val="false"/>
          <w:color w:val="000000"/>
          <w:sz w:val="24"/>
        </w:rPr>
        <w:t>. Should any term or provision of this Agreement be held to any extent unenforceable, invalid, or prohibited under law, then such provision shall be deemed restated to reflect the original intention of the Parties as nearly as possible in accordance with applicable law and the remainder of this Agreement. The application of any term or provision restated pursuant hereto to Persons, property, or circumstances other than those as to which it is invalid, unenforceable, or prohibited, shall not be affected thereby, and each other term and provision of this Agreement shall be valid and enforceable to the fullest extent permitted by law.</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15.04 </w:t>
      </w:r>
      <w:r>
        <w:rPr>
          <w:rFonts w:ascii="Times New Roman" w:hAnsi="Times New Roman"/>
          <w:color w:val="000000"/>
          <w:sz w:val="24"/>
          <w:u w:val="single"/>
        </w:rPr>
        <w:t>Integration; Headings</w:t>
      </w:r>
      <w:r>
        <w:rPr>
          <w:rFonts w:ascii="Times New Roman" w:hAnsi="Times New Roman"/>
          <w:b w:val="false"/>
          <w:color w:val="000000"/>
          <w:sz w:val="24"/>
        </w:rPr>
        <w:t xml:space="preserve">. This Agreement and the exhibits hereto, amends and replaces the Original Agreement and, as of the Execution Date, the Original Agreement (other than the Original Payment Structure and subject to the provisions of </w:t>
      </w:r>
      <w:r>
        <w:rPr>
          <w:rFonts w:ascii="Times New Roman" w:hAnsi="Times New Roman"/>
          <w:b w:val="false"/>
          <w:color w:val="000000"/>
          <w:sz w:val="24"/>
          <w:u w:val="single"/>
        </w:rPr>
        <w:t>Section 9.03</w:t>
      </w:r>
      <w:r>
        <w:rPr>
          <w:rFonts w:ascii="Times New Roman" w:hAnsi="Times New Roman"/>
          <w:b w:val="false"/>
          <w:color w:val="000000"/>
          <w:sz w:val="24"/>
        </w:rPr>
        <w:t xml:space="preserve">, which will remain in place until the Effective Date) shall be of no further force or effect, except as specified in </w:t>
      </w:r>
      <w:r>
        <w:rPr>
          <w:rFonts w:ascii="Times New Roman" w:hAnsi="Times New Roman"/>
          <w:b w:val="false"/>
          <w:color w:val="000000"/>
          <w:sz w:val="24"/>
          <w:u w:val="single"/>
        </w:rPr>
        <w:t>Section 15.14</w:t>
      </w:r>
      <w:r>
        <w:rPr>
          <w:rFonts w:ascii="Times New Roman" w:hAnsi="Times New Roman"/>
          <w:b w:val="false"/>
          <w:color w:val="000000"/>
          <w:sz w:val="24"/>
        </w:rPr>
        <w:t>, and following the Effective Date, the Original Agreement shall be of no further force or effect. The Agreement, the Settlement and Release Agreement, and the Joint Venture Termination Agreement constitutes the complete and exclusive statement of the agreement between the Parties with respect to the subject matter of the Original Agreement, and supersedes any and all other prior or contemporaneous oral or written communications, proposals, representations, and agreements, express or implied. This Agreement may be amended only by mutual agreement expressed in writing and signed by both Parties. Headings used in this Agreement are for reference only and shall not affect the interpretation of this Agreement.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15.05 </w:t>
      </w:r>
      <w:r>
        <w:rPr>
          <w:rFonts w:ascii="Times New Roman" w:hAnsi="Times New Roman"/>
          <w:color w:val="000000"/>
          <w:sz w:val="24"/>
          <w:u w:val="single"/>
        </w:rPr>
        <w:t>Construction</w:t>
      </w:r>
      <w:r>
        <w:rPr>
          <w:rFonts w:ascii="Times New Roman" w:hAnsi="Times New Roman"/>
          <w:b w:val="false"/>
          <w:color w:val="000000"/>
          <w:sz w:val="24"/>
        </w:rPr>
        <w:t>. The Parties hereto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of the provisions of this Agreement. Whenever required by the context, any pronoun used in this Agreement shall include the corresponding masculine, feminine or neuter forms, and the singular forms of nouns, pronouns, and verbs shall include the plural and vice versa. Reference to any agreement, document, or instrument means such agreement, document, or instrument as amended or otherwise modified from time to time in accordance with the terms thereof, and if applicable. The use of the words “include” or “including” in this Agreement shall be by way of example rather than by limitation. The use of the words “or,” “either” or “any” shall not be exclusive.</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15.06 </w:t>
      </w:r>
      <w:r>
        <w:rPr>
          <w:rFonts w:ascii="Times New Roman" w:hAnsi="Times New Roman"/>
          <w:color w:val="000000"/>
          <w:sz w:val="24"/>
          <w:u w:val="single"/>
        </w:rPr>
        <w:t>Non-Recourse</w:t>
      </w:r>
      <w:r>
        <w:rPr>
          <w:rFonts w:ascii="Times New Roman" w:hAnsi="Times New Roman"/>
          <w:b w:val="false"/>
          <w:color w:val="000000"/>
          <w:sz w:val="24"/>
        </w:rPr>
        <w:t>. Notwithstanding anything contained in this Agreement to the contrary, it is expressly understood and agreed by the Parties hereto that each and every representation, warranty, covenant, undertaking and agreement made in this Agreement was not made or intended to be made as a personal representation, undertaking, warranty, covenant, or agreement on the part of any individual or of any partner, stockholder, member or other equity holder of either Party hereto, and any recourse, whether in common law, in equity, by statute or otherwise, against any such individual or entity is hereby forever waived and released.</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15.07 </w:t>
      </w:r>
      <w:r>
        <w:rPr>
          <w:rFonts w:ascii="Times New Roman" w:hAnsi="Times New Roman"/>
          <w:color w:val="000000"/>
          <w:sz w:val="24"/>
          <w:u w:val="single"/>
        </w:rPr>
        <w:t>Governing Law; Submission to Jurisdiction</w:t>
      </w:r>
      <w:r>
        <w:rPr>
          <w:rFonts w:ascii="Times New Roman" w:hAnsi="Times New Roman"/>
          <w:b w:val="false"/>
          <w:color w:val="000000"/>
          <w:sz w:val="24"/>
        </w:rPr>
        <w:t xml:space="preserve">. Subject to the provisions of </w:t>
      </w:r>
      <w:r>
        <w:rPr>
          <w:rFonts w:ascii="Times New Roman" w:hAnsi="Times New Roman"/>
          <w:b w:val="false"/>
          <w:color w:val="000000"/>
          <w:sz w:val="24"/>
          <w:u w:val="single"/>
        </w:rPr>
        <w:t>Section 14.02</w:t>
      </w:r>
      <w:r>
        <w:rPr>
          <w:rFonts w:ascii="Times New Roman" w:hAnsi="Times New Roman"/>
          <w:color w:val="000000"/>
          <w:sz w:val="20"/>
        </w:rPr>
        <w:t xml:space="preserve"> </w:t>
      </w:r>
      <w:r>
        <w:rPr>
          <w:rFonts w:ascii="Times New Roman" w:hAnsi="Times New Roman"/>
          <w:b w:val="false"/>
          <w:color w:val="000000"/>
          <w:sz w:val="24"/>
        </w:rPr>
        <w:t>and the Parties’ agreement that the United Nations Convention on Contracts for the International Sale of Goods shall not apply to this Agreement and is hereby disclaimed by the Parties:</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color w:val="000000"/>
          <w:sz w:val="24"/>
          <w:u w:val="single"/>
        </w:rPr>
        <w:t>Governing Law</w:t>
      </w:r>
      <w:r>
        <w:rPr>
          <w:rFonts w:ascii="Times New Roman" w:hAnsi="Times New Roman"/>
          <w:b w:val="false"/>
          <w:color w:val="000000"/>
          <w:sz w:val="24"/>
        </w:rPr>
        <w:t>. This Agreement is to be construed in accordance with and governed by the internal laws of the State of Delaware without giving effect to any choice of law rule that would cause the application of the laws of any jurisdiction other than the internal laws of the State of Delaware to the rights and duties of the Parties.</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(b) </w:t>
      </w:r>
      <w:r>
        <w:rPr>
          <w:rFonts w:ascii="Times New Roman" w:hAnsi="Times New Roman"/>
          <w:b w:val="false"/>
          <w:color w:val="000000"/>
          <w:sz w:val="24"/>
          <w:u w:val="single"/>
        </w:rPr>
        <w:t>Jurisdiction</w:t>
      </w:r>
      <w:r>
        <w:rPr>
          <w:rFonts w:ascii="Times New Roman" w:hAnsi="Times New Roman"/>
          <w:b w:val="false"/>
          <w:color w:val="000000"/>
          <w:sz w:val="24"/>
        </w:rPr>
        <w:t>. Each Party hereto agrees that any legal action or other legal proceeding relating to this Agreement or the enforcement of any provision of this Agreement shall be brought or otherwise commenced exclusively in any state or federal court located in Delaware or in New York, New York. Subject to the preceding sentence, each Party hereto:</w:t>
      </w:r>
    </w:p>
    <w:p>
      <w:pPr>
        <w:pStyle w:val="Heading1"/>
        <w:bidi w:val="0"/>
        <w:spacing w:before="240" w:after="283"/>
        <w:jc w:val="both"/>
        <w:rPr>
          <w:rFonts w:ascii="Times New Roman" w:hAnsi="Times New Roman"/>
          <w:b w:val="false"/>
          <w:color w:val="000000"/>
          <w:sz w:val="24"/>
        </w:rPr>
      </w:pPr>
      <w:r>
        <w:rPr>
          <w:rFonts w:ascii="Times New Roman" w:hAnsi="Times New Roman"/>
          <w:b w:val="false"/>
          <w:color w:val="000000"/>
          <w:sz w:val="24"/>
        </w:rPr>
        <w:t>(i) expressly and irrevocably consents and submits to the jurisdiction of each state and federal court located in New York, New York (and each appellate court located in the State of New York) in connection with any such legal proceeding, including to enforce any settlement, order or award;</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(ii) consents to service of process in any such proceeding in any manner permitted by the laws of the State of New York, and agrees that service of process by registered or certified mail, return receipt requested, at its address specified pursuant to </w:t>
      </w:r>
      <w:r>
        <w:rPr>
          <w:rFonts w:ascii="Times New Roman" w:hAnsi="Times New Roman"/>
          <w:b w:val="false"/>
          <w:color w:val="000000"/>
          <w:sz w:val="24"/>
          <w:u w:val="single"/>
        </w:rPr>
        <w:t>Section 15.01</w:t>
      </w:r>
      <w:r>
        <w:rPr>
          <w:rFonts w:ascii="Times New Roman" w:hAnsi="Times New Roman"/>
          <w:color w:val="000000"/>
          <w:sz w:val="20"/>
        </w:rPr>
        <w:t xml:space="preserve"> </w:t>
      </w:r>
      <w:r>
        <w:rPr>
          <w:rFonts w:ascii="Times New Roman" w:hAnsi="Times New Roman"/>
          <w:b w:val="false"/>
          <w:color w:val="000000"/>
          <w:sz w:val="24"/>
        </w:rPr>
        <w:t>is reasonably calculated to give actual notice;</w:t>
      </w:r>
    </w:p>
    <w:p>
      <w:pPr>
        <w:pStyle w:val="Heading1"/>
        <w:bidi w:val="0"/>
        <w:spacing w:before="240" w:after="283"/>
        <w:jc w:val="both"/>
        <w:rPr>
          <w:rFonts w:ascii="Times New Roman" w:hAnsi="Times New Roman"/>
          <w:b w:val="false"/>
          <w:color w:val="000000"/>
          <w:sz w:val="24"/>
        </w:rPr>
      </w:pPr>
      <w:r>
        <w:rPr>
          <w:rFonts w:ascii="Times New Roman" w:hAnsi="Times New Roman"/>
          <w:b w:val="false"/>
          <w:color w:val="000000"/>
          <w:sz w:val="24"/>
        </w:rPr>
        <w:t>(iii) agrees that each state and federal court located in New York, New York shall be deemed to be a convenient forum;</w:t>
      </w:r>
    </w:p>
    <w:p>
      <w:pPr>
        <w:pStyle w:val="Heading1"/>
        <w:bidi w:val="0"/>
        <w:spacing w:before="240" w:after="283"/>
        <w:jc w:val="both"/>
        <w:rPr>
          <w:rFonts w:ascii="Times New Roman" w:hAnsi="Times New Roman"/>
          <w:b w:val="false"/>
          <w:color w:val="000000"/>
          <w:sz w:val="24"/>
        </w:rPr>
      </w:pPr>
      <w:r>
        <w:rPr>
          <w:rFonts w:ascii="Times New Roman" w:hAnsi="Times New Roman"/>
          <w:b w:val="false"/>
          <w:color w:val="000000"/>
          <w:sz w:val="24"/>
        </w:rPr>
        <w:t>(iv) waives and agrees not to assert (by way of motion, as a defense or otherwise), in any such legal proceeding commenced in any state or federal court located in New York, New York, any claim that such Party is not subject personally to the jurisdiction of such court, that such legal proceeding has been brought in an inconvenient forum, that the venue of such proceeding is improper or that this Agreement or the subject matter hereof or thereof may not be enforced in or by such court; and</w:t>
      </w:r>
    </w:p>
    <w:p>
      <w:pPr>
        <w:pStyle w:val="Heading1"/>
        <w:bidi w:val="0"/>
        <w:spacing w:before="240" w:after="283"/>
        <w:jc w:val="both"/>
        <w:rPr>
          <w:rFonts w:ascii="Times New Roman" w:hAnsi="Times New Roman"/>
          <w:b w:val="false"/>
          <w:color w:val="000000"/>
          <w:sz w:val="24"/>
        </w:rPr>
      </w:pPr>
      <w:r>
        <w:rPr>
          <w:rFonts w:ascii="Times New Roman" w:hAnsi="Times New Roman"/>
          <w:b w:val="false"/>
          <w:color w:val="000000"/>
          <w:sz w:val="24"/>
        </w:rPr>
        <w:t>(v) agrees to the entry of an order to enforce any resolution, settlement, order or award made pursuant to this Section by the state and federal courts located in New York, New York and in connection therewith hereby waives, and agrees not to assert by way of motion, as a defense, or otherwise, any claim that such resolution, settlement, order or award is inconsistent with or violative of the laws or public policy of the laws of the State of New York or any other jurisdiction.</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(c) </w:t>
      </w:r>
      <w:r>
        <w:rPr>
          <w:rFonts w:ascii="Times New Roman" w:hAnsi="Times New Roman"/>
          <w:b w:val="false"/>
          <w:color w:val="000000"/>
          <w:sz w:val="24"/>
          <w:u w:val="single"/>
        </w:rPr>
        <w:t>Jury Trial</w:t>
      </w:r>
      <w:r>
        <w:rPr>
          <w:rFonts w:ascii="Times New Roman" w:hAnsi="Times New Roman"/>
          <w:b w:val="false"/>
          <w:color w:val="000000"/>
          <w:sz w:val="24"/>
        </w:rPr>
        <w:t>.</w:t>
      </w:r>
      <w:r>
        <w:rPr>
          <w:rFonts w:ascii="Times New Roman" w:hAnsi="Times New Roman"/>
          <w:color w:val="000000"/>
          <w:sz w:val="20"/>
        </w:rPr>
        <w:t xml:space="preserve"> </w:t>
      </w:r>
      <w:r>
        <w:rPr>
          <w:rFonts w:ascii="Times New Roman" w:hAnsi="Times New Roman"/>
          <w:b w:val="false"/>
          <w:color w:val="000000"/>
          <w:sz w:val="24"/>
        </w:rPr>
        <w:t xml:space="preserve">Each Party irrevocably and unconditionally waives any right it may have to a trial by jury in respect of any dispute arising out of or relating to this Agreement. Each Party acknowledges and agrees that (a) such Party has considered the implications of this waiver, (b) such Party makes this waiver knowingly and voluntarily, after consulting or having had the opportunity to consult with counsel of their choice, and (c) such Party has been induced to enter into this Agreement by, among other things, the mutual waivers and certifications in this </w:t>
      </w:r>
      <w:r>
        <w:rPr>
          <w:rFonts w:ascii="Times New Roman" w:hAnsi="Times New Roman"/>
          <w:b w:val="false"/>
          <w:color w:val="000000"/>
          <w:sz w:val="24"/>
          <w:u w:val="single"/>
        </w:rPr>
        <w:t>Section 15.07</w:t>
      </w:r>
      <w:r>
        <w:rPr>
          <w:rFonts w:ascii="Times New Roman" w:hAnsi="Times New Roman"/>
          <w:b w:val="false"/>
          <w:color w:val="000000"/>
          <w:sz w:val="24"/>
        </w:rPr>
        <w:t>.</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(d) </w:t>
      </w:r>
      <w:r>
        <w:rPr>
          <w:rFonts w:ascii="Times New Roman" w:hAnsi="Times New Roman"/>
          <w:b w:val="false"/>
          <w:color w:val="000000"/>
          <w:sz w:val="24"/>
          <w:u w:val="single"/>
        </w:rPr>
        <w:t>Costs and Expenses</w:t>
      </w:r>
      <w:r>
        <w:rPr>
          <w:rFonts w:ascii="Times New Roman" w:hAnsi="Times New Roman"/>
          <w:b w:val="false"/>
          <w:color w:val="000000"/>
          <w:sz w:val="24"/>
        </w:rPr>
        <w:t>. In the event of any action or other proceeding relating to this Agreement or the enforcement of any provision of this Agreement, the prevailing party (as determined by the court) shall be entitled to payment by the non-prevailing party of all costs and expenses (including reasonable attorneys’ fees) incurred by</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b w:val="false"/>
          <w:color w:val="000000"/>
          <w:sz w:val="24"/>
        </w:rPr>
      </w:pPr>
      <w:r>
        <w:rPr>
          <w:rFonts w:ascii="Times New Roman" w:hAnsi="Times New Roman"/>
          <w:b w:val="false"/>
          <w:color w:val="000000"/>
          <w:sz w:val="24"/>
        </w:rPr>
        <w:t>the prevailing party, including any costs and expenses incurred in connection with any challenge to the jurisdiction or the convenience or propriety of venue of proceedings before any state or federal court located in New York, New York.</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15.08 </w:t>
      </w:r>
      <w:r>
        <w:rPr>
          <w:rFonts w:ascii="Times New Roman" w:hAnsi="Times New Roman"/>
          <w:color w:val="000000"/>
          <w:sz w:val="24"/>
          <w:u w:val="single"/>
        </w:rPr>
        <w:t>Assignment</w:t>
      </w:r>
      <w:r>
        <w:rPr>
          <w:rFonts w:ascii="Times New Roman" w:hAnsi="Times New Roman"/>
          <w:b w:val="false"/>
          <w:color w:val="000000"/>
          <w:sz w:val="24"/>
        </w:rPr>
        <w:t>. Neither Party may assign or transfer, by operation of law or otherwise, any of its rights or obligations under this Agreement to any third party without the other Party’s prior written consent. Either Party may fulfill their respective obligations hereunder by using third-party vendors or subcontractors; provided, however that such Party shall remain fully and primarily responsible to ensure that such obligations are satisfied. AMC acknowledges and agrees that in the event of assignment or transfer by the sale of all or substantially all of its assets, the failure to obtain (by operation of law or otherwise) an agreement in writing by assignee/transferee to be bound by the terms of this Agreement to the same extent as if such assignee/transferee were a party hereto (an “</w:t>
      </w:r>
      <w:r>
        <w:rPr>
          <w:rFonts w:ascii="Times New Roman" w:hAnsi="Times New Roman"/>
          <w:color w:val="000000"/>
          <w:sz w:val="24"/>
        </w:rPr>
        <w:t>Assignment and Assumption</w:t>
      </w:r>
      <w:r>
        <w:rPr>
          <w:rFonts w:ascii="Times New Roman" w:hAnsi="Times New Roman"/>
          <w:color w:val="000000"/>
          <w:sz w:val="20"/>
        </w:rPr>
        <w:t>”</w:t>
      </w:r>
      <w:r>
        <w:rPr>
          <w:rFonts w:ascii="Times New Roman" w:hAnsi="Times New Roman"/>
          <w:b w:val="false"/>
          <w:color w:val="000000"/>
          <w:sz w:val="24"/>
        </w:rPr>
        <w:t>) of its interest in this Agreement in respect of such assets as part of the sale shall constitute a material breach of this Agreement. Notwithstanding the foregoing, this Agreement shall not be assignable by either Party unless the assignee enters into an Assignment and Assumption. A Permitted Transfer shall not be deemed an assignment or transfer for purposes of this Agreement; provided, however, any Permitted Transfer by assignment to an Affiliate of AMC shall be (i) conditioned upon (A) the transferee entering into an Assignment and Assumption, (B) AMC agreeing in writing to remain bound by the obligations under this Agreement, and (ii) effective only so long as the Affiliate remains an Affiliate of transferee, and must be made for a bona fide business purpose. Any attempted assignment in violation of this section shall be void.</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15.09 </w:t>
      </w:r>
      <w:r>
        <w:rPr>
          <w:rFonts w:ascii="Times New Roman" w:hAnsi="Times New Roman"/>
          <w:color w:val="000000"/>
          <w:sz w:val="24"/>
          <w:u w:val="single"/>
        </w:rPr>
        <w:t>Force Majeure</w:t>
      </w:r>
      <w:r>
        <w:rPr>
          <w:rFonts w:ascii="Times New Roman" w:hAnsi="Times New Roman"/>
          <w:b w:val="false"/>
          <w:color w:val="000000"/>
          <w:sz w:val="24"/>
        </w:rPr>
        <w:t>. Any delay in the performance of any duties or obligations of either Party (except the payment of money owed) will not be considered a breach of this Agreement if such delay is caused by a pandemic, epidemic, disease outbreak, labor dispute, shortage of materials, fire, earthquake, flood, or any other event beyond the control of such Party, provided that such Party uses commercially reasonable efforts, under the circumstances, to notify the other Party of the circumstances causing the delay and to resume performance as soon as possible.</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15.10 </w:t>
      </w:r>
      <w:r>
        <w:rPr>
          <w:rFonts w:ascii="Times New Roman" w:hAnsi="Times New Roman"/>
          <w:color w:val="000000"/>
          <w:sz w:val="24"/>
          <w:u w:val="single"/>
        </w:rPr>
        <w:t>Third Party Beneficiary</w:t>
      </w:r>
      <w:r>
        <w:rPr>
          <w:rFonts w:ascii="Times New Roman" w:hAnsi="Times New Roman"/>
          <w:b w:val="false"/>
          <w:color w:val="000000"/>
          <w:sz w:val="24"/>
        </w:rPr>
        <w:t>. The Parties hereto do not intend, nor shall any clause be interpreted, to create under this Agreement any obligations or benefits to, or rights in, any third party from either LLC or AMC. Neither Party hereto is granted any right or authority to assume or create any obligation or responsibility, express or implied, on behalf of, or in the name of, the other Party, or to bind the other Party in any matter or thing whatever. No Affiliate of either Party shall have any liability or obligation pursuant to this Agreement. Each Party shall be solely responsible, and each Party agrees to look solely to the other, for the satisfaction of such other Party’s obligations under this Agreement.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15.11 </w:t>
      </w:r>
      <w:r>
        <w:rPr>
          <w:rFonts w:ascii="Times New Roman" w:hAnsi="Times New Roman"/>
          <w:color w:val="000000"/>
          <w:sz w:val="24"/>
          <w:u w:val="single"/>
        </w:rPr>
        <w:t>Export</w:t>
      </w:r>
      <w:r>
        <w:rPr>
          <w:rFonts w:ascii="Times New Roman" w:hAnsi="Times New Roman"/>
          <w:b w:val="false"/>
          <w:color w:val="000000"/>
          <w:sz w:val="24"/>
        </w:rPr>
        <w:t>.</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color w:val="000000"/>
          <w:sz w:val="24"/>
          <w:u w:val="single"/>
        </w:rPr>
        <w:t>LLC’s Software and Confidential Information</w:t>
      </w:r>
      <w:r>
        <w:rPr>
          <w:rFonts w:ascii="Times New Roman" w:hAnsi="Times New Roman"/>
          <w:b w:val="false"/>
          <w:color w:val="000000"/>
          <w:sz w:val="24"/>
        </w:rPr>
        <w:t>. AMC acknowledges and agrees: (i) that the Software and the Confidential Information of LLC are subject to the export controls of the United States, and (ii) that AMC has no right to, and further agrees that it will not, export or otherwise transfer or permit the transfer of any Software or Confidential Information of LLC outside the Territory. AMC will defend, indemnify, and hold harmless LLC from and against all fines, penalties, liabilities, damages, costs, and expenses incurred by LLC as a result of any failure to comply with the preceding sentence.</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(b) </w:t>
      </w:r>
      <w:r>
        <w:rPr>
          <w:rFonts w:ascii="Times New Roman" w:hAnsi="Times New Roman"/>
          <w:b w:val="false"/>
          <w:color w:val="000000"/>
          <w:sz w:val="24"/>
          <w:u w:val="single"/>
        </w:rPr>
        <w:t>AMC’s Confidential Information</w:t>
      </w:r>
      <w:r>
        <w:rPr>
          <w:rFonts w:ascii="Times New Roman" w:hAnsi="Times New Roman"/>
          <w:b w:val="false"/>
          <w:color w:val="000000"/>
          <w:sz w:val="24"/>
        </w:rPr>
        <w:t>. LLC acknowledges and agrees: (i) that the Confidential Information of AMC is subject to the export controls of the United States, and(ii) that LLC has no right to, and further agrees that it will not, export or otherwise transfer or permit the transfer of any Confidential Information of AMC outside the Territory. LLC will defend, indemnify, and hold harmless AMC from and against all fines, penalties, liabilities, damages, costs, and expenses incurred by AMC as a result of any failure to comply with the preceding sentence.</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15.12 </w:t>
      </w:r>
      <w:r>
        <w:rPr>
          <w:rFonts w:ascii="Times New Roman" w:hAnsi="Times New Roman"/>
          <w:color w:val="000000"/>
          <w:sz w:val="24"/>
          <w:u w:val="single"/>
        </w:rPr>
        <w:t>Independent Contractors</w:t>
      </w:r>
      <w:r>
        <w:rPr>
          <w:rFonts w:ascii="Times New Roman" w:hAnsi="Times New Roman"/>
          <w:b w:val="false"/>
          <w:color w:val="000000"/>
          <w:sz w:val="24"/>
        </w:rPr>
        <w:t>. The Parties’ relationship to each other is that of an independent contractor, and neither Party is an agent or partner of the other. Neither Party will represent to any third party that it has, any authority to act on behalf of the other.</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15.13 </w:t>
      </w:r>
      <w:r>
        <w:rPr>
          <w:rFonts w:ascii="Times New Roman" w:hAnsi="Times New Roman"/>
          <w:color w:val="000000"/>
          <w:sz w:val="24"/>
          <w:u w:val="single"/>
        </w:rPr>
        <w:t>Counterparts</w:t>
      </w:r>
      <w:r>
        <w:rPr>
          <w:rFonts w:ascii="Times New Roman" w:hAnsi="Times New Roman"/>
          <w:b w:val="false"/>
          <w:color w:val="000000"/>
          <w:sz w:val="24"/>
        </w:rPr>
        <w:t>. This Agreement may be executed in any number of separate counterparts each of which when executed and delivered to the other Party hereto shall be an original as against the Party whose signature appears thereon, but all such counterparts shall together constitute one and the same instrument.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15.14 </w:t>
      </w:r>
      <w:r>
        <w:rPr>
          <w:rFonts w:ascii="Times New Roman" w:hAnsi="Times New Roman"/>
          <w:color w:val="000000"/>
          <w:sz w:val="24"/>
          <w:u w:val="single"/>
        </w:rPr>
        <w:t>Effective Date</w:t>
      </w:r>
      <w:r>
        <w:rPr>
          <w:rFonts w:ascii="Times New Roman" w:hAnsi="Times New Roman"/>
          <w:b w:val="false"/>
          <w:color w:val="000000"/>
          <w:sz w:val="24"/>
        </w:rPr>
        <w:t xml:space="preserve">. This Agreement will be effective on the Execution Date except for the revisions to the fees payable under </w:t>
      </w:r>
      <w:r>
        <w:rPr>
          <w:rFonts w:ascii="Times New Roman" w:hAnsi="Times New Roman"/>
          <w:b w:val="false"/>
          <w:color w:val="000000"/>
          <w:sz w:val="24"/>
          <w:u w:val="single"/>
        </w:rPr>
        <w:t>Section 2.05</w:t>
      </w:r>
      <w:r>
        <w:rPr>
          <w:rFonts w:ascii="Times New Roman" w:hAnsi="Times New Roman"/>
          <w:b w:val="false"/>
          <w:color w:val="000000"/>
          <w:sz w:val="24"/>
        </w:rPr>
        <w:t xml:space="preserve">. Prior to the Effective Date, </w:t>
      </w:r>
      <w:r>
        <w:rPr>
          <w:rFonts w:ascii="Times New Roman" w:hAnsi="Times New Roman"/>
          <w:b w:val="false"/>
          <w:color w:val="000000"/>
          <w:sz w:val="24"/>
          <w:u w:val="single"/>
        </w:rPr>
        <w:t>Section 2.05</w:t>
      </w:r>
      <w:r>
        <w:rPr>
          <w:rFonts w:ascii="Times New Roman" w:hAnsi="Times New Roman"/>
          <w:color w:val="000000"/>
          <w:sz w:val="20"/>
        </w:rPr>
        <w:t xml:space="preserve"> </w:t>
      </w:r>
      <w:r>
        <w:rPr>
          <w:rFonts w:ascii="Times New Roman" w:hAnsi="Times New Roman"/>
          <w:b w:val="false"/>
          <w:color w:val="000000"/>
          <w:sz w:val="24"/>
        </w:rPr>
        <w:t>of the Original Agreement and its related schedules will remain effective (the “</w:t>
      </w:r>
      <w:r>
        <w:rPr>
          <w:rFonts w:ascii="Times New Roman" w:hAnsi="Times New Roman"/>
          <w:color w:val="000000"/>
          <w:sz w:val="24"/>
        </w:rPr>
        <w:t>Original Payment Structure</w:t>
      </w:r>
      <w:r>
        <w:rPr>
          <w:rFonts w:ascii="Times New Roman" w:hAnsi="Times New Roman"/>
          <w:color w:val="000000"/>
          <w:sz w:val="20"/>
        </w:rPr>
        <w:t>”</w:t>
      </w:r>
      <w:r>
        <w:rPr>
          <w:rFonts w:ascii="Times New Roman" w:hAnsi="Times New Roman"/>
          <w:b w:val="false"/>
          <w:color w:val="000000"/>
          <w:sz w:val="24"/>
        </w:rPr>
        <w:t xml:space="preserve">), and beginning on the Effective Date, LLC will begin to make the payments specified under </w:t>
      </w:r>
      <w:r>
        <w:rPr>
          <w:rFonts w:ascii="Times New Roman" w:hAnsi="Times New Roman"/>
          <w:b w:val="false"/>
          <w:color w:val="000000"/>
          <w:sz w:val="24"/>
          <w:u w:val="single"/>
        </w:rPr>
        <w:t>Section 2.05</w:t>
      </w:r>
      <w:r>
        <w:rPr>
          <w:rFonts w:ascii="Times New Roman" w:hAnsi="Times New Roman"/>
          <w:color w:val="000000"/>
          <w:sz w:val="20"/>
        </w:rPr>
        <w:t xml:space="preserve"> </w:t>
      </w:r>
      <w:r>
        <w:rPr>
          <w:rFonts w:ascii="Times New Roman" w:hAnsi="Times New Roman"/>
          <w:b w:val="false"/>
          <w:color w:val="000000"/>
          <w:sz w:val="24"/>
        </w:rPr>
        <w:t>of this Agreement.</w:t>
      </w:r>
      <w:r>
        <w:rPr>
          <w:rFonts w:ascii="Times New Roman" w:hAnsi="Times New Roman"/>
          <w:color w:val="000000"/>
          <w:sz w:val="20"/>
        </w:rPr>
        <w:t xml:space="preserve"> </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Section 15.15 </w:t>
      </w:r>
      <w:r>
        <w:rPr>
          <w:rFonts w:ascii="Times New Roman" w:hAnsi="Times New Roman"/>
          <w:color w:val="000000"/>
          <w:sz w:val="24"/>
          <w:u w:val="single"/>
        </w:rPr>
        <w:t>Amendment and Restatement</w:t>
      </w:r>
      <w:r>
        <w:rPr>
          <w:rFonts w:ascii="Times New Roman" w:hAnsi="Times New Roman"/>
          <w:b w:val="false"/>
          <w:color w:val="000000"/>
          <w:sz w:val="24"/>
        </w:rPr>
        <w:t xml:space="preserve">. The Original Agreement is hereby amended and restated in its entirety to read as set forth herein. Such amendment and restatement is effective upon the Execution Date, upon and after which such date all provisions of, rights granted and covenants made in the Original Agreement are hereby replaced and superseded in their entirety; provided that this amendment and restatement will not impact the rights specified in </w:t>
      </w:r>
      <w:r>
        <w:rPr>
          <w:rFonts w:ascii="Times New Roman" w:hAnsi="Times New Roman"/>
          <w:b w:val="false"/>
          <w:color w:val="000000"/>
          <w:sz w:val="24"/>
          <w:u w:val="single"/>
        </w:rPr>
        <w:t>Section 9.03</w:t>
      </w:r>
      <w:r>
        <w:rPr>
          <w:rFonts w:ascii="Times New Roman" w:hAnsi="Times New Roman"/>
          <w:color w:val="000000"/>
          <w:sz w:val="20"/>
        </w:rPr>
        <w:t xml:space="preserve"> </w:t>
      </w:r>
      <w:r>
        <w:rPr>
          <w:rFonts w:ascii="Times New Roman" w:hAnsi="Times New Roman"/>
          <w:b w:val="false"/>
          <w:color w:val="000000"/>
          <w:sz w:val="24"/>
        </w:rPr>
        <w:t>in the event of an AMC Optional Termination Right or LLC Optional Termination Right.</w:t>
      </w:r>
    </w:p>
    <w:p>
      <w:pPr>
        <w:pStyle w:val="TextBody"/>
        <w:bidi w:val="0"/>
        <w:spacing w:before="240" w:after="283"/>
        <w:jc w:val="center"/>
        <w:rPr>
          <w:rFonts w:ascii="Times New Roman" w:hAnsi="Times New Roman"/>
          <w:sz w:val="20"/>
        </w:rPr>
      </w:pPr>
      <w:r>
        <w:rPr>
          <w:rFonts w:ascii="Times New Roman" w:hAnsi="Times New Roman"/>
          <w:b/>
          <w:color w:val="000000"/>
          <w:sz w:val="24"/>
        </w:rPr>
        <w:t>[</w:t>
      </w:r>
      <w:r>
        <w:rPr>
          <w:rFonts w:ascii="Times New Roman" w:hAnsi="Times New Roman"/>
          <w:color w:val="000000"/>
          <w:sz w:val="24"/>
        </w:rPr>
        <w:t>Signature Page to Follow</w:t>
      </w:r>
      <w:r>
        <w:rPr>
          <w:rFonts w:ascii="Times New Roman" w:hAnsi="Times New Roman"/>
          <w:b/>
          <w:color w:val="000000"/>
          <w:sz w:val="24"/>
        </w:rPr>
        <w:t>]</w:t>
      </w:r>
    </w:p>
    <w:p>
      <w:pPr>
        <w:pStyle w:val="TextBody"/>
        <w:bidi w:val="0"/>
        <w:spacing w:before="240" w:after="283"/>
        <w:jc w:val="center"/>
        <w:rPr/>
      </w:pPr>
      <w:r>
        <w:rPr/>
        <w:t>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p>
      <w:pPr>
        <w:pStyle w:val="TextBody"/>
        <w:bidi w:val="0"/>
        <w:spacing w:before="240" w:after="283"/>
        <w:jc w:val="left"/>
        <w:rPr>
          <w:rFonts w:ascii="Times New Roman" w:hAnsi="Times New Roman"/>
          <w:color w:val="080808"/>
          <w:sz w:val="24"/>
        </w:rPr>
      </w:pPr>
      <w:r>
        <w:rPr>
          <w:rFonts w:ascii="Times New Roman" w:hAnsi="Times New Roman"/>
          <w:color w:val="080808"/>
          <w:sz w:val="24"/>
        </w:rPr>
        <w:t>IN WITNESS WHEREOF, the Parties have executed this Agreement as of the day and year first above written.</w:t>
      </w:r>
    </w:p>
    <w:p>
      <w:pPr>
        <w:pStyle w:val="TextBody"/>
        <w:bidi w:val="0"/>
        <w:spacing w:before="240" w:after="283"/>
        <w:jc w:val="left"/>
        <w:rPr/>
      </w:pPr>
      <w:r>
        <w:rPr/>
        <w:t> </w:t>
      </w:r>
    </w:p>
    <w:p>
      <w:pPr>
        <w:pStyle w:val="TextBody"/>
        <w:bidi w:val="0"/>
        <w:spacing w:before="240" w:after="283"/>
        <w:jc w:val="left"/>
        <w:rPr/>
      </w:pPr>
      <w:r>
        <w:rPr/>
        <w:t> </w:t>
      </w:r>
    </w:p>
    <w:p>
      <w:pPr>
        <w:pStyle w:val="TextBody"/>
        <w:bidi w:val="0"/>
        <w:jc w:val="left"/>
        <w:rPr>
          <w:rFonts w:ascii="Times New Roman" w:hAnsi="Times New Roman"/>
          <w:b/>
          <w:color w:val="080808"/>
          <w:sz w:val="24"/>
        </w:rPr>
      </w:pPr>
      <w:r>
        <w:rPr>
          <w:rFonts w:ascii="Times New Roman" w:hAnsi="Times New Roman"/>
          <w:b/>
          <w:color w:val="080808"/>
          <w:sz w:val="24"/>
        </w:rPr>
        <w:t>American Multi-Cinema, Inc.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80808"/>
          <w:sz w:val="24"/>
        </w:rPr>
        <w:t xml:space="preserve">By: </w:t>
      </w:r>
      <w:r>
        <w:rPr>
          <w:rFonts w:ascii="Times New Roman" w:hAnsi="Times New Roman"/>
          <w:color w:val="080808"/>
          <w:sz w:val="24"/>
          <w:u w:val="single"/>
        </w:rPr>
        <w:t xml:space="preserve">/s/ Sean D. Goodman </w:t>
      </w:r>
    </w:p>
    <w:p>
      <w:pPr>
        <w:pStyle w:val="TextBody"/>
        <w:bidi w:val="0"/>
        <w:jc w:val="left"/>
        <w:rPr>
          <w:rFonts w:ascii="Times New Roman" w:hAnsi="Times New Roman"/>
          <w:color w:val="080808"/>
          <w:sz w:val="24"/>
        </w:rPr>
      </w:pPr>
      <w:r>
        <w:rPr>
          <w:rFonts w:ascii="Times New Roman" w:hAnsi="Times New Roman"/>
          <w:color w:val="080808"/>
          <w:sz w:val="24"/>
        </w:rPr>
        <w:t>Name: Sean D. Goodman</w:t>
      </w:r>
    </w:p>
    <w:p>
      <w:pPr>
        <w:pStyle w:val="TextBody"/>
        <w:bidi w:val="0"/>
        <w:jc w:val="left"/>
        <w:rPr>
          <w:rFonts w:ascii="Times New Roman" w:hAnsi="Times New Roman"/>
          <w:color w:val="080808"/>
          <w:sz w:val="24"/>
        </w:rPr>
      </w:pPr>
      <w:r>
        <w:rPr>
          <w:rFonts w:ascii="Times New Roman" w:hAnsi="Times New Roman"/>
          <w:color w:val="080808"/>
          <w:sz w:val="24"/>
        </w:rPr>
        <w:t>Title: Executive Vice President, Chief Financial Officer &amp; Treasurer</w:t>
      </w:r>
    </w:p>
    <w:p>
      <w:pPr>
        <w:pStyle w:val="TextBody"/>
        <w:bidi w:val="0"/>
        <w:spacing w:before="240" w:after="283"/>
        <w:jc w:val="left"/>
        <w:rPr/>
      </w:pPr>
      <w:r>
        <w:rPr/>
        <w:t> </w:t>
      </w:r>
    </w:p>
    <w:p>
      <w:pPr>
        <w:pStyle w:val="TextBody"/>
        <w:bidi w:val="0"/>
        <w:jc w:val="left"/>
        <w:rPr>
          <w:rFonts w:ascii="Times New Roman" w:hAnsi="Times New Roman"/>
          <w:b/>
          <w:color w:val="080808"/>
          <w:sz w:val="24"/>
        </w:rPr>
      </w:pPr>
      <w:r>
        <w:rPr>
          <w:rFonts w:ascii="Times New Roman" w:hAnsi="Times New Roman"/>
          <w:b/>
          <w:color w:val="080808"/>
          <w:sz w:val="24"/>
        </w:rPr>
        <w:t>Muvico, LLC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80808"/>
          <w:sz w:val="24"/>
        </w:rPr>
        <w:t xml:space="preserve">By: </w:t>
      </w:r>
      <w:r>
        <w:rPr>
          <w:rFonts w:ascii="Times New Roman" w:hAnsi="Times New Roman"/>
          <w:color w:val="080808"/>
          <w:sz w:val="24"/>
          <w:u w:val="single"/>
        </w:rPr>
        <w:t xml:space="preserve">/s/ Sean D. Goodman </w:t>
      </w:r>
    </w:p>
    <w:p>
      <w:pPr>
        <w:pStyle w:val="TextBody"/>
        <w:bidi w:val="0"/>
        <w:jc w:val="left"/>
        <w:rPr>
          <w:rFonts w:ascii="Times New Roman" w:hAnsi="Times New Roman"/>
          <w:color w:val="080808"/>
          <w:sz w:val="24"/>
        </w:rPr>
      </w:pPr>
      <w:r>
        <w:rPr>
          <w:rFonts w:ascii="Times New Roman" w:hAnsi="Times New Roman"/>
          <w:color w:val="080808"/>
          <w:sz w:val="24"/>
        </w:rPr>
        <w:t>Name: Sean D. Goodman</w:t>
      </w:r>
    </w:p>
    <w:p>
      <w:pPr>
        <w:pStyle w:val="TextBody"/>
        <w:bidi w:val="0"/>
        <w:jc w:val="left"/>
        <w:rPr>
          <w:rFonts w:ascii="Times New Roman" w:hAnsi="Times New Roman"/>
          <w:color w:val="080808"/>
          <w:sz w:val="24"/>
        </w:rPr>
      </w:pPr>
      <w:r>
        <w:rPr>
          <w:rFonts w:ascii="Times New Roman" w:hAnsi="Times New Roman"/>
          <w:color w:val="080808"/>
          <w:sz w:val="24"/>
        </w:rPr>
        <w:t>Title: Executive Vice President, Chief Financial Officer &amp; Treasurer</w:t>
      </w:r>
    </w:p>
    <w:p>
      <w:pPr>
        <w:pStyle w:val="TextBody"/>
        <w:bidi w:val="0"/>
        <w:spacing w:before="240" w:after="283"/>
        <w:jc w:val="left"/>
        <w:rPr/>
      </w:pPr>
      <w:r>
        <w:rPr/>
        <w:t> </w:t>
      </w:r>
    </w:p>
    <w:p>
      <w:pPr>
        <w:pStyle w:val="TextBody"/>
        <w:bidi w:val="0"/>
        <w:jc w:val="left"/>
        <w:rPr>
          <w:rFonts w:ascii="Times New Roman" w:hAnsi="Times New Roman"/>
          <w:b/>
          <w:color w:val="080808"/>
          <w:sz w:val="24"/>
        </w:rPr>
      </w:pPr>
      <w:r>
        <w:rPr>
          <w:rFonts w:ascii="Times New Roman" w:hAnsi="Times New Roman"/>
          <w:b/>
          <w:color w:val="080808"/>
          <w:sz w:val="24"/>
        </w:rPr>
        <w:t>AMC Entertainment Holdings, Inc.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80808"/>
          <w:sz w:val="24"/>
        </w:rPr>
        <w:t xml:space="preserve">By: </w:t>
      </w:r>
      <w:r>
        <w:rPr>
          <w:rFonts w:ascii="Times New Roman" w:hAnsi="Times New Roman"/>
          <w:color w:val="080808"/>
          <w:sz w:val="24"/>
          <w:u w:val="single"/>
        </w:rPr>
        <w:t xml:space="preserve">/s/ Sean D. Goodman </w:t>
      </w:r>
    </w:p>
    <w:p>
      <w:pPr>
        <w:pStyle w:val="TextBody"/>
        <w:bidi w:val="0"/>
        <w:jc w:val="left"/>
        <w:rPr>
          <w:rFonts w:ascii="Times New Roman" w:hAnsi="Times New Roman"/>
          <w:color w:val="080808"/>
          <w:sz w:val="24"/>
        </w:rPr>
      </w:pPr>
      <w:r>
        <w:rPr>
          <w:rFonts w:ascii="Times New Roman" w:hAnsi="Times New Roman"/>
          <w:color w:val="080808"/>
          <w:sz w:val="24"/>
        </w:rPr>
        <w:t>Name: Sean D. Goodman</w:t>
      </w:r>
    </w:p>
    <w:p>
      <w:pPr>
        <w:pStyle w:val="TextBody"/>
        <w:bidi w:val="0"/>
        <w:jc w:val="left"/>
        <w:rPr>
          <w:rFonts w:ascii="Times New Roman" w:hAnsi="Times New Roman"/>
          <w:color w:val="080808"/>
          <w:sz w:val="24"/>
        </w:rPr>
      </w:pPr>
      <w:r>
        <w:rPr>
          <w:rFonts w:ascii="Times New Roman" w:hAnsi="Times New Roman"/>
          <w:color w:val="080808"/>
          <w:sz w:val="24"/>
        </w:rPr>
        <w:t>Title: Executive Vice President, Chief Financial Officer &amp; Treasurer</w:t>
      </w:r>
    </w:p>
    <w:p>
      <w:pPr>
        <w:pStyle w:val="TextBody"/>
        <w:bidi w:val="0"/>
        <w:spacing w:before="240" w:after="283"/>
        <w:jc w:val="left"/>
        <w:rPr/>
      </w:pPr>
      <w:r>
        <w:rPr/>
        <w:t> </w:t>
      </w:r>
    </w:p>
    <w:p>
      <w:pPr>
        <w:pStyle w:val="TextBody"/>
        <w:bidi w:val="0"/>
        <w:jc w:val="left"/>
        <w:rPr>
          <w:rFonts w:ascii="Times New Roman" w:hAnsi="Times New Roman"/>
          <w:b/>
          <w:color w:val="080808"/>
          <w:sz w:val="24"/>
        </w:rPr>
      </w:pPr>
      <w:r>
        <w:rPr>
          <w:rFonts w:ascii="Times New Roman" w:hAnsi="Times New Roman"/>
          <w:b/>
          <w:color w:val="080808"/>
          <w:sz w:val="24"/>
        </w:rPr>
        <w:t>AMC ITD, LLC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80808"/>
          <w:sz w:val="24"/>
        </w:rPr>
        <w:t xml:space="preserve">By: </w:t>
      </w:r>
      <w:r>
        <w:rPr>
          <w:rFonts w:ascii="Times New Roman" w:hAnsi="Times New Roman"/>
          <w:color w:val="080808"/>
          <w:sz w:val="24"/>
          <w:u w:val="single"/>
        </w:rPr>
        <w:t xml:space="preserve">/s/ Sean D. Goodman </w:t>
      </w:r>
    </w:p>
    <w:p>
      <w:pPr>
        <w:pStyle w:val="TextBody"/>
        <w:bidi w:val="0"/>
        <w:jc w:val="left"/>
        <w:rPr>
          <w:rFonts w:ascii="Times New Roman" w:hAnsi="Times New Roman"/>
          <w:color w:val="080808"/>
          <w:sz w:val="24"/>
        </w:rPr>
      </w:pPr>
      <w:r>
        <w:rPr>
          <w:rFonts w:ascii="Times New Roman" w:hAnsi="Times New Roman"/>
          <w:color w:val="080808"/>
          <w:sz w:val="24"/>
        </w:rPr>
        <w:t>Name: Sean D. Goodman</w:t>
      </w:r>
    </w:p>
    <w:p>
      <w:pPr>
        <w:pStyle w:val="TextBody"/>
        <w:bidi w:val="0"/>
        <w:jc w:val="left"/>
        <w:rPr>
          <w:rFonts w:ascii="Times New Roman" w:hAnsi="Times New Roman"/>
          <w:color w:val="080808"/>
          <w:sz w:val="24"/>
        </w:rPr>
      </w:pPr>
      <w:r>
        <w:rPr>
          <w:rFonts w:ascii="Times New Roman" w:hAnsi="Times New Roman"/>
          <w:color w:val="080808"/>
          <w:sz w:val="24"/>
        </w:rPr>
        <w:t>Title: Executive Vice President, Chief Financial Officer &amp; Treasurer</w:t>
      </w:r>
    </w:p>
    <w:p>
      <w:pPr>
        <w:pStyle w:val="TextBody"/>
        <w:bidi w:val="0"/>
        <w:spacing w:before="240" w:after="283"/>
        <w:jc w:val="left"/>
        <w:rPr/>
      </w:pPr>
      <w:r>
        <w:rPr/>
        <w:t> </w:t>
      </w:r>
    </w:p>
    <w:p>
      <w:pPr>
        <w:pStyle w:val="TextBody"/>
        <w:bidi w:val="0"/>
        <w:jc w:val="left"/>
        <w:rPr/>
      </w:pPr>
      <w:r>
        <w:rPr/>
        <w:t> </w:t>
      </w:r>
    </w:p>
    <w:p>
      <w:pPr>
        <w:pStyle w:val="TextBody"/>
        <w:bidi w:val="0"/>
        <w:spacing w:before="12"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80808"/>
          <w:sz w:val="24"/>
        </w:rPr>
      </w:pPr>
      <w:r>
        <w:rPr>
          <w:rFonts w:ascii="Times New Roman" w:hAnsi="Times New Roman"/>
          <w:b/>
          <w:color w:val="080808"/>
          <w:sz w:val="24"/>
        </w:rPr>
        <w:t>AMC of Maryland, LLC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80808"/>
          <w:sz w:val="24"/>
        </w:rPr>
        <w:t xml:space="preserve">By: </w:t>
      </w:r>
      <w:r>
        <w:rPr>
          <w:rFonts w:ascii="Times New Roman" w:hAnsi="Times New Roman"/>
          <w:color w:val="080808"/>
          <w:sz w:val="24"/>
          <w:u w:val="single"/>
        </w:rPr>
        <w:t xml:space="preserve">/s/ Sean D. Goodman </w:t>
      </w:r>
    </w:p>
    <w:p>
      <w:pPr>
        <w:pStyle w:val="TextBody"/>
        <w:bidi w:val="0"/>
        <w:jc w:val="left"/>
        <w:rPr>
          <w:rFonts w:ascii="Times New Roman" w:hAnsi="Times New Roman"/>
          <w:color w:val="080808"/>
          <w:sz w:val="24"/>
        </w:rPr>
      </w:pPr>
      <w:r>
        <w:rPr>
          <w:rFonts w:ascii="Times New Roman" w:hAnsi="Times New Roman"/>
          <w:color w:val="080808"/>
          <w:sz w:val="24"/>
        </w:rPr>
        <w:t>Name: Sean D. Goodman</w:t>
      </w:r>
    </w:p>
    <w:p>
      <w:pPr>
        <w:pStyle w:val="TextBody"/>
        <w:bidi w:val="0"/>
        <w:jc w:val="left"/>
        <w:rPr>
          <w:rFonts w:ascii="Times New Roman" w:hAnsi="Times New Roman"/>
          <w:color w:val="080808"/>
          <w:sz w:val="24"/>
        </w:rPr>
      </w:pPr>
      <w:r>
        <w:rPr>
          <w:rFonts w:ascii="Times New Roman" w:hAnsi="Times New Roman"/>
          <w:color w:val="080808"/>
          <w:sz w:val="24"/>
        </w:rPr>
        <w:t>Title: Executive Vice President, Chief Financial Officer &amp; Treasurer</w:t>
      </w:r>
    </w:p>
    <w:p>
      <w:pPr>
        <w:pStyle w:val="TextBody"/>
        <w:bidi w:val="0"/>
        <w:spacing w:before="240" w:after="283"/>
        <w:jc w:val="left"/>
        <w:rPr/>
      </w:pPr>
      <w:r>
        <w:rPr/>
        <w:t> </w:t>
      </w:r>
    </w:p>
    <w:p>
      <w:pPr>
        <w:pStyle w:val="TextBody"/>
        <w:bidi w:val="0"/>
        <w:jc w:val="left"/>
        <w:rPr>
          <w:rFonts w:ascii="Times New Roman" w:hAnsi="Times New Roman"/>
          <w:b/>
          <w:color w:val="080808"/>
          <w:sz w:val="24"/>
        </w:rPr>
      </w:pPr>
      <w:r>
        <w:rPr>
          <w:rFonts w:ascii="Times New Roman" w:hAnsi="Times New Roman"/>
          <w:b/>
          <w:color w:val="080808"/>
          <w:sz w:val="24"/>
        </w:rPr>
        <w:t>AMC of Maryland II, LLC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80808"/>
          <w:sz w:val="24"/>
        </w:rPr>
        <w:t xml:space="preserve">By: </w:t>
      </w:r>
      <w:r>
        <w:rPr>
          <w:rFonts w:ascii="Times New Roman" w:hAnsi="Times New Roman"/>
          <w:color w:val="080808"/>
          <w:sz w:val="24"/>
          <w:u w:val="single"/>
        </w:rPr>
        <w:t xml:space="preserve">/s/ Sean D. Goodman </w:t>
      </w:r>
    </w:p>
    <w:p>
      <w:pPr>
        <w:pStyle w:val="TextBody"/>
        <w:bidi w:val="0"/>
        <w:jc w:val="left"/>
        <w:rPr>
          <w:rFonts w:ascii="Times New Roman" w:hAnsi="Times New Roman"/>
          <w:color w:val="080808"/>
          <w:sz w:val="24"/>
        </w:rPr>
      </w:pPr>
      <w:r>
        <w:rPr>
          <w:rFonts w:ascii="Times New Roman" w:hAnsi="Times New Roman"/>
          <w:color w:val="080808"/>
          <w:sz w:val="24"/>
        </w:rPr>
        <w:t>Name: Sean D. Goodman</w:t>
      </w:r>
    </w:p>
    <w:p>
      <w:pPr>
        <w:pStyle w:val="TextBody"/>
        <w:bidi w:val="0"/>
        <w:jc w:val="left"/>
        <w:rPr>
          <w:rFonts w:ascii="Times New Roman" w:hAnsi="Times New Roman"/>
          <w:color w:val="080808"/>
          <w:sz w:val="24"/>
        </w:rPr>
      </w:pPr>
      <w:r>
        <w:rPr>
          <w:rFonts w:ascii="Times New Roman" w:hAnsi="Times New Roman"/>
          <w:color w:val="080808"/>
          <w:sz w:val="24"/>
        </w:rPr>
        <w:t>Title: Executive Vice President, Chief Financial Officer &amp; Treasurer</w:t>
      </w:r>
    </w:p>
    <w:p>
      <w:pPr>
        <w:pStyle w:val="TextBody"/>
        <w:bidi w:val="0"/>
        <w:spacing w:before="240" w:after="283"/>
        <w:jc w:val="left"/>
        <w:rPr/>
      </w:pPr>
      <w:r>
        <w:rPr/>
        <w:t> </w:t>
      </w:r>
    </w:p>
    <w:p>
      <w:pPr>
        <w:pStyle w:val="TextBody"/>
        <w:bidi w:val="0"/>
        <w:jc w:val="left"/>
        <w:rPr>
          <w:rFonts w:ascii="Times New Roman" w:hAnsi="Times New Roman"/>
          <w:b/>
          <w:color w:val="080808"/>
          <w:sz w:val="24"/>
        </w:rPr>
      </w:pPr>
      <w:r>
        <w:rPr>
          <w:rFonts w:ascii="Times New Roman" w:hAnsi="Times New Roman"/>
          <w:b/>
          <w:color w:val="080808"/>
          <w:sz w:val="24"/>
        </w:rPr>
        <w:t>Centertainment Development, LLC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80808"/>
          <w:sz w:val="24"/>
        </w:rPr>
        <w:t xml:space="preserve">By: </w:t>
      </w:r>
      <w:r>
        <w:rPr>
          <w:rFonts w:ascii="Times New Roman" w:hAnsi="Times New Roman"/>
          <w:color w:val="080808"/>
          <w:sz w:val="24"/>
          <w:u w:val="single"/>
        </w:rPr>
        <w:t xml:space="preserve">/s/ Sean D. Goodman </w:t>
      </w:r>
    </w:p>
    <w:p>
      <w:pPr>
        <w:pStyle w:val="TextBody"/>
        <w:bidi w:val="0"/>
        <w:jc w:val="left"/>
        <w:rPr>
          <w:rFonts w:ascii="Times New Roman" w:hAnsi="Times New Roman"/>
          <w:color w:val="080808"/>
          <w:sz w:val="24"/>
        </w:rPr>
      </w:pPr>
      <w:r>
        <w:rPr>
          <w:rFonts w:ascii="Times New Roman" w:hAnsi="Times New Roman"/>
          <w:color w:val="080808"/>
          <w:sz w:val="24"/>
        </w:rPr>
        <w:t>Name: Sean D. Goodman</w:t>
      </w:r>
    </w:p>
    <w:p>
      <w:pPr>
        <w:pStyle w:val="TextBody"/>
        <w:bidi w:val="0"/>
        <w:jc w:val="left"/>
        <w:rPr>
          <w:rFonts w:ascii="Times New Roman" w:hAnsi="Times New Roman"/>
          <w:color w:val="080808"/>
          <w:sz w:val="24"/>
        </w:rPr>
      </w:pPr>
      <w:r>
        <w:rPr>
          <w:rFonts w:ascii="Times New Roman" w:hAnsi="Times New Roman"/>
          <w:color w:val="080808"/>
          <w:sz w:val="24"/>
        </w:rPr>
        <w:t>Title: Executive Vice President, Chief Financial Officer &amp; Treasurer</w:t>
      </w:r>
    </w:p>
    <w:p>
      <w:pPr>
        <w:pStyle w:val="TextBody"/>
        <w:bidi w:val="0"/>
        <w:spacing w:before="240" w:after="283"/>
        <w:jc w:val="left"/>
        <w:rPr/>
      </w:pPr>
      <w:r>
        <w:rPr/>
        <w:t> </w:t>
      </w:r>
    </w:p>
    <w:p>
      <w:pPr>
        <w:pStyle w:val="TextBody"/>
        <w:bidi w:val="0"/>
        <w:jc w:val="left"/>
        <w:rPr>
          <w:rFonts w:ascii="Times New Roman" w:hAnsi="Times New Roman"/>
          <w:b/>
          <w:color w:val="080808"/>
          <w:sz w:val="24"/>
        </w:rPr>
      </w:pPr>
      <w:r>
        <w:rPr>
          <w:rFonts w:ascii="Times New Roman" w:hAnsi="Times New Roman"/>
          <w:b/>
          <w:color w:val="080808"/>
          <w:sz w:val="24"/>
        </w:rPr>
        <w:t>AMC License Services, LLC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80808"/>
          <w:sz w:val="24"/>
        </w:rPr>
        <w:t xml:space="preserve">By: </w:t>
      </w:r>
      <w:r>
        <w:rPr>
          <w:rFonts w:ascii="Times New Roman" w:hAnsi="Times New Roman"/>
          <w:color w:val="080808"/>
          <w:sz w:val="24"/>
          <w:u w:val="single"/>
        </w:rPr>
        <w:t xml:space="preserve">/s/ Sean D. Goodman </w:t>
      </w:r>
    </w:p>
    <w:p>
      <w:pPr>
        <w:pStyle w:val="TextBody"/>
        <w:bidi w:val="0"/>
        <w:jc w:val="left"/>
        <w:rPr>
          <w:rFonts w:ascii="Times New Roman" w:hAnsi="Times New Roman"/>
          <w:color w:val="080808"/>
          <w:sz w:val="24"/>
        </w:rPr>
      </w:pPr>
      <w:r>
        <w:rPr>
          <w:rFonts w:ascii="Times New Roman" w:hAnsi="Times New Roman"/>
          <w:color w:val="080808"/>
          <w:sz w:val="24"/>
        </w:rPr>
        <w:t>Name: Sean D. Goodman</w:t>
      </w:r>
    </w:p>
    <w:p>
      <w:pPr>
        <w:pStyle w:val="TextBody"/>
        <w:bidi w:val="0"/>
        <w:jc w:val="left"/>
        <w:rPr>
          <w:rFonts w:ascii="Times New Roman" w:hAnsi="Times New Roman"/>
          <w:color w:val="080808"/>
          <w:sz w:val="24"/>
        </w:rPr>
      </w:pPr>
      <w:r>
        <w:rPr>
          <w:rFonts w:ascii="Times New Roman" w:hAnsi="Times New Roman"/>
          <w:color w:val="080808"/>
          <w:sz w:val="24"/>
        </w:rPr>
        <w:t>Title: Executive Vice President, Chief Financial Officer &amp; Treasurer</w:t>
      </w:r>
    </w:p>
    <w:p>
      <w:pPr>
        <w:pStyle w:val="TextBody"/>
        <w:bidi w:val="0"/>
        <w:spacing w:before="240" w:after="283"/>
        <w:jc w:val="left"/>
        <w:rPr/>
      </w:pPr>
      <w:r>
        <w:rPr/>
        <w:t> </w:t>
      </w:r>
    </w:p>
    <w:p>
      <w:pPr>
        <w:pStyle w:val="TextBody"/>
        <w:bidi w:val="0"/>
        <w:jc w:val="left"/>
        <w:rPr>
          <w:rFonts w:ascii="Times New Roman" w:hAnsi="Times New Roman"/>
          <w:b/>
          <w:color w:val="080808"/>
          <w:sz w:val="24"/>
        </w:rPr>
      </w:pPr>
      <w:r>
        <w:rPr>
          <w:rFonts w:ascii="Times New Roman" w:hAnsi="Times New Roman"/>
          <w:b/>
          <w:color w:val="080808"/>
          <w:sz w:val="24"/>
        </w:rPr>
        <w:t>AMC Concessionaire Services of Florida, LLC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80808"/>
          <w:sz w:val="24"/>
        </w:rPr>
        <w:t xml:space="preserve">By: </w:t>
      </w:r>
      <w:r>
        <w:rPr>
          <w:rFonts w:ascii="Times New Roman" w:hAnsi="Times New Roman"/>
          <w:color w:val="080808"/>
          <w:sz w:val="24"/>
          <w:u w:val="single"/>
        </w:rPr>
        <w:t xml:space="preserve">/s/ Sean D. Goodman </w:t>
      </w:r>
    </w:p>
    <w:p>
      <w:pPr>
        <w:pStyle w:val="TextBody"/>
        <w:bidi w:val="0"/>
        <w:jc w:val="left"/>
        <w:rPr>
          <w:rFonts w:ascii="Times New Roman" w:hAnsi="Times New Roman"/>
          <w:color w:val="080808"/>
          <w:sz w:val="24"/>
        </w:rPr>
      </w:pPr>
      <w:r>
        <w:rPr>
          <w:rFonts w:ascii="Times New Roman" w:hAnsi="Times New Roman"/>
          <w:color w:val="080808"/>
          <w:sz w:val="24"/>
        </w:rPr>
        <w:t>Name: Sean D. Goodman</w:t>
      </w:r>
    </w:p>
    <w:p>
      <w:pPr>
        <w:pStyle w:val="TextBody"/>
        <w:bidi w:val="0"/>
        <w:jc w:val="left"/>
        <w:rPr>
          <w:rFonts w:ascii="Times New Roman" w:hAnsi="Times New Roman"/>
          <w:color w:val="080808"/>
          <w:sz w:val="24"/>
        </w:rPr>
      </w:pPr>
      <w:r>
        <w:rPr>
          <w:rFonts w:ascii="Times New Roman" w:hAnsi="Times New Roman"/>
          <w:color w:val="080808"/>
          <w:sz w:val="24"/>
        </w:rPr>
        <w:t>Title: Executive Vice President, Chief Financial Officer &amp; Treasurer</w:t>
      </w:r>
    </w:p>
    <w:p>
      <w:pPr>
        <w:pStyle w:val="TextBody"/>
        <w:bidi w:val="0"/>
        <w:spacing w:before="240" w:after="283"/>
        <w:jc w:val="left"/>
        <w:rPr/>
      </w:pPr>
      <w:r>
        <w:rPr/>
        <w:t> </w:t>
      </w:r>
    </w:p>
    <w:p>
      <w:pPr>
        <w:pStyle w:val="TextBody"/>
        <w:bidi w:val="0"/>
        <w:jc w:val="left"/>
        <w:rPr/>
      </w:pPr>
      <w:r>
        <w:rPr/>
        <w:t> </w:t>
      </w:r>
    </w:p>
    <w:p>
      <w:pPr>
        <w:pStyle w:val="TextBody"/>
        <w:bidi w:val="0"/>
        <w:spacing w:before="12"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80808"/>
          <w:sz w:val="24"/>
        </w:rPr>
      </w:pPr>
      <w:r>
        <w:rPr>
          <w:rFonts w:ascii="Times New Roman" w:hAnsi="Times New Roman"/>
          <w:color w:val="080808"/>
          <w:sz w:val="24"/>
        </w:rPr>
        <w:t>IN WITNESS WHEREOF, the Parties have executed this Agreement as of the day and year first above written.</w:t>
      </w:r>
    </w:p>
    <w:p>
      <w:pPr>
        <w:pStyle w:val="TextBody"/>
        <w:bidi w:val="0"/>
        <w:spacing w:before="240" w:after="283"/>
        <w:jc w:val="left"/>
        <w:rPr/>
      </w:pPr>
      <w:r>
        <w:rPr/>
        <w:t> </w:t>
      </w:r>
    </w:p>
    <w:p>
      <w:pPr>
        <w:pStyle w:val="TextBody"/>
        <w:bidi w:val="0"/>
        <w:spacing w:before="240" w:after="283"/>
        <w:jc w:val="left"/>
        <w:rPr/>
      </w:pPr>
      <w:r>
        <w:rPr/>
        <w:t> </w:t>
      </w:r>
    </w:p>
    <w:p>
      <w:pPr>
        <w:pStyle w:val="TextBody"/>
        <w:bidi w:val="0"/>
        <w:jc w:val="left"/>
        <w:rPr>
          <w:rFonts w:ascii="Times New Roman" w:hAnsi="Times New Roman"/>
          <w:color w:val="080808"/>
          <w:sz w:val="24"/>
        </w:rPr>
      </w:pPr>
      <w:r>
        <w:rPr>
          <w:rFonts w:ascii="Times New Roman" w:hAnsi="Times New Roman"/>
          <w:color w:val="080808"/>
          <w:sz w:val="24"/>
        </w:rPr>
        <w:t>National CineMedia, LLC</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80808"/>
          <w:sz w:val="24"/>
        </w:rPr>
        <w:t>By its manager, National CineMedia, Inc.</w:t>
      </w:r>
      <w:r>
        <w:rPr>
          <w:rFonts w:ascii="Times New Roman" w:hAnsi="Times New Roman"/>
          <w:color w:val="080808"/>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80808"/>
          <w:sz w:val="24"/>
        </w:rPr>
        <w:t xml:space="preserve">By: </w:t>
      </w:r>
      <w:r>
        <w:rPr>
          <w:rFonts w:ascii="Times New Roman" w:hAnsi="Times New Roman"/>
          <w:color w:val="080808"/>
          <w:sz w:val="24"/>
          <w:u w:val="single"/>
        </w:rPr>
        <w:t xml:space="preserve">/s/ Tom Lesinski </w:t>
      </w:r>
    </w:p>
    <w:p>
      <w:pPr>
        <w:pStyle w:val="TextBody"/>
        <w:bidi w:val="0"/>
        <w:jc w:val="left"/>
        <w:rPr>
          <w:rFonts w:ascii="Times New Roman" w:hAnsi="Times New Roman"/>
          <w:color w:val="080808"/>
          <w:sz w:val="24"/>
        </w:rPr>
      </w:pPr>
      <w:r>
        <w:rPr>
          <w:rFonts w:ascii="Times New Roman" w:hAnsi="Times New Roman"/>
          <w:color w:val="080808"/>
          <w:sz w:val="24"/>
        </w:rPr>
        <w:t>Name: Tom Lesinski</w:t>
      </w:r>
    </w:p>
    <w:p>
      <w:pPr>
        <w:pStyle w:val="TextBody"/>
        <w:bidi w:val="0"/>
        <w:jc w:val="left"/>
        <w:rPr>
          <w:rFonts w:ascii="Times New Roman" w:hAnsi="Times New Roman"/>
          <w:color w:val="080808"/>
          <w:sz w:val="24"/>
        </w:rPr>
      </w:pPr>
      <w:r>
        <w:rPr>
          <w:rFonts w:ascii="Times New Roman" w:hAnsi="Times New Roman"/>
          <w:color w:val="080808"/>
          <w:sz w:val="24"/>
        </w:rPr>
        <w:t>Title: Chief Executive Officer</w:t>
      </w:r>
    </w:p>
    <w:p>
      <w:pPr>
        <w:pStyle w:val="TextBody"/>
        <w:bidi w:val="0"/>
        <w:spacing w:before="240" w:after="283"/>
        <w:jc w:val="left"/>
        <w:rPr/>
      </w:pPr>
      <w:r>
        <w:rPr/>
        <w:t> </w:t>
      </w:r>
    </w:p>
    <w:p>
      <w:pPr>
        <w:pStyle w:val="TextBody"/>
        <w:bidi w:val="0"/>
        <w:spacing w:before="240" w:after="283"/>
        <w:jc w:val="left"/>
        <w:rPr/>
      </w:pPr>
      <w:r>
        <w:rPr/>
        <w:t> </w:t>
      </w:r>
    </w:p>
    <w:p>
      <w:pPr>
        <w:pStyle w:val="TextBody"/>
        <w:bidi w:val="0"/>
        <w:jc w:val="left"/>
        <w:rPr/>
      </w:pPr>
      <w:r>
        <w:rPr/>
        <w:t> </w:t>
      </w:r>
    </w:p>
    <w:p>
      <w:pPr>
        <w:pStyle w:val="TextBody"/>
        <w:bidi w:val="0"/>
        <w:spacing w:before="12"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240" w:after="283"/>
        <w:jc w:val="left"/>
        <w:rPr>
          <w:rFonts w:ascii="Times New Roman" w:hAnsi="Times New Roman"/>
          <w:color w:val="000000"/>
          <w:sz w:val="24"/>
          <w:u w:val="single"/>
        </w:rPr>
      </w:pPr>
      <w:r>
        <w:rPr>
          <w:rFonts w:ascii="Times New Roman" w:hAnsi="Times New Roman"/>
          <w:color w:val="000000"/>
          <w:sz w:val="24"/>
          <w:u w:val="single"/>
        </w:rPr>
        <w:t>EXHIBIT A</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DESCRIPTION OF ADVERTISING SERVICES</w:t>
      </w:r>
    </w:p>
    <w:p>
      <w:pPr>
        <w:pStyle w:val="TextBody"/>
        <w:bidi w:val="0"/>
        <w:spacing w:before="240" w:after="283"/>
        <w:jc w:val="left"/>
        <w:rPr/>
      </w:pPr>
      <w:r>
        <w:rPr>
          <w:color w:val="000000"/>
        </w:rPr>
        <w:t>“</w:t>
      </w:r>
      <w:r>
        <w:rPr>
          <w:rFonts w:ascii="Times New Roman" w:hAnsi="Times New Roman"/>
          <w:b/>
          <w:color w:val="000000"/>
          <w:sz w:val="24"/>
        </w:rPr>
        <w:t>Advertising Services</w:t>
      </w:r>
      <w:r>
        <w:rPr>
          <w:rFonts w:ascii="Times New Roman" w:hAnsi="Times New Roman"/>
          <w:color w:val="000000"/>
          <w:sz w:val="20"/>
        </w:rPr>
        <w:t xml:space="preserve">” </w:t>
      </w:r>
      <w:r>
        <w:rPr>
          <w:rFonts w:ascii="Times New Roman" w:hAnsi="Times New Roman"/>
          <w:color w:val="000000"/>
          <w:sz w:val="24"/>
        </w:rPr>
        <w:t>consist of the following:</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1. </w:t>
      </w:r>
      <w:r>
        <w:rPr>
          <w:rFonts w:ascii="Times New Roman" w:hAnsi="Times New Roman"/>
          <w:i/>
          <w:color w:val="000000"/>
          <w:sz w:val="24"/>
        </w:rPr>
        <w:t>Lobby Promotions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b/>
          <w:color w:val="000000"/>
          <w:sz w:val="24"/>
        </w:rPr>
        <w:t>Lobby Promotions</w:t>
      </w:r>
      <w:r>
        <w:rPr>
          <w:rFonts w:ascii="Times New Roman" w:hAnsi="Times New Roman"/>
          <w:color w:val="000000"/>
          <w:sz w:val="20"/>
        </w:rPr>
        <w:t xml:space="preserve">” </w:t>
      </w:r>
      <w:r>
        <w:rPr>
          <w:rFonts w:ascii="Times New Roman" w:hAnsi="Times New Roman"/>
          <w:color w:val="000000"/>
          <w:sz w:val="24"/>
        </w:rPr>
        <w:t>means the promotions identified in Addendum A.</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2. </w:t>
      </w:r>
      <w:r>
        <w:rPr>
          <w:rFonts w:ascii="Times New Roman" w:hAnsi="Times New Roman"/>
          <w:i/>
          <w:color w:val="000000"/>
          <w:sz w:val="24"/>
        </w:rPr>
        <w:t>Event Sponsorships</w:t>
      </w:r>
    </w:p>
    <w:p>
      <w:pPr>
        <w:pStyle w:val="TextBody"/>
        <w:bidi w:val="0"/>
        <w:spacing w:before="240" w:after="283"/>
        <w:jc w:val="both"/>
        <w:rPr/>
      </w:pPr>
      <w:r>
        <w:rPr>
          <w:color w:val="000000"/>
        </w:rPr>
        <w:t>“</w:t>
      </w:r>
      <w:r>
        <w:rPr>
          <w:rFonts w:ascii="Times New Roman" w:hAnsi="Times New Roman"/>
          <w:b/>
          <w:color w:val="000000"/>
          <w:sz w:val="24"/>
        </w:rPr>
        <w:t>Event Sponsorship</w:t>
      </w:r>
      <w:r>
        <w:rPr>
          <w:rFonts w:ascii="Times New Roman" w:hAnsi="Times New Roman"/>
          <w:color w:val="000000"/>
          <w:sz w:val="20"/>
        </w:rPr>
        <w:t xml:space="preserve">” </w:t>
      </w:r>
      <w:r>
        <w:rPr>
          <w:rFonts w:ascii="Times New Roman" w:hAnsi="Times New Roman"/>
          <w:color w:val="000000"/>
          <w:sz w:val="24"/>
        </w:rPr>
        <w:t>means the sale of advertising or sponsorships with respect to any Digital Programming Event exhibited or shown in Theatres.</w:t>
      </w:r>
    </w:p>
    <w:p>
      <w:pPr>
        <w:pStyle w:val="TextBody"/>
        <w:bidi w:val="0"/>
        <w:spacing w:before="240" w:after="283"/>
        <w:jc w:val="both"/>
        <w:rPr/>
      </w:pPr>
      <w:r>
        <w:rPr>
          <w:color w:val="000000"/>
        </w:rPr>
        <w:t>“</w:t>
      </w:r>
      <w:r>
        <w:rPr>
          <w:rFonts w:ascii="Times New Roman" w:hAnsi="Times New Roman"/>
          <w:b/>
          <w:color w:val="000000"/>
          <w:sz w:val="24"/>
        </w:rPr>
        <w:t>Event Simulcast Advertising Services</w:t>
      </w:r>
      <w:r>
        <w:rPr>
          <w:rFonts w:ascii="Times New Roman" w:hAnsi="Times New Roman"/>
          <w:color w:val="000000"/>
          <w:sz w:val="20"/>
        </w:rPr>
        <w:t xml:space="preserve">” </w:t>
      </w:r>
      <w:r>
        <w:rPr>
          <w:rFonts w:ascii="Times New Roman" w:hAnsi="Times New Roman"/>
          <w:color w:val="000000"/>
          <w:sz w:val="24"/>
        </w:rPr>
        <w:t>means the sale of advertising with respect to any Digital Programming Event Simulcast. For clarification, to the extent that the content provider allows any third-party advertising to be included in a Digital Programming Event Simulcast, other than that provided by or on behalf of the content provider, LLC shall have the exclusive right to provide such advertising content.</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3. </w:t>
      </w:r>
      <w:r>
        <w:rPr>
          <w:rFonts w:ascii="Times New Roman" w:hAnsi="Times New Roman"/>
          <w:i/>
          <w:color w:val="000000"/>
          <w:sz w:val="24"/>
        </w:rPr>
        <w:t>Digital Content Service and Digital Carousel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Digital Content Service (which includes the Pre-Feature Program, Policy Trailer, and the Lobby Entertainment Program), the Digital Carousel and all other on-screen content which is exhibited in Theatre auditoriums prior to the feature film presentation or a Digital Programming Event, but specifically excluding Trailers and Event Trailers.</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4. </w:t>
      </w:r>
      <w:r>
        <w:rPr>
          <w:rFonts w:ascii="Times New Roman" w:hAnsi="Times New Roman"/>
          <w:i/>
          <w:color w:val="000000"/>
          <w:sz w:val="24"/>
        </w:rPr>
        <w:t>3D or 4D Advertising Services</w:t>
      </w:r>
    </w:p>
    <w:p>
      <w:pPr>
        <w:pStyle w:val="TextBody"/>
        <w:bidi w:val="0"/>
        <w:spacing w:before="240" w:after="283"/>
        <w:jc w:val="both"/>
        <w:rPr/>
      </w:pPr>
      <w:r>
        <w:rPr>
          <w:color w:val="000000"/>
        </w:rPr>
        <w:t>“</w:t>
      </w:r>
      <w:r>
        <w:rPr>
          <w:rFonts w:ascii="Times New Roman" w:hAnsi="Times New Roman"/>
          <w:b/>
          <w:color w:val="000000"/>
          <w:sz w:val="24"/>
        </w:rPr>
        <w:t>3D or 4D Advertising Services</w:t>
      </w:r>
      <w:r>
        <w:rPr>
          <w:rFonts w:ascii="Times New Roman" w:hAnsi="Times New Roman"/>
          <w:color w:val="000000"/>
          <w:sz w:val="20"/>
        </w:rPr>
        <w:t xml:space="preserve">” </w:t>
      </w:r>
      <w:r>
        <w:rPr>
          <w:rFonts w:ascii="Times New Roman" w:hAnsi="Times New Roman"/>
          <w:color w:val="000000"/>
          <w:sz w:val="24"/>
        </w:rPr>
        <w:t>means any of the Digital Carousel, the Pre-Feature Program, the Policy Trailer portions of the Advertising Services that are viewed by theatre patrons in 3D or 4D by using the Digital Cinema Equipment and 3D Glasses.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240" w:after="283"/>
        <w:jc w:val="center"/>
        <w:rPr>
          <w:rFonts w:ascii="Times New Roman" w:hAnsi="Times New Roman"/>
          <w:color w:val="000000"/>
          <w:sz w:val="24"/>
          <w:u w:val="single"/>
        </w:rPr>
      </w:pPr>
      <w:r>
        <w:rPr>
          <w:rFonts w:ascii="Times New Roman" w:hAnsi="Times New Roman"/>
          <w:color w:val="000000"/>
          <w:sz w:val="24"/>
          <w:u w:val="single"/>
        </w:rPr>
        <w:t>EXHIBIT B</w:t>
      </w:r>
    </w:p>
    <w:p>
      <w:pPr>
        <w:pStyle w:val="TextBody"/>
        <w:bidi w:val="0"/>
        <w:spacing w:before="240" w:after="283"/>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3"/>
        </w:rPr>
        <w:t xml:space="preserve">A. </w:t>
      </w:r>
      <w:r>
        <w:rPr>
          <w:rFonts w:ascii="Times New Roman" w:hAnsi="Times New Roman"/>
          <w:b/>
          <w:color w:val="000000"/>
          <w:sz w:val="24"/>
        </w:rPr>
        <w:t xml:space="preserve">Beverage Agreement Advertising Rate (See </w:t>
      </w:r>
      <w:r>
        <w:rPr>
          <w:rFonts w:ascii="Times New Roman" w:hAnsi="Times New Roman"/>
          <w:b/>
          <w:color w:val="000000"/>
          <w:sz w:val="24"/>
          <w:u w:val="single"/>
        </w:rPr>
        <w:t>Section 4.05(a)</w:t>
      </w:r>
      <w:r>
        <w:rPr>
          <w:rFonts w:ascii="Times New Roman" w:hAnsi="Times New Roman"/>
          <w:b/>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The initial Beverage Agreement Advertising Rate as of the Execution Date is $[***] per thousand attendees in AMC Attendance for a 30-second advertisement. Commencing on the first anniversary of the Effective Date, and thereafter, the Beverage Agreement Advertising Rate will increase in an amount equal to 2% annually.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The rate for a longer or shorter advertisement shall be adjusted based on a multiple or percentage of the 30-second rate. For illustrative purposes, the initial Beverage Agreement Advertising Rate for 90 seconds of advertising as of the Execution Date would be $[***].</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t>
      </w:r>
    </w:p>
    <w:p>
      <w:pPr>
        <w:pStyle w:val="TextBody"/>
        <w:bidi w:val="0"/>
        <w:spacing w:before="240" w:after="283"/>
        <w:jc w:val="left"/>
        <w:rPr>
          <w:rFonts w:ascii="Times New Roman" w:hAnsi="Times New Roman"/>
          <w:sz w:val="20"/>
        </w:rPr>
      </w:pPr>
      <w:r>
        <w:rPr>
          <w:rFonts w:ascii="Times New Roman" w:hAnsi="Times New Roman"/>
          <w:b/>
          <w:color w:val="000000"/>
          <w:sz w:val="23"/>
        </w:rPr>
        <w:t xml:space="preserve">B. </w:t>
      </w:r>
      <w:r>
        <w:rPr>
          <w:rFonts w:ascii="Times New Roman" w:hAnsi="Times New Roman"/>
          <w:b/>
          <w:color w:val="000000"/>
          <w:sz w:val="24"/>
        </w:rPr>
        <w:t xml:space="preserve">Event Services Administrative Fee (See </w:t>
      </w:r>
      <w:r>
        <w:rPr>
          <w:rFonts w:ascii="Times New Roman" w:hAnsi="Times New Roman"/>
          <w:b/>
          <w:color w:val="000000"/>
          <w:sz w:val="24"/>
          <w:u w:val="single"/>
        </w:rPr>
        <w:t>Section 8.02</w:t>
      </w:r>
      <w:r>
        <w:rPr>
          <w:rFonts w:ascii="Times New Roman" w:hAnsi="Times New Roman"/>
          <w:b/>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Administrative Fee to be charged for delivery of Trailers, Event Trailers, PSA Trailers, meeting events, Digital Programming Events or Digital Programming Event Pre-Feature Programs shall cover all post production services (including ingesting, editing and encryption) performed by LLC and delivery of content to Theatre(s) through the Digital Content Network. If LLC establishes an additional digital network, pricing related to services provided for such network will be developed separately.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Administrative Fee shall be negotiated by LLC and AMC in good faith from time to time to ensure that the Administrative Fee being paid to LLC is equal to a market rate negotiated at arm’s length between third parties.</w:t>
      </w:r>
    </w:p>
    <w:p>
      <w:pPr>
        <w:pStyle w:val="TextBody"/>
        <w:bidi w:val="0"/>
        <w:spacing w:before="240" w:after="283"/>
        <w:jc w:val="left"/>
        <w:rPr/>
      </w:pPr>
      <w:r>
        <w:rPr/>
        <w:t> </w:t>
      </w:r>
    </w:p>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240" w:after="283"/>
        <w:jc w:val="center"/>
        <w:rPr>
          <w:rFonts w:ascii="Times New Roman" w:hAnsi="Times New Roman"/>
          <w:color w:val="131313"/>
          <w:sz w:val="24"/>
          <w:u w:val="single"/>
        </w:rPr>
      </w:pPr>
      <w:r>
        <w:rPr>
          <w:rFonts w:ascii="Times New Roman" w:hAnsi="Times New Roman"/>
          <w:color w:val="131313"/>
          <w:sz w:val="24"/>
          <w:u w:val="single"/>
        </w:rPr>
        <w:t>Schedule 1.01</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Theatres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[Information included in this Schedule has been omitted in accordance with Item 601(a)(5) of Regulation S-K.]</w:t>
      </w:r>
    </w:p>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240" w:after="283"/>
        <w:jc w:val="center"/>
        <w:rPr>
          <w:rFonts w:ascii="Times New Roman" w:hAnsi="Times New Roman"/>
          <w:color w:val="131313"/>
          <w:sz w:val="24"/>
          <w:u w:val="single"/>
        </w:rPr>
      </w:pPr>
      <w:r>
        <w:rPr>
          <w:rFonts w:ascii="Times New Roman" w:hAnsi="Times New Roman"/>
          <w:color w:val="131313"/>
          <w:sz w:val="24"/>
          <w:u w:val="single"/>
        </w:rPr>
        <w:t>Schedule 2.02(a)</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Additional Theatres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[Information included in this Schedule has been omitted in accordance with Item 601(a)(5) of Regulation S-K.]</w:t>
      </w:r>
    </w:p>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240" w:after="283"/>
        <w:jc w:val="center"/>
        <w:rPr>
          <w:rFonts w:ascii="Times New Roman" w:hAnsi="Times New Roman"/>
          <w:color w:val="131313"/>
          <w:sz w:val="24"/>
          <w:u w:val="single"/>
        </w:rPr>
      </w:pPr>
      <w:r>
        <w:rPr>
          <w:rFonts w:ascii="Times New Roman" w:hAnsi="Times New Roman"/>
          <w:color w:val="131313"/>
          <w:sz w:val="24"/>
          <w:u w:val="single"/>
        </w:rPr>
        <w:t>Schedule 2.05(h)</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Theatre Maintenance Fee per Digital Cinema Screen</w:t>
      </w:r>
    </w:p>
    <w:p>
      <w:pPr>
        <w:pStyle w:val="TextBody"/>
        <w:bidi w:val="0"/>
        <w:spacing w:before="240" w:after="283"/>
        <w:jc w:val="left"/>
        <w:rPr/>
      </w:pPr>
      <w:r>
        <w:rPr>
          <w:color w:val="000000"/>
        </w:rPr>
        <w:t>“</w:t>
      </w:r>
      <w:r>
        <w:rPr>
          <w:rFonts w:ascii="Times New Roman" w:hAnsi="Times New Roman"/>
          <w:b/>
          <w:color w:val="000000"/>
          <w:sz w:val="24"/>
        </w:rPr>
        <w:t>Theatre Maintenance Fee per Digital Cinema Screen</w:t>
      </w:r>
      <w:r>
        <w:rPr>
          <w:rFonts w:ascii="Times New Roman" w:hAnsi="Times New Roman"/>
          <w:color w:val="000000"/>
          <w:sz w:val="20"/>
        </w:rPr>
        <w:t xml:space="preserve">” </w:t>
      </w:r>
      <w:r>
        <w:rPr>
          <w:rFonts w:ascii="Times New Roman" w:hAnsi="Times New Roman"/>
          <w:color w:val="000000"/>
          <w:sz w:val="24"/>
        </w:rPr>
        <w:t xml:space="preserve">means, (i) beginning in the month in which the conversion of any screen in any auditorium in any Theatre to a Digital Cinema Screen either through Dual Interface Architecture or the ACE Solution) is initially completed and is operational for the exhibition of the Pre-Feature Program and LLC has delivered the LLC Confirmation with respect to such Digital Cinema Screen or (ii) beginning in the month in which a new-build auditorium with a Digital Cinema Screen is initially operational for the exhibition of the Pre-Feature Program as confirmed by LLC, a monthly payment an amount equal to $[***] per month for each Digital Cinema Screen, which amount shall increase 5% annually beginning on the anniversary of the Effective Date thereafter with payment for (y) the first month to be pro rata based upon the number of days in such month in which the converted screen is operational and (z) the last month in the term of this Agreement (or the last month in which the Digital Cinema Equipment is not removed from such Digital Cinema Screen) to be 50% of the applicable monthly payment then due. The amount of the Theatre Maintenance Fee per Digital Cinema Screen shall be the same regardless of whether the Dual Interface Architecture or the ACE Solution is chosen to deliver Advertising Services in any auditorium; provided that if AMC removes the Digital Cinema Equipment in any Digital Cinema Screen as permitted by </w:t>
      </w:r>
      <w:r>
        <w:rPr>
          <w:rFonts w:ascii="Times New Roman" w:hAnsi="Times New Roman"/>
          <w:color w:val="000000"/>
          <w:sz w:val="24"/>
          <w:u w:val="single"/>
        </w:rPr>
        <w:t>Section 3.06</w:t>
      </w:r>
      <w:r>
        <w:rPr>
          <w:rFonts w:ascii="Times New Roman" w:hAnsi="Times New Roman"/>
          <w:color w:val="000000"/>
          <w:sz w:val="24"/>
        </w:rPr>
        <w:t>, LLC shall no longer be liable to pay AMC the Theatre Maintenance Fee per Digital Cinema Screen with respect to such Digital Cinema Screen until such time as Projection System with respect to such Digital Cinema Screen is reinstalled.</w:t>
      </w:r>
    </w:p>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240" w:after="283"/>
        <w:jc w:val="center"/>
        <w:rPr>
          <w:rFonts w:ascii="Times New Roman" w:hAnsi="Times New Roman"/>
          <w:color w:val="131313"/>
          <w:sz w:val="24"/>
          <w:u w:val="single"/>
        </w:rPr>
      </w:pPr>
      <w:r>
        <w:rPr>
          <w:rFonts w:ascii="Times New Roman" w:hAnsi="Times New Roman"/>
          <w:color w:val="131313"/>
          <w:sz w:val="24"/>
          <w:u w:val="single"/>
        </w:rPr>
        <w:t>Schedule 4.02</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Content Standards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[Information included in this Schedule has been omitted in accordance with Item 601(a)(5) of Regulation S-K.]</w:t>
      </w:r>
    </w:p>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240" w:after="283"/>
        <w:jc w:val="center"/>
        <w:rPr>
          <w:rFonts w:ascii="Times New Roman" w:hAnsi="Times New Roman"/>
          <w:color w:val="131313"/>
          <w:sz w:val="24"/>
          <w:u w:val="single"/>
        </w:rPr>
      </w:pPr>
      <w:r>
        <w:rPr>
          <w:rFonts w:ascii="Times New Roman" w:hAnsi="Times New Roman"/>
          <w:color w:val="131313"/>
          <w:sz w:val="24"/>
          <w:u w:val="single"/>
        </w:rPr>
        <w:t>Schedule 9.03(c)</w:t>
      </w:r>
    </w:p>
    <w:p>
      <w:pPr>
        <w:pStyle w:val="Heading2"/>
        <w:bidi w:val="0"/>
        <w:spacing w:before="240" w:after="283"/>
        <w:jc w:val="center"/>
        <w:rPr>
          <w:rFonts w:ascii="Times New Roman" w:hAnsi="Times New Roman"/>
          <w:color w:val="131313"/>
          <w:sz w:val="24"/>
          <w:u w:val="single"/>
        </w:rPr>
      </w:pPr>
      <w:r>
        <w:rPr>
          <w:rFonts w:ascii="Times New Roman" w:hAnsi="Times New Roman"/>
          <w:color w:val="131313"/>
          <w:sz w:val="24"/>
          <w:u w:val="single"/>
        </w:rPr>
        <w:t>Exclusivity Run-Out Payments and Encumbered Theatre Beverage Agreement Advertising Rate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[Information included in this Schedule has been omitted in accordance with Item 601(a)(5) of Regulation S-K.]</w:t>
      </w:r>
    </w:p>
    <w:p>
      <w:pPr>
        <w:pStyle w:val="Heading2"/>
        <w:bidi w:val="0"/>
        <w:spacing w:before="240"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240" w:after="283"/>
        <w:jc w:val="center"/>
        <w:rPr>
          <w:rFonts w:ascii="Times New Roman" w:hAnsi="Times New Roman"/>
          <w:color w:val="131313"/>
          <w:sz w:val="24"/>
          <w:u w:val="single"/>
        </w:rPr>
      </w:pPr>
      <w:r>
        <w:rPr>
          <w:rFonts w:ascii="Times New Roman" w:hAnsi="Times New Roman"/>
          <w:color w:val="131313"/>
          <w:sz w:val="24"/>
          <w:u w:val="single"/>
        </w:rPr>
        <w:t>Addendum A</w:t>
      </w:r>
    </w:p>
    <w:p>
      <w:pPr>
        <w:pStyle w:val="Heading2"/>
        <w:bidi w:val="0"/>
        <w:spacing w:before="240" w:after="283"/>
        <w:jc w:val="center"/>
        <w:rPr>
          <w:rFonts w:ascii="Times New Roman" w:hAnsi="Times New Roman"/>
          <w:color w:val="131313"/>
          <w:sz w:val="24"/>
          <w:u w:val="single"/>
        </w:rPr>
      </w:pPr>
      <w:r>
        <w:rPr>
          <w:rFonts w:ascii="Times New Roman" w:hAnsi="Times New Roman"/>
          <w:color w:val="131313"/>
          <w:sz w:val="24"/>
          <w:u w:val="single"/>
        </w:rPr>
        <w:t>Lobby Entertainment Program and Lobby Promotions</w:t>
      </w:r>
    </w:p>
    <w:p>
      <w:pPr>
        <w:pStyle w:val="Heading2"/>
        <w:bidi w:val="0"/>
        <w:spacing w:before="240" w:after="283"/>
        <w:jc w:val="center"/>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[Information included in this Addendum has been omitted in accordance with Item 601(a)(5) of Regulation S-K.]</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2" w:name="ncmi-ex31_1.htm"/>
      <w:bookmarkStart w:id="33" w:name="ksncmiex31_1"/>
      <w:bookmarkEnd w:id="32"/>
      <w:bookmarkEnd w:id="33"/>
      <w:r>
        <w:rPr/>
        <w:t> </w:t>
      </w:r>
      <w:r>
        <w:br w:type="page"/>
      </w:r>
    </w:p>
    <w:p>
      <w:pPr>
        <w:pStyle w:val="TextBody"/>
        <w:bidi w:val="0"/>
        <w:spacing w:before="0" w:after="180"/>
        <w:jc w:val="right"/>
        <w:rPr>
          <w:rFonts w:ascii="Times New Roman" w:hAnsi="Times New Roman"/>
          <w:b/>
          <w:color w:val="000000"/>
          <w:sz w:val="20"/>
        </w:rPr>
      </w:pPr>
      <w:bookmarkStart w:id="34" w:name="section11"/>
      <w:bookmarkEnd w:id="34"/>
      <w:r>
        <w:rPr>
          <w:rFonts w:ascii="Times New Roman" w:hAnsi="Times New Roman"/>
          <w:b/>
          <w:color w:val="000000"/>
          <w:sz w:val="20"/>
        </w:rPr>
        <w:t>Exhibit 31.1</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 Thomas F. Lesinski, certify that: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1. I have reviewed this Quarterly Report on Form 10-Q of National CineMedia, Inc.;</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5181" w:type="dxa"/>
        <w:jc w:val="left"/>
        <w:tblInd w:w="0" w:type="dxa"/>
        <w:tblLayout w:type="fixed"/>
        <w:tblCellMar>
          <w:top w:w="28" w:type="dxa"/>
          <w:left w:w="28" w:type="dxa"/>
          <w:bottom w:w="28" w:type="dxa"/>
          <w:right w:w="28" w:type="dxa"/>
        </w:tblCellMar>
      </w:tblPr>
      <w:tblGrid>
        <w:gridCol w:w="1951"/>
        <w:gridCol w:w="109"/>
        <w:gridCol w:w="312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Date: August 11,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Thomas F. Lesinski</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Thomas F. Lesinski</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Chief Executive Officer and Director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spacing w:before="0" w:after="18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5" w:name="ncmi-ex31_2.htm"/>
      <w:bookmarkStart w:id="36" w:name="ksncmiex31_2"/>
      <w:bookmarkEnd w:id="35"/>
      <w:bookmarkEnd w:id="36"/>
      <w:r>
        <w:rPr/>
        <w:t> </w:t>
      </w:r>
      <w:r>
        <w:br w:type="page"/>
      </w:r>
    </w:p>
    <w:p>
      <w:pPr>
        <w:pStyle w:val="TextBody"/>
        <w:bidi w:val="0"/>
        <w:spacing w:before="0" w:after="180"/>
        <w:jc w:val="right"/>
        <w:rPr>
          <w:rFonts w:ascii="Times New Roman" w:hAnsi="Times New Roman"/>
          <w:b/>
          <w:color w:val="000000"/>
          <w:sz w:val="20"/>
        </w:rPr>
      </w:pPr>
      <w:bookmarkStart w:id="37" w:name="section13"/>
      <w:bookmarkEnd w:id="37"/>
      <w:r>
        <w:rPr>
          <w:rFonts w:ascii="Times New Roman" w:hAnsi="Times New Roman"/>
          <w:b/>
          <w:color w:val="000000"/>
          <w:sz w:val="20"/>
        </w:rPr>
        <w:t>Exhibit 31.2</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 Ronnie Y. Ng, certify that: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1. I have reviewed this Quarterly Report on Form 10-Q of National CineMedia, Inc.;</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5931" w:type="dxa"/>
        <w:jc w:val="left"/>
        <w:tblInd w:w="0" w:type="dxa"/>
        <w:tblLayout w:type="fixed"/>
        <w:tblCellMar>
          <w:top w:w="28" w:type="dxa"/>
          <w:left w:w="28" w:type="dxa"/>
          <w:bottom w:w="28" w:type="dxa"/>
          <w:right w:w="28" w:type="dxa"/>
        </w:tblCellMar>
      </w:tblPr>
      <w:tblGrid>
        <w:gridCol w:w="1951"/>
        <w:gridCol w:w="109"/>
        <w:gridCol w:w="387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Date: August 11,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Ronnie Y. Ng</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Ronnie Y. Ng</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Chief Financial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spacing w:before="0" w:after="18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8" w:name="ncmi-ex32_1.htm"/>
      <w:bookmarkStart w:id="39" w:name="ksncmiex32_1"/>
      <w:bookmarkEnd w:id="38"/>
      <w:bookmarkEnd w:id="39"/>
      <w:r>
        <w:rPr/>
        <w:t> </w:t>
      </w:r>
      <w:r>
        <w:br w:type="page"/>
      </w:r>
    </w:p>
    <w:p>
      <w:pPr>
        <w:pStyle w:val="TextBody"/>
        <w:bidi w:val="0"/>
        <w:spacing w:before="0" w:after="180"/>
        <w:jc w:val="right"/>
        <w:rPr>
          <w:rFonts w:ascii="Times New Roman" w:hAnsi="Times New Roman"/>
          <w:b/>
          <w:color w:val="000000"/>
          <w:sz w:val="20"/>
        </w:rPr>
      </w:pPr>
      <w:bookmarkStart w:id="40" w:name="section19"/>
      <w:bookmarkEnd w:id="40"/>
      <w:r>
        <w:rPr>
          <w:rFonts w:ascii="Times New Roman" w:hAnsi="Times New Roman"/>
          <w:b/>
          <w:color w:val="000000"/>
          <w:sz w:val="20"/>
        </w:rPr>
        <w:t>Exhibit 32.1</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connection with the Quarterly Report on Form 10-Q for the period ending July 2, 2026 (the “Report”) of National CineMedia, Inc. (the “Registrant”) as filed with the Securities and Exchange Commission on the date hereof, I, Thomas F. Lesinski, the Chief Executive Officer and Director of the Registrant, certify, pursuant to 18 U.S.C. § 1350, as adopted pursuant to § 906 of the Sarbanes-Oxley Act of 2002, that to the best of my knowledge: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and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Registrant.</w:t>
      </w:r>
    </w:p>
    <w:tbl>
      <w:tblPr>
        <w:tblW w:w="5181" w:type="dxa"/>
        <w:jc w:val="left"/>
        <w:tblInd w:w="0" w:type="dxa"/>
        <w:tblLayout w:type="fixed"/>
        <w:tblCellMar>
          <w:top w:w="28" w:type="dxa"/>
          <w:left w:w="28" w:type="dxa"/>
          <w:bottom w:w="28" w:type="dxa"/>
          <w:right w:w="28" w:type="dxa"/>
        </w:tblCellMar>
      </w:tblPr>
      <w:tblGrid>
        <w:gridCol w:w="1951"/>
        <w:gridCol w:w="109"/>
        <w:gridCol w:w="312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Date: August 11,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Thomas F. Lesinski</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Thomas F. Lesinski</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Chief Executive Officer and Director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1" w:name="ncmi-ex32_2.htm"/>
      <w:bookmarkStart w:id="42" w:name="ksncmiex32_2"/>
      <w:bookmarkEnd w:id="41"/>
      <w:bookmarkEnd w:id="42"/>
      <w:r>
        <w:rPr/>
        <w:t> </w:t>
      </w:r>
      <w:r>
        <w:br w:type="page"/>
      </w:r>
    </w:p>
    <w:p>
      <w:pPr>
        <w:pStyle w:val="TextBody"/>
        <w:bidi w:val="0"/>
        <w:spacing w:before="0" w:after="180"/>
        <w:jc w:val="right"/>
        <w:rPr>
          <w:rFonts w:ascii="Times New Roman" w:hAnsi="Times New Roman"/>
          <w:b/>
          <w:color w:val="000000"/>
          <w:sz w:val="20"/>
        </w:rPr>
      </w:pPr>
      <w:bookmarkStart w:id="43" w:name="section110"/>
      <w:bookmarkEnd w:id="43"/>
      <w:r>
        <w:rPr>
          <w:rFonts w:ascii="Times New Roman" w:hAnsi="Times New Roman"/>
          <w:b/>
          <w:color w:val="000000"/>
          <w:sz w:val="20"/>
        </w:rPr>
        <w:t>Exhibit 32.2</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connection with the Quarterly Report on Form 10-Q for the period ending July 2, 2026 (the “Report”) of National CineMedia, Inc. (the “Registrant”) as filed with the Securities and Exchange Commission on the date hereof, I, Ronnie Y. Ng, the Chief Financial Officer of the Registrant, certify, pursuant to 18 U.S.C. § 1350, as adopted pursuant to § 906 of the Sarbanes-Oxley Act of 2002, that to the best of my knowledge: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and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Registrant.</w:t>
      </w:r>
    </w:p>
    <w:tbl>
      <w:tblPr>
        <w:tblW w:w="5931" w:type="dxa"/>
        <w:jc w:val="left"/>
        <w:tblInd w:w="0" w:type="dxa"/>
        <w:tblLayout w:type="fixed"/>
        <w:tblCellMar>
          <w:top w:w="28" w:type="dxa"/>
          <w:left w:w="28" w:type="dxa"/>
          <w:bottom w:w="28" w:type="dxa"/>
          <w:right w:w="28" w:type="dxa"/>
        </w:tblCellMar>
      </w:tblPr>
      <w:tblGrid>
        <w:gridCol w:w="1951"/>
        <w:gridCol w:w="109"/>
        <w:gridCol w:w="387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Date: August 11,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Ronnie Y. Ng</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Ronnie Y. Ng</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Chief Financial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53367</Words>
  <Characters>285577</Characters>
  <CharactersWithSpaces>339486</CharactersWithSpaces>
  <Paragraphs>7049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