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center"/>
              <w:ind w:left="1864"/>
              <w:spacing w:after="0"/>
              <w:rPr>
                <w:sz w:val="20"/>
                <w:szCs w:val="20"/>
                <w:color w:val="auto"/>
              </w:rPr>
            </w:pPr>
            <w:r>
              <w:rPr>
                <w:rFonts w:ascii="Arial" w:cs="Arial" w:eastAsia="Arial" w:hAnsi="Arial"/>
                <w:sz w:val="18"/>
                <w:szCs w:val="18"/>
                <w:b w:val="1"/>
                <w:bCs w:val="1"/>
                <w:color w:val="auto"/>
                <w:w w:val="89"/>
              </w:rPr>
              <w:t>20-5665602</w:t>
            </w:r>
          </w:p>
        </w:tc>
      </w:tr>
      <w:tr>
        <w:trPr>
          <w:trHeight w:val="149"/>
        </w:trPr>
        <w:tc>
          <w:tcPr>
            <w:tcW w:w="4640" w:type="dxa"/>
            <w:vAlign w:val="bottom"/>
          </w:tcPr>
          <w:p>
            <w:pPr>
              <w:jc w:val="center"/>
              <w:ind w:right="186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6"/>
              </w:rPr>
              <w:t>9110 East Nichols Avenue, Suite 200</w:t>
            </w:r>
          </w:p>
        </w:tc>
        <w:tc>
          <w:tcPr>
            <w:tcW w:w="3000" w:type="dxa"/>
            <w:vAlign w:val="bottom"/>
          </w:tcPr>
          <w:p>
            <w:pPr>
              <w:spacing w:after="0"/>
              <w:rPr>
                <w:sz w:val="24"/>
                <w:szCs w:val="24"/>
                <w:color w:val="auto"/>
              </w:rPr>
            </w:pPr>
          </w:p>
        </w:tc>
      </w:tr>
      <w:tr>
        <w:trPr>
          <w:trHeight w:val="231"/>
        </w:trPr>
        <w:tc>
          <w:tcPr>
            <w:tcW w:w="46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9"/>
              </w:rPr>
              <w:t>Centennial, Colorado</w:t>
            </w:r>
          </w:p>
        </w:tc>
        <w:tc>
          <w:tcPr>
            <w:tcW w:w="300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July 31, 2012, 56,085,076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60" w:type="dxa"/>
            <w:vAlign w:val="bottom"/>
            <w:gridSpan w:val="5"/>
            <w:vMerge w:val="restart"/>
          </w:tcPr>
          <w:p>
            <w:pPr>
              <w:jc w:val="center"/>
              <w:ind w:right="478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56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Comprehensive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46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 of Equity/(Deficit)</w:t>
              </w:r>
            </w:hyperlink>
          </w:p>
        </w:tc>
        <w:tc>
          <w:tcPr>
            <w:tcW w:w="52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Unaudited Condensed Consolidated Financial Statements</w:t>
              </w:r>
            </w:hyperlink>
          </w:p>
        </w:tc>
        <w:tc>
          <w:tcPr>
            <w:tcW w:w="51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6"/>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5"/>
          </w:tcPr>
          <w:p>
            <w:pPr>
              <w:jc w:val="center"/>
              <w:ind w:right="47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7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Defaults Upon Senior Securities</w:t>
              </w:r>
            </w:hyperlink>
          </w:p>
        </w:tc>
        <w:tc>
          <w:tcPr>
            <w:tcW w:w="2000" w:type="dxa"/>
            <w:vAlign w:val="bottom"/>
            <w:tcBorders>
              <w:top w:val="single" w:sz="8" w:color="0000EE"/>
            </w:tcBorders>
            <w:gridSpan w:val="3"/>
          </w:tcPr>
          <w:p>
            <w:pPr>
              <w:spacing w:after="0"/>
              <w:rPr>
                <w:sz w:val="24"/>
                <w:szCs w:val="24"/>
                <w:color w:val="auto"/>
              </w:rPr>
            </w:pPr>
          </w:p>
        </w:tc>
        <w:tc>
          <w:tcPr>
            <w:tcW w:w="57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Mine Safety Disclosures</w:t>
              </w:r>
            </w:hyperlink>
          </w:p>
        </w:tc>
        <w:tc>
          <w:tcPr>
            <w:tcW w:w="83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7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87"/>
              </w:rPr>
              <w:t>(In millions, except share and per share data)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June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$4.7 and $4.3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and equipment, net of accumulated depreciation of $59.0 and $54.8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Intangible assets, net of accumulated amortization of $26.5 and $20.8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 of $3.2 and $3.2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Debt issuance costs, net of accumulated amortization of $11.2 and $9.8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investment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Long-term marketable securities</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payable (including $1.0 and $0.9 million to related party affiliates,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1,058.2</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1,148.7</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EQUITY/(DEFICIT):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NCM, Inc. Stockholders’ Equity (Deficit):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Common stock, $0.01 par value; 175,000,000 shares authorized, 54,446,443 and 53,934,605 issued and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Additional paid in capital (deficit)</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(370.0)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Retained earnings (distributions in excess of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NCM, Inc. stockholders’ equity/(deficit)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(439.5)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(354.5)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044"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044"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28,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2012</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Advertising (including revenue from founding members of $10.2, $10.7,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640"/>
              <w:spacing w:after="0"/>
              <w:rPr>
                <w:sz w:val="20"/>
                <w:szCs w:val="20"/>
                <w:color w:val="auto"/>
              </w:rPr>
            </w:pPr>
            <w:r>
              <w:rPr>
                <w:rFonts w:ascii="Arial" w:cs="Arial" w:eastAsia="Arial" w:hAnsi="Arial"/>
                <w:sz w:val="18"/>
                <w:szCs w:val="18"/>
                <w:color w:val="auto"/>
              </w:rPr>
              <w:t>$20.0 and $19.0 million, respectively)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7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5"/>
              </w:rPr>
              <w:t>Advertising operating costs (including $1.0, $0.7, $1.7 and $1.2 million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640"/>
              <w:spacing w:after="0"/>
              <w:rPr>
                <w:sz w:val="20"/>
                <w:szCs w:val="20"/>
                <w:color w:val="auto"/>
              </w:rPr>
            </w:pPr>
            <w:r>
              <w:rPr>
                <w:rFonts w:ascii="Arial" w:cs="Arial" w:eastAsia="Arial" w:hAnsi="Arial"/>
                <w:sz w:val="18"/>
                <w:szCs w:val="18"/>
                <w:color w:val="auto"/>
              </w:rPr>
              <w:t>to related party affiliates,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Fathom Events operating costs (including $1.2, $2.8, $3.2 and $4.8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to founding members,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Selling and marketing costs (including $0.2, $0.4, $0.4 and $0.6 million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640"/>
              <w:spacing w:after="0"/>
              <w:rPr>
                <w:sz w:val="20"/>
                <w:szCs w:val="20"/>
                <w:color w:val="auto"/>
              </w:rPr>
            </w:pPr>
            <w:r>
              <w:rPr>
                <w:rFonts w:ascii="Arial" w:cs="Arial" w:eastAsia="Arial" w:hAnsi="Arial"/>
                <w:sz w:val="18"/>
                <w:szCs w:val="18"/>
                <w:color w:val="auto"/>
              </w:rPr>
              <w:t>to founding members,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7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Interest on borrowings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Accretion of interest on the discounted payable to founding members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640"/>
              <w:spacing w:after="0"/>
              <w:rPr>
                <w:sz w:val="20"/>
                <w:szCs w:val="20"/>
                <w:color w:val="auto"/>
              </w:rPr>
            </w:pPr>
            <w:r>
              <w:rPr>
                <w:rFonts w:ascii="Arial" w:cs="Arial" w:eastAsia="Arial" w:hAnsi="Arial"/>
                <w:sz w:val="18"/>
                <w:szCs w:val="18"/>
                <w:color w:val="auto"/>
              </w:rPr>
              <w:t>under tax sharing agreement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Loss on swap terminations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non-operating expense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7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8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28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NCM, INC.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(LOSS) EARNINGS PER NCM, INC. COMMON SHARE:</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54,442,398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53,912,351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54,291,816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53,801,768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54,442,398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54,814,211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54,291,816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54,674,293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June 28,</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7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(LOSS) INCOME, NET OF TAX</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 (loss) on cash flow hedges, net of tax</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CONSOLIDATED COMPREHENSIVE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NCM, INC.</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June 28, 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Consolidated net (loss) income</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Adjustments to reconcile consolidated net income to net cash provided by operating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activities: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Deferred income tax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Non-cash share-based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from share-based 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w w:val="98"/>
              </w:rPr>
              <w:t>Accretion of interest on the discounted payable to founding members under tax</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500"/>
              <w:spacing w:after="0"/>
              <w:rPr>
                <w:sz w:val="20"/>
                <w:szCs w:val="20"/>
                <w:color w:val="auto"/>
              </w:rPr>
            </w:pPr>
            <w:r>
              <w:rPr>
                <w:rFonts w:ascii="Arial" w:cs="Arial" w:eastAsia="Arial" w:hAnsi="Arial"/>
                <w:sz w:val="18"/>
                <w:szCs w:val="18"/>
                <w:color w:val="auto"/>
              </w:rPr>
              <w:t>sharing agreement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unrealized (gain) loss on hedging transactions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Write-off of net debt issuance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Loss on swap terminations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for swap terminations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Amounts due to founding members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Purchases of marketable securities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 and maturities of marketable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Payment from founding members for intangible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intangible assets from an affiliate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Payment of dividends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(24.8)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borrowings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Repayments of borrowings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(421.0)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debt issuance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Founding member integration payments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founding members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Excess tax benefit from share-based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stock option exercises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Repurchase of stock for restricted stock tax withholding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280"/>
              <w:spacing w:after="0"/>
              <w:rPr>
                <w:sz w:val="20"/>
                <w:szCs w:val="20"/>
                <w:color w:val="auto"/>
              </w:rPr>
            </w:pPr>
            <w:r>
              <w:rPr>
                <w:rFonts w:ascii="Arial" w:cs="Arial" w:eastAsia="Arial" w:hAnsi="Arial"/>
                <w:sz w:val="18"/>
                <w:szCs w:val="18"/>
                <w:color w:val="auto"/>
              </w:rPr>
              <w:t>Beginning of period</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End of period</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June 28, 2012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June 30, 2011</w:t>
            </w: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40" w:type="dxa"/>
            <w:vAlign w:val="bottom"/>
          </w:tcPr>
          <w:p>
            <w:pPr>
              <w:ind w:left="880"/>
              <w:spacing w:after="0"/>
              <w:rPr>
                <w:sz w:val="20"/>
                <w:szCs w:val="20"/>
                <w:color w:val="auto"/>
              </w:rPr>
            </w:pPr>
            <w:r>
              <w:rPr>
                <w:rFonts w:ascii="Arial" w:cs="Arial" w:eastAsia="Arial" w:hAnsi="Arial"/>
                <w:sz w:val="18"/>
                <w:szCs w:val="18"/>
                <w:color w:val="auto"/>
              </w:rPr>
              <w:t>Purchase of an intangible asset with subsidiary equity (equity returned)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8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cost method investment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36.2</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2"/>
        </w:trPr>
        <w:tc>
          <w:tcPr>
            <w:tcW w:w="8140" w:type="dxa"/>
            <w:vAlign w:val="bottom"/>
          </w:tcPr>
          <w:p>
            <w:pPr>
              <w:ind w:left="88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 in</w:t>
            </w:r>
          </w:p>
        </w:tc>
        <w:tc>
          <w:tcPr>
            <w:tcW w:w="3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in Excess of</w:t>
            </w:r>
          </w:p>
        </w:tc>
        <w:tc>
          <w:tcPr>
            <w:tcW w:w="1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Balance—December 29,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Distributions to founding members</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net of tax</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$0.44 per share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Balance—June 28, 2012</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(354.5)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(373.3)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returned for purchase of intangible asset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net of tax</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 issued</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expense/capitalized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dividends declared $0.40 per share</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0.5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(365.6)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jc w:val="both"/>
        <w:ind w:right="9620" w:firstLine="8"/>
        <w:spacing w:after="0" w:line="417" w:lineRule="auto"/>
        <w:tabs>
          <w:tab w:leader="none" w:pos="44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a LLC owned by NCM, Inc., American Multi-Cinema, Inc. (“AMC”), a wholly owned subsidiary of AMC Entertainment, Inc. (“AMCE”), Regal Cinemas, Inc., a wholly owned subsidiary of Regal Entertainment Group (“Regal”) and Cinemark USA, Inc. (“Cinemark USA”), a wholly owned subsidiary of Cinemark Holdings, Inc. (“Cinemark”). The terms “NCM”, “the Company” or “we” shall, unless the context otherwise requires, be deemed to include the consolidated entity. The Company operates the largest digital in-theatre network in North America, allowing NCM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which expire at various dates.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June 28, 2012, NCM LLC had 111,978,019 common membership units outstanding, of which 54,446,443 (48.6%) were owned by NCM, Inc., 22,113,150 (19.7%) were owned by Regal, 18,094,644 (16.2%) were owned by Cinemark and 17,323,782 (15.5%) were owned by AMC. The membership units held by the founding members are exchangeable into NCM, Inc. common stock on a one-for-one basis.</w:t>
      </w:r>
    </w:p>
    <w:p>
      <w:pPr>
        <w:spacing w:after="0" w:line="14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first quarter of 2012, the Company restructured Fathom Events to place more focus on the Fathom Consumer Events division. Based on historical and expected future trends the Company believes the Fathom Consumer Events division has greater future growth prospects and is more aligned with the movie exhibition business and the Company’s strategy of becoming a more powerful digital media platform. The Company continued to operate the Fathom Business Events division for a portion of the first quarter of 2012 to satisfy contractual obligations for events and will continue to execute business events on a periodic basis for existing long term Fathom clients, or regulated by the founding members or to support events staged for NCM’s major advertising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2011.</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 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reclassifications of previously reported network, administrative and unallocated costs in segment reporting have been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year presentation.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29, 2011 contain a complete discussion of the Company’s significant accounting policies.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 Advertising is the principal business activity of the Company and is the Company’s reportable segment under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Fathom Consumer Events and Fathom Business Events are operating segments under ASC 280, but do not meet the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consolidated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9-</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 Bad debts are provided for using the allowance for doubtful accounts method based on historical experience and management’s evaluation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outstanding receivables at the end of the period. Receivables are written off when management determines amounts are uncollectible. Trade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are uncollateralized and represent a large number of geographically dispersed debtors. At June 28, 2012, there were no advertising agency groups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which the Company sources national advertising revenue representing over 10% of the Company’s outstanding gross receivable balance.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2011, there was one advertising agency group through which the Company sources national advertising revenue representing approximately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outstanding gross receivable balance; however, none of the individual contracts related to the advertising agency were more than 10%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advertising revenue. The collectability risk is reduced by dealing with large, national advertising agencies who have strong reputations in the advertising industry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clients with stable financial positions.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issues two types of share-based compensation awards: stock options and non-vested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Compensation expense of restricted stock is based on management’s projections and the probability of achievement of those expectations,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quarterly on the restricted stock and are paid when the shares vest. Compensation cost of stock options is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During the three and six months ended June 28, 2012, 7,663 and 202,762 stock options were exercised at a weighted average exercise price of $13.64 and $15.20 per share, respectively. During the three and six months ended June 28, 2012, 0 and 439,738 shares of restricted stock vested upon the satisfaction of performance conditions, respectively.</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 NCM, Inc. consolidates the accounts of NCM LLC under the provision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Under ASC 810, a managing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June 28, 2012</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NCM, Inc.</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Subsidiary equity issued (returned) for purchase of intangible asset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Change from net income attributable to NCM, Inc. and transfers from noncontrolling interests</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condensed consolidated financial statements.</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Basic earnings (loss) per share is computed on the basis of the weighted average number of common shares outstanding. Diluted earnings (loss) per share is computed on the basis of the weighted average number of common shares outstanding plus the effect of potentially dilutive common stock options, and restricted stock using the treasury stock method. The components of basic and diluted earnings (loss) per NCM, Inc. share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Quarter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50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28, 2012</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6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28, 2012</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June 30, 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NCM, Inc. (in millions)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54,442,398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53,912,351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54,291,816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53,801,768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901,860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54,442,398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54,814,211</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54,291,816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54,674,293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Earnings (loss) per NCM, Inc. share:</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effect of the 57,531,576; 56,879,964; 57,255,894 and 57,016,513 exchangeable NCM LLC common units held by the founding members for the quarters ended June 28, 2012 and June 30, 2011 and the six months ended June 28, 2012 and June 30, 2011, respectively, have been excluded from the calculation of diluted weighted average shares and earnings per NCM, Inc. share as they were antidilutive. NCM LLC common units do not participate in NCM, Inc. dividends. In addition, there were 45,825 and 47,321 stock options and non-vested (restricted) shares for the quarter and the six months ended June 30, 2011, respectively, excluded from the calculation as they were antidilutive, primarily because exercise prices were above the average market value and there were 6,598,415 stock options and non-vested (restricted) shares for the quarter and six months ended June 28, 2012, excluded due to the net loss during those periods. The Company’s non-vested (restricted) shares do not meet the definition of a participating security as the dividends will not be paid if the shares do not vest.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past year. During the first quarter of 2012, NCM LLC issued 651,612 common membership units to its founding members for the rights to exclusive access to net new theatre screens and attendees added by the founding members to NCM LLC’s network during 2011. NCM LLC recorded a net intangible asset of $9.9 million in the first quarter of 2012, as a result of the common unit adjustment. In lieu of surrendering 16,727 units, AMC paid NCM LLC $0.2 million in the first quarter of 2012. During the first quarter of 2011, NCM LLC’s founding members returned a net 322,751 common membership units to NCM LLC for 2010 attendance, which reduced the net intangible asset by $5.5 million during the first quarter of 2011.</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The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w:t>
      </w:r>
    </w:p>
    <w:p>
      <w:pPr>
        <w:spacing w:after="0" w:line="23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Founding Member Transactions </w:t>
      </w:r>
      <w:r>
        <w:rPr>
          <w:rFonts w:ascii="Arial" w:cs="Arial" w:eastAsia="Arial" w:hAnsi="Arial"/>
          <w:sz w:val="16"/>
          <w:szCs w:val="16"/>
          <w:color w:val="auto"/>
        </w:rPr>
        <w:t>–Following is a summary of the transactions between the Company and the founding members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Quarter</w:t>
            </w: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1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Included in the Condensed Consolidated Statements of Income:</w:t>
            </w:r>
          </w:p>
        </w:tc>
        <w:tc>
          <w:tcPr>
            <w:tcW w:w="37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28,</w:t>
            </w:r>
          </w:p>
        </w:tc>
        <w:tc>
          <w:tcPr>
            <w:tcW w:w="3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720" w:type="dxa"/>
            <w:vAlign w:val="bottom"/>
            <w:gridSpan w:val="2"/>
          </w:tcPr>
          <w:p>
            <w:pPr>
              <w:jc w:val="center"/>
              <w:ind w:left="155"/>
              <w:spacing w:after="0" w:line="148" w:lineRule="exact"/>
              <w:rPr>
                <w:sz w:val="20"/>
                <w:szCs w:val="20"/>
                <w:color w:val="auto"/>
              </w:rPr>
            </w:pPr>
            <w:r>
              <w:rPr>
                <w:rFonts w:ascii="Arial" w:cs="Arial" w:eastAsia="Arial" w:hAnsi="Arial"/>
                <w:sz w:val="14"/>
                <w:szCs w:val="14"/>
                <w:b w:val="1"/>
                <w:bCs w:val="1"/>
                <w:color w:val="auto"/>
                <w:w w:val="89"/>
              </w:rPr>
              <w:t>2012</w:t>
            </w:r>
          </w:p>
        </w:tc>
        <w:tc>
          <w:tcPr>
            <w:tcW w:w="860" w:type="dxa"/>
            <w:vAlign w:val="bottom"/>
            <w:gridSpan w:val="2"/>
          </w:tcPr>
          <w:p>
            <w:pPr>
              <w:jc w:val="center"/>
              <w:ind w:left="316"/>
              <w:spacing w:after="0" w:line="148"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$ 10.7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w w:val="90"/>
              </w:rPr>
              <w:t xml:space="preserve">Purchase of movie tickets and concession products (included in Fathom Events operating costs) </w:t>
            </w:r>
            <w:r>
              <w:rPr>
                <w:rFonts w:ascii="Arial" w:cs="Arial" w:eastAsia="Arial" w:hAnsi="Arial"/>
                <w:sz w:val="18"/>
                <w:szCs w:val="18"/>
                <w:i w:val="1"/>
                <w:iCs w:val="1"/>
                <w:color w:val="auto"/>
                <w:w w:val="90"/>
              </w:rPr>
              <w:t>(5)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ind w:left="440"/>
              <w:spacing w:after="0"/>
              <w:rPr>
                <w:sz w:val="20"/>
                <w:szCs w:val="20"/>
                <w:color w:val="auto"/>
              </w:rPr>
            </w:pPr>
            <w:r>
              <w:rPr>
                <w:rFonts w:ascii="Arial" w:cs="Arial" w:eastAsia="Arial" w:hAnsi="Arial"/>
                <w:sz w:val="18"/>
                <w:szCs w:val="18"/>
                <w:color w:val="auto"/>
                <w:w w:val="94"/>
              </w:rPr>
              <w:t xml:space="preserve">Purchase of movie tickets and concession products (included in Selling and marketing costs) </w:t>
            </w:r>
            <w:r>
              <w:rPr>
                <w:rFonts w:ascii="Arial" w:cs="Arial" w:eastAsia="Arial" w:hAnsi="Arial"/>
                <w:sz w:val="18"/>
                <w:szCs w:val="18"/>
                <w:i w:val="1"/>
                <w:iCs w:val="1"/>
                <w:color w:val="auto"/>
                <w:w w:val="94"/>
              </w:rPr>
              <w:t>(5)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3"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For the quarters and six months ended June 28, 2012 and June 30, 2011, the founding members purchased 60 seconds of on-screen advertising time (with a right to purchase up to 90 seconds) from NCM LLC to satisfy their obligations under their beverage concessionaire agreements at a rate specified by the ESA and a 30 second equivalent cost per thousand (“CPM”).</w:t>
      </w: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values of such purchases are calculated by reference to NCM LLC’s advertising rate card.</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80" w:right="25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right="260" w:hanging="452"/>
        <w:spacing w:after="0" w:line="254"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Comprised of a payment per theatre attendee and a payment per digital screen with respect to the founding member theatres included in the Company’s network.</w:t>
      </w: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Business Events customers.</w:t>
      </w:r>
    </w:p>
    <w:p>
      <w:pPr>
        <w:sectPr>
          <w:pgSz w:w="11900" w:h="16838" w:orient="portrait"/>
          <w:cols w:equalWidth="0" w:num="1">
            <w:col w:w="11340"/>
          </w:cols>
          <w:pgMar w:left="240" w:top="459" w:right="319" w:bottom="1440" w:gutter="0" w:footer="0" w:header="0"/>
        </w:sect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Included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2204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 xml:space="preserve">Integration payments (included in Intangible assets) </w:t>
      </w:r>
      <w:r>
        <w:rPr>
          <w:rFonts w:ascii="Arial" w:cs="Arial" w:eastAsia="Arial" w:hAnsi="Arial"/>
          <w:sz w:val="18"/>
          <w:szCs w:val="18"/>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 xml:space="preserve">Current payable to founding members under tax sharing agreement </w:t>
      </w:r>
      <w:r>
        <w:rPr>
          <w:rFonts w:ascii="Arial" w:cs="Arial" w:eastAsia="Arial" w:hAnsi="Arial"/>
          <w:sz w:val="15"/>
          <w:szCs w:val="15"/>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As of</w:t>
            </w:r>
          </w:p>
        </w:tc>
      </w:t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June 28, 2012</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29, 2011</w:t>
            </w:r>
          </w:p>
        </w:tc>
      </w:tr>
      <w:tr>
        <w:trPr>
          <w:trHeight w:val="201"/>
        </w:trPr>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center"/>
              <w:ind w:left="199"/>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0.7</w:t>
            </w:r>
          </w:p>
        </w:tc>
      </w:tr>
      <w:tr>
        <w:trPr>
          <w:trHeight w:val="222"/>
        </w:trPr>
        <w:tc>
          <w:tcPr>
            <w:tcW w:w="160" w:type="dxa"/>
            <w:vAlign w:val="bottom"/>
          </w:tcPr>
          <w:p>
            <w:pPr>
              <w:spacing w:after="0"/>
              <w:rPr>
                <w:sz w:val="19"/>
                <w:szCs w:val="19"/>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142" w:lineRule="exact"/>
        <w:rPr>
          <w:sz w:val="20"/>
          <w:szCs w:val="20"/>
          <w:color w:val="auto"/>
        </w:rPr>
      </w:pPr>
    </w:p>
    <w:p>
      <w:pPr>
        <w:sectPr>
          <w:pgSz w:w="11900" w:h="16838" w:orient="portrait"/>
          <w:cols w:equalWidth="0" w:num="2">
            <w:col w:w="7520" w:space="720"/>
            <w:col w:w="3100"/>
          </w:cols>
          <w:pgMar w:left="240" w:top="459" w:right="319" w:bottom="1440" w:gutter="0" w:footer="0" w:header="0"/>
          <w:type w:val="continuous"/>
        </w:sectPr>
      </w:pPr>
    </w:p>
    <w:p>
      <w:pPr>
        <w:ind w:left="460" w:hanging="452"/>
        <w:spacing w:after="0" w:line="303" w:lineRule="auto"/>
        <w:tabs>
          <w:tab w:leader="none" w:pos="460" w:val="left"/>
        </w:tabs>
        <w:numPr>
          <w:ilvl w:val="0"/>
          <w:numId w:val="7"/>
        </w:numPr>
        <w:rPr>
          <w:rFonts w:ascii="Arial" w:cs="Arial" w:eastAsia="Arial" w:hAnsi="Arial"/>
          <w:sz w:val="15"/>
          <w:szCs w:val="15"/>
          <w:i w:val="1"/>
          <w:iCs w:val="1"/>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1" w:lineRule="exact"/>
        <w:rPr>
          <w:rFonts w:ascii="Arial" w:cs="Arial" w:eastAsia="Arial" w:hAnsi="Arial"/>
          <w:sz w:val="15"/>
          <w:szCs w:val="15"/>
          <w:i w:val="1"/>
          <w:iCs w:val="1"/>
          <w:color w:val="auto"/>
        </w:rPr>
      </w:pPr>
    </w:p>
    <w:p>
      <w:pPr>
        <w:ind w:left="460" w:hanging="452"/>
        <w:spacing w:after="0" w:line="261"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Company paid the founding members $18.2 million in the first quarter of 2012, of which $0.9 million was for the 2010 tax year and $17.3 million was for the 2011 tax year.</w:t>
      </w:r>
    </w:p>
    <w:p>
      <w:pPr>
        <w:spacing w:after="0" w:line="13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quarters ended June 28, 2012 and June 30, 2011 and the six months ended June 28, 2012 and June 30, 2011 are as follows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Quarter Ended</w:t>
            </w:r>
          </w:p>
        </w:tc>
        <w:tc>
          <w:tcPr>
            <w:tcW w:w="7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7"/>
              </w:rPr>
              <w:t>Six Months Ended</w:t>
            </w:r>
          </w:p>
        </w:tc>
        <w:tc>
          <w:tcPr>
            <w:tcW w:w="7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28, 2012</w:t>
            </w:r>
          </w:p>
        </w:tc>
        <w:tc>
          <w:tcPr>
            <w:tcW w:w="4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June 30, 2011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June 28, 2012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2011</w:t>
            </w:r>
          </w:p>
        </w:tc>
      </w:tr>
      <w:tr>
        <w:trPr>
          <w:trHeight w:val="210"/>
        </w:trPr>
        <w:tc>
          <w:tcPr>
            <w:tcW w:w="2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Cinemark</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NCM, Inc.</w:t>
            </w:r>
          </w:p>
        </w:tc>
        <w:tc>
          <w:tcPr>
            <w:tcW w:w="1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mandatory distributions of available cash by NCM LLC to its founding members for the quarter ended June 28, 2012 of $20.5 million is included in amounts due to founding members on the condensed consolidated balance sheets at June 28, 2012 and will be made in the third quarter of 2012.</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June 28, 2012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AMC</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3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6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30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gridSpan w:val="3"/>
          </w:tcPr>
          <w:p>
            <w:pPr>
              <w:jc w:val="right"/>
              <w:ind w:right="260"/>
              <w:spacing w:after="0"/>
              <w:rPr>
                <w:sz w:val="20"/>
                <w:szCs w:val="20"/>
                <w:color w:val="auto"/>
              </w:rPr>
            </w:pPr>
            <w:r>
              <w:rPr>
                <w:rFonts w:ascii="Arial" w:cs="Arial" w:eastAsia="Arial" w:hAnsi="Arial"/>
                <w:sz w:val="18"/>
                <w:szCs w:val="18"/>
                <w:color w:val="auto"/>
              </w:rPr>
              <w:t>$ 6.6</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40" w:type="dxa"/>
            <w:vAlign w:val="bottom"/>
            <w:vMerge w:val="restart"/>
          </w:tcPr>
          <w:p>
            <w:pPr>
              <w:jc w:val="right"/>
              <w:ind w:right="1792"/>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29, 2011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AMC</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4"/>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$ 6.7</w:t>
            </w:r>
          </w:p>
        </w:tc>
        <w:tc>
          <w:tcPr>
            <w:tcW w:w="24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8</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22.0</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Related Party Affiliates </w:t>
      </w:r>
      <w:r>
        <w:rPr>
          <w:rFonts w:ascii="Arial" w:cs="Arial" w:eastAsia="Arial" w:hAnsi="Arial"/>
          <w:sz w:val="16"/>
          <w:szCs w:val="16"/>
          <w:color w:val="auto"/>
        </w:rPr>
        <w:t>— NCM LLC enters into digital content agreements and Fathom agreements with network affiliates for NCM LLC to provide 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the transactions between the Company and its related party affiliates (in millions):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Included in Advertising operating costs in the Condensed 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6"/>
              </w:rPr>
              <w:t>Quarter Ended</w:t>
            </w:r>
          </w:p>
        </w:tc>
        <w:tc>
          <w:tcPr>
            <w:tcW w:w="7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Quarter Ended</w:t>
            </w:r>
          </w:p>
        </w:tc>
        <w:tc>
          <w:tcPr>
            <w:tcW w:w="7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Six Months Ended</w:t>
            </w:r>
          </w:p>
        </w:tc>
        <w:tc>
          <w:tcPr>
            <w:tcW w:w="76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vMerge w:val="continue"/>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w w:val="92"/>
              </w:rPr>
              <w:t>June 28, 2012</w:t>
            </w:r>
          </w:p>
        </w:tc>
        <w:tc>
          <w:tcPr>
            <w:tcW w:w="720" w:type="dxa"/>
            <w:vAlign w:val="bottom"/>
          </w:tcPr>
          <w:p>
            <w:pPr>
              <w:spacing w:after="0"/>
              <w:rPr>
                <w:sz w:val="14"/>
                <w:szCs w:val="14"/>
                <w:color w:val="auto"/>
              </w:rPr>
            </w:pPr>
          </w:p>
        </w:tc>
        <w:tc>
          <w:tcPr>
            <w:tcW w:w="9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w w:val="90"/>
              </w:rPr>
              <w:t>June 30, 2011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7"/>
              </w:rPr>
              <w:t>June 28, 2012</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760" w:type="dxa"/>
            <w:vAlign w:val="bottom"/>
            <w:tcBorders>
              <w:top w:val="single" w:sz="8" w:color="CCEEFF"/>
            </w:tcBorders>
            <w:gridSpan w:val="2"/>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3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0" w:type="dxa"/>
            <w:vAlign w:val="bottom"/>
          </w:tcPr>
          <w:p>
            <w:pPr>
              <w:ind w:left="440"/>
              <w:spacing w:after="0"/>
              <w:rPr>
                <w:sz w:val="20"/>
                <w:szCs w:val="20"/>
                <w:color w:val="auto"/>
              </w:rPr>
            </w:pPr>
            <w:r>
              <w:rPr>
                <w:rFonts w:ascii="Arial" w:cs="Arial" w:eastAsia="Arial" w:hAnsi="Arial"/>
                <w:sz w:val="18"/>
                <w:szCs w:val="18"/>
                <w:color w:val="auto"/>
              </w:rPr>
              <w:t>Total</w:t>
            </w:r>
          </w:p>
        </w:tc>
        <w:tc>
          <w:tcPr>
            <w:tcW w:w="4120" w:type="dxa"/>
            <w:vAlign w:val="bottom"/>
            <w:gridSpan w:val="3"/>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Included in Accounts payable in the Condensed Consolidated Balance Sheets: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43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June 28, 2012</w:t>
            </w:r>
          </w:p>
        </w:tc>
        <w:tc>
          <w:tcPr>
            <w:tcW w:w="22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29, 2011</w:t>
            </w: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432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10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4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rPr>
              <w:t>Total</w:t>
            </w:r>
          </w:p>
        </w:tc>
        <w:tc>
          <w:tcPr>
            <w:tcW w:w="4620" w:type="dxa"/>
            <w:vAlign w:val="bottom"/>
            <w:gridSpan w:val="3"/>
          </w:tcPr>
          <w:p>
            <w:pPr>
              <w:jc w:val="right"/>
              <w:ind w:right="19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Cinemark.</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Showplex Cinemas, Inc. (“Showplex”) is an affiliate of one of NCM, Inc.’s directors.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Other affiliates include LA Live Cinemas LLC (“LA Live”), an affiliate of Regal and Texas Cinemas, Corp., an affiliate of one of NCM, Inc.’s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summarizes NCM LLC’s total outstanding debt as of June 28, 2012 and December 29, 2011 and the significant terms of its borrowing arrangements: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Borrowings ($ in millions)</w:t>
            </w:r>
          </w:p>
        </w:tc>
        <w:tc>
          <w:tcPr>
            <w:tcW w:w="3660" w:type="dxa"/>
            <w:vAlign w:val="bottom"/>
            <w:vMerge w:val="restart"/>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87"/>
              </w:rPr>
              <w:t>Outstanding Balance as of</w:t>
            </w:r>
          </w:p>
        </w:tc>
        <w:tc>
          <w:tcPr>
            <w:tcW w:w="4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102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gridSpan w:val="2"/>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June 28, 2012</w:t>
            </w:r>
          </w:p>
        </w:tc>
        <w:tc>
          <w:tcPr>
            <w:tcW w:w="300" w:type="dxa"/>
            <w:vAlign w:val="bottom"/>
          </w:tcPr>
          <w:p>
            <w:pPr>
              <w:spacing w:after="0"/>
              <w:rPr>
                <w:sz w:val="12"/>
                <w:szCs w:val="12"/>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December 29, 2011</w:t>
            </w:r>
          </w:p>
        </w:tc>
        <w:tc>
          <w:tcPr>
            <w:tcW w:w="6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Revolver</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w:t>
            </w:r>
          </w:p>
        </w:tc>
        <w:tc>
          <w:tcPr>
            <w:tcW w:w="6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93"/>
              </w:rPr>
              <w:t>April 27, 2017</w:t>
            </w:r>
          </w:p>
        </w:tc>
        <w:tc>
          <w:tcPr>
            <w:tcW w:w="740" w:type="dxa"/>
            <w:vAlign w:val="bottom"/>
            <w:tcBorders>
              <w:top w:val="single" w:sz="8" w:color="CCEEFF"/>
            </w:tcBorders>
            <w:shd w:val="clear" w:color="auto" w:fill="CCEEFF"/>
          </w:tcPr>
          <w:p>
            <w:pPr>
              <w:jc w:val="right"/>
              <w:ind w:right="452"/>
              <w:spacing w:after="0" w:line="202" w:lineRule="exact"/>
              <w:rPr>
                <w:sz w:val="20"/>
                <w:szCs w:val="20"/>
                <w:color w:val="auto"/>
              </w:rPr>
            </w:pPr>
            <w:r>
              <w:rPr>
                <w:rFonts w:ascii="Arial" w:cs="Arial" w:eastAsia="Arial" w:hAnsi="Arial"/>
                <w:sz w:val="18"/>
                <w:szCs w:val="18"/>
                <w:i w:val="1"/>
                <w:iCs w:val="1"/>
                <w:color w:val="auto"/>
                <w:w w:val="81"/>
              </w:rPr>
              <w:t>(a)</w:t>
            </w: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i w:val="1"/>
                <w:iCs w:val="1"/>
                <w:color w:val="auto"/>
                <w:w w:val="81"/>
              </w:rPr>
              <w:t>(b)</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225.0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550.0</w:t>
            </w:r>
          </w:p>
        </w:tc>
        <w:tc>
          <w:tcPr>
            <w:tcW w:w="2080" w:type="dxa"/>
            <w:vAlign w:val="bottom"/>
            <w:gridSpan w:val="2"/>
          </w:tcPr>
          <w:p>
            <w:pPr>
              <w:jc w:val="right"/>
              <w:ind w:right="652"/>
              <w:spacing w:after="0"/>
              <w:rPr>
                <w:sz w:val="20"/>
                <w:szCs w:val="20"/>
                <w:color w:val="auto"/>
              </w:rPr>
            </w:pPr>
            <w:r>
              <w:rPr>
                <w:rFonts w:ascii="Arial" w:cs="Arial" w:eastAsia="Arial" w:hAnsi="Arial"/>
                <w:sz w:val="18"/>
                <w:szCs w:val="18"/>
                <w:color w:val="auto"/>
                <w:w w:val="89"/>
              </w:rPr>
              <w:t>February 13, 2015</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81"/>
              </w:rPr>
              <w:t>(b)</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200.0</w:t>
            </w:r>
          </w:p>
        </w:tc>
        <w:tc>
          <w:tcPr>
            <w:tcW w:w="2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July 15, 2021</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80" w:type="dxa"/>
            <w:vAlign w:val="bottom"/>
            <w:gridSpan w:val="2"/>
          </w:tcPr>
          <w:p>
            <w:pPr>
              <w:jc w:val="right"/>
              <w:ind w:right="652"/>
              <w:spacing w:after="0"/>
              <w:rPr>
                <w:sz w:val="20"/>
                <w:szCs w:val="20"/>
                <w:color w:val="auto"/>
              </w:rPr>
            </w:pPr>
            <w:r>
              <w:rPr>
                <w:rFonts w:ascii="Arial" w:cs="Arial" w:eastAsia="Arial" w:hAnsi="Arial"/>
                <w:sz w:val="18"/>
                <w:szCs w:val="18"/>
                <w:color w:val="auto"/>
              </w:rPr>
              <w:t>April 15, 2022</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839.0</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794.0</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A portion of the revolver has a maturity date of December 31, 2014, as described in further detail below.</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revolver and term loan are described below.</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Senior Secured Credit Facility</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NCM LLC’s senior secured credit facility consists of a $119.0 million revolving credit facility and a $225.0 million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obligations under the facility are secured by a lien on substantially all of the assets of NCM LLC.</w:t>
      </w:r>
    </w:p>
    <w:p>
      <w:pPr>
        <w:spacing w:after="0" w:line="51"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i w:val="1"/>
          <w:iCs w:val="1"/>
          <w:color w:val="auto"/>
        </w:rPr>
        <w:t>Revolver</w:t>
      </w:r>
      <w:r>
        <w:rPr>
          <w:rFonts w:ascii="Arial" w:cs="Arial" w:eastAsia="Arial" w:hAnsi="Arial"/>
          <w:sz w:val="18"/>
          <w:szCs w:val="18"/>
          <w:color w:val="auto"/>
        </w:rPr>
        <w:t>— The revolving credit facility portion of the Company’s total borrowings is available, subject to certain conditions, for general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the Company in the ordinary course of business and for other transactions permitted under the senior secured credit facility, and a portion is available for letters of credit.</w:t>
      </w:r>
    </w:p>
    <w:p>
      <w:pPr>
        <w:spacing w:after="0" w:line="59" w:lineRule="exact"/>
        <w:rPr>
          <w:sz w:val="20"/>
          <w:szCs w:val="20"/>
          <w:color w:val="auto"/>
        </w:rPr>
      </w:pPr>
    </w:p>
    <w:p>
      <w:pPr>
        <w:ind w:left="920" w:right="160"/>
        <w:spacing w:after="0" w:line="289" w:lineRule="auto"/>
        <w:rPr>
          <w:sz w:val="20"/>
          <w:szCs w:val="20"/>
          <w:color w:val="auto"/>
        </w:rPr>
      </w:pPr>
      <w:r>
        <w:rPr>
          <w:rFonts w:ascii="Arial" w:cs="Arial" w:eastAsia="Arial" w:hAnsi="Arial"/>
          <w:sz w:val="16"/>
          <w:szCs w:val="16"/>
          <w:color w:val="auto"/>
        </w:rPr>
        <w:t>NCM LLC’s total availability under the revolving credit facility is $119.0 million. The unused line fee is 0.50% per annum. Of the total available, $14.0 million outstanding principal of the revolving credit facility formerly held by Lehman Brothers Holdings, Inc. (“Lehman”) will not be repaid in connection with any future prepayments of revolver amounts, but rather Lehman’s share of the revolving credit facility will be paid in full by NCM LLC to the successor lenders, along with any accrued and unpaid fees and interest, on the revolving credit facility termination date of December 31, 2014. On April 27, 2012, the Company entered into an amendment to its senior secured credit facility (the “Amendment”) which resulted in the maturity of the remaining $105.0 million available under the revolver to be extended to April 27, 2017, subject to acceleration if the term loan under the facility is not repaid, refinanced or extended by December 31, 2014. The Amendment became effective upon the completion of the private placement of the Senior Secured Notes (defined and discussed below) on April 27, 2012.</w:t>
      </w:r>
    </w:p>
    <w:p>
      <w:pPr>
        <w:spacing w:after="0" w:line="37"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Borrowings under the revolver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In connection with the Amendment, the applicable margins on the $105.0 million portion of the revolver increased by 75 basis points based upon the then current senior secured leverage ratio to the LIBOR index plus 2.25% or the base rate plus 1.25%. The margin on the $14.0 million portion of the revolver remained unchanged at the LIBOR index plus 1.50% or the base rate plus 0.50%. The weighted-average interest rate on the outstanding balance on the revolver as of June 28, 2012 was 1.74%.</w:t>
      </w:r>
    </w:p>
    <w:p>
      <w:pPr>
        <w:spacing w:after="0" w:line="37"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i w:val="1"/>
          <w:iCs w:val="1"/>
          <w:color w:val="auto"/>
        </w:rPr>
        <w:t>Term Loan</w:t>
      </w:r>
      <w:r>
        <w:rPr>
          <w:rFonts w:ascii="Arial" w:cs="Arial" w:eastAsia="Arial" w:hAnsi="Arial"/>
          <w:sz w:val="16"/>
          <w:szCs w:val="16"/>
          <w:color w:val="auto"/>
        </w:rPr>
        <w:t>— The term loan bears interest at the Company’s option of either the LIBOR index plus 1.50% or the base rate (Prime Rate or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Funds Effective Rate, as defined in the senior secured credit facility) plus 0.50%. The interest rate on the term loan was lowered from the LIBOR index plus 1.75% and the base rate plus 0.75% in the first quarter of 2011 due to an upgrade in the corporate credit rating by the credit agencies specified in the facility. The weighted-average interest rate on the term loan as of June 28, 2012 was 1.97% without giving effect to the interest rate swaps. As of June 28, 2012, interest rate swaps resulted in the entire $225.0 million term loan to have a fixed annual interest rate of 6.484% (both those accounted for as hedges and those that are not). Interest payments are made quarterly. See Note 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jc w:val="both"/>
        <w:ind w:left="920" w:right="220"/>
        <w:spacing w:after="0" w:line="298"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for further discussion of the interest rate swaps. In connection with the Amendment and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$400.0 million of Senior Secured Notes (defined below) on April 27, 2012, the Company paid down its term loan by $325.0 million, reducing the balance from $550.0 million to $225.0 million. During the quarter ended June 28, 2012, the Company recorded a non-cash charge of $2.5 million for the write-off of net deferred issuance costs associated with the payment on the term loan.</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the Company was in compliance at June 28, 2012, including maintaining a consolidated net senior secured leverage ratio of 6.5 on a quarterly basis. In addition, there are no borrower distribution restrictions as long as the Company’s consolidated net senior secured leverage ratio is below 6.5 times and the Company is in compliance with its debt covenants. As of June 28, 2012, the Company’s consolidated net senior secured leverage ratio was 2.9 times (versus the covenant of 6.5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Senior Unsecured Notes due 2021</w:t>
      </w:r>
      <w:r>
        <w:rPr>
          <w:rFonts w:ascii="Arial" w:cs="Arial" w:eastAsia="Arial" w:hAnsi="Arial"/>
          <w:sz w:val="16"/>
          <w:szCs w:val="16"/>
          <w:color w:val="auto"/>
        </w:rPr>
        <w:t>— On July 5, 2011, NCM LLC completed a private placement of $200.0 million in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7.875% Senior Unsecured Notes (“Senior Unsecured Notes”). The Senior Unsecured Notes have a maturity date of July 15, 2021 and pay interest semi-annually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arrears on January 15 and July 15 of each year, commencing January 15, 2012. The notes are subordinated to all existing and future secured debt,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under the Company’s existing senior secured credit facility and the Senior Secured Notes defined below. The Senior Unsecured Notes contain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covenants with which the Company was in compliance as of June 28, 2012.</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Secured Notes due 2022</w:t>
      </w:r>
      <w:r>
        <w:rPr>
          <w:rFonts w:ascii="Arial" w:cs="Arial" w:eastAsia="Arial" w:hAnsi="Arial"/>
          <w:sz w:val="16"/>
          <w:szCs w:val="16"/>
          <w:color w:val="auto"/>
        </w:rPr>
        <w:t>— On April 27, 2012, NCM LLC completed a private placement of $400.0 million in aggregate principal amount of 6.00%</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Secured Notes (the “Senior Secured Notes”). The Senior Secured Notes have a maturity date of April 15, 2022 and pay interest semi-annually in arrears on April 15 and October 15 of each year, commencing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covenants with which the Company was in compliance as of June 28, 2012.</w:t>
      </w:r>
    </w:p>
    <w:p>
      <w:pPr>
        <w:spacing w:after="0" w:line="2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results of operations or cash flows.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Minimum Revenue Guarantees— </w:t>
      </w:r>
      <w:r>
        <w:rPr>
          <w:rFonts w:ascii="Arial" w:cs="Arial" w:eastAsia="Arial" w:hAnsi="Arial"/>
          <w:sz w:val="16"/>
          <w:szCs w:val="16"/>
          <w:color w:val="auto"/>
        </w:rPr>
        <w:t>As part of the network affiliate agreements entered into in the ordinary course of business under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$31.4 million over the remaining terms of the network affiliate agreements. As of June 28, 2012 and December 29, 2011, the Company had no liabilities recorded for these obligations as such guarantees are less than the expected share of revenue paid to the affiliate.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is subject to taxation in the U.S. and various states. NCM LLC’s fiscal year 2007 and 2008 tax returns are currently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examination by the Internal Revenue Service (“IRS”). In September 2011, NCM LLC received a Notice of Proposed Adjustment (“NOPA”) for the calendar year 2007 examination primarily related to characterization of the cash received by the founding members at or around the date of NCM, Inc.’s initial public offering,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has contested, the IRS’ positions. As of June 28, 2012 and December 29, 2011, there were no unrecognized tax benefits.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The Company submitted its written letter of protest to the IRS in July 2012 and believes the IRS’ position lacks merit and intends to dispute the adjustments through the administrative appeals process.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It is reasonably possible that the Company may be required to pay additional amounts to the founding members under the tax sharing agreement, which would be offset by refunds from various state and federal taxing authorities. However, at this time the amount of any such payments to the founding members or refunds from the various taxing authorities cannot be reasonably estimated and as such no amounts are included in the condensed consolidated financial statements herein.</w:t>
      </w:r>
    </w:p>
    <w:p>
      <w:pPr>
        <w:spacing w:after="0" w:line="25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 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jc w:val="both"/>
        <w:ind w:right="140"/>
        <w:spacing w:after="0" w:line="357"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 Observable inputs other than quoted prices in active markets for identical assets and liabilities, quoted prices for identical or similar assets or liabilities</w:t>
      </w:r>
      <w:r>
        <w:rPr>
          <w:rFonts w:ascii="Arial" w:cs="Arial" w:eastAsia="Arial" w:hAnsi="Arial"/>
          <w:sz w:val="15"/>
          <w:szCs w:val="15"/>
          <w:i w:val="1"/>
          <w:iCs w:val="1"/>
          <w:color w:val="auto"/>
        </w:rPr>
        <w:t xml:space="preserve"> </w:t>
      </w:r>
      <w:r>
        <w:rPr>
          <w:rFonts w:ascii="Arial" w:cs="Arial" w:eastAsia="Arial" w:hAnsi="Arial"/>
          <w:sz w:val="15"/>
          <w:szCs w:val="15"/>
          <w:color w:val="auto"/>
        </w:rPr>
        <w:t>in inactive markets, or other inputs that are observable or can be corroborated by observable market data for substantially the full term of the assets or liabilities.</w:t>
      </w:r>
    </w:p>
    <w:p>
      <w:pPr>
        <w:ind w:right="340"/>
        <w:spacing w:after="0" w:line="268" w:lineRule="auto"/>
        <w:rPr>
          <w:sz w:val="20"/>
          <w:szCs w:val="20"/>
          <w:color w:val="auto"/>
        </w:rPr>
      </w:pPr>
      <w:r>
        <w:rPr>
          <w:rFonts w:ascii="Arial" w:cs="Arial" w:eastAsia="Arial" w:hAnsi="Arial"/>
          <w:sz w:val="18"/>
          <w:szCs w:val="18"/>
          <w:color w:val="auto"/>
        </w:rPr>
        <w:t>Level 3 – Inputs that are generally unobservable and typically reflect management’s estimate of assumptions that market participants would use in pricing the asset or liability.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The carrying amount of the revolving credit facility is considered a reasonable estimate of fair value due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floating-rate terms.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the Company’s financial instruments where carrying values do not approximate fair value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6"/>
              </w:rPr>
              <w:t>As of June 28, 2012</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29, 2011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27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2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Value</w:t>
            </w: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560" w:type="dxa"/>
            <w:vAlign w:val="bottom"/>
            <w:gridSpan w:val="3"/>
          </w:tcPr>
          <w:p>
            <w:pPr>
              <w:jc w:val="right"/>
              <w:ind w:right="660"/>
              <w:spacing w:after="0" w:line="148" w:lineRule="exact"/>
              <w:rPr>
                <w:sz w:val="20"/>
                <w:szCs w:val="20"/>
                <w:color w:val="auto"/>
              </w:rPr>
            </w:pPr>
            <w:r>
              <w:rPr>
                <w:rFonts w:ascii="Arial" w:cs="Arial" w:eastAsia="Arial" w:hAnsi="Arial"/>
                <w:sz w:val="14"/>
                <w:szCs w:val="14"/>
                <w:b w:val="1"/>
                <w:bCs w:val="1"/>
                <w:color w:val="auto"/>
                <w:w w:val="89"/>
              </w:rPr>
              <w:t>Carrying Value</w:t>
            </w:r>
          </w:p>
        </w:tc>
        <w:tc>
          <w:tcPr>
            <w:tcW w:w="90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18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$ 225.0</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79"/>
              </w:rPr>
              <w:t>225.0</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550.0</w:t>
            </w:r>
          </w:p>
        </w:tc>
        <w:tc>
          <w:tcPr>
            <w:tcW w:w="6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530.6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212.0</w:t>
            </w:r>
          </w:p>
        </w:tc>
        <w:tc>
          <w:tcPr>
            <w:tcW w:w="2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408.0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80" w:hanging="452"/>
        <w:spacing w:after="0" w:line="332" w:lineRule="auto"/>
        <w:tabs>
          <w:tab w:leader="none" w:pos="460" w:val="left"/>
        </w:tabs>
        <w:numPr>
          <w:ilvl w:val="0"/>
          <w:numId w:val="13"/>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as of June 28, 2012 or December 29, 2011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$0.2 million as of June 28, 2012 and December 29, 2011,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6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78"/>
              </w:rPr>
              <w:t>Assets</w:t>
            </w:r>
          </w:p>
        </w:tc>
        <w:tc>
          <w:tcPr>
            <w:tcW w:w="6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6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w w:val="89"/>
              </w:rPr>
              <w:t>June 28,</w:t>
            </w: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55"/>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65.5</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55"/>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540" w:type="dxa"/>
            <w:vAlign w:val="bottom"/>
            <w:gridSpan w:val="2"/>
          </w:tcPr>
          <w:p>
            <w:pPr>
              <w:jc w:val="right"/>
              <w:ind w:right="3592"/>
              <w:spacing w:after="0"/>
              <w:rPr>
                <w:sz w:val="20"/>
                <w:szCs w:val="20"/>
                <w:color w:val="auto"/>
              </w:rPr>
            </w:pPr>
            <w:r>
              <w:rPr>
                <w:rFonts w:ascii="Arial" w:cs="Arial" w:eastAsia="Arial" w:hAnsi="Arial"/>
                <w:sz w:val="18"/>
                <w:szCs w:val="18"/>
                <w:i w:val="1"/>
                <w:iCs w:val="1"/>
                <w:color w:val="auto"/>
              </w:rPr>
              <w:t>(3)</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95"/>
              <w:spacing w:after="0"/>
              <w:rPr>
                <w:sz w:val="20"/>
                <w:szCs w:val="20"/>
                <w:color w:val="auto"/>
              </w:rPr>
            </w:pPr>
            <w:r>
              <w:rPr>
                <w:rFonts w:ascii="Arial" w:cs="Arial" w:eastAsia="Arial" w:hAnsi="Arial"/>
                <w:sz w:val="18"/>
                <w:szCs w:val="18"/>
                <w:color w:val="auto"/>
                <w:w w:val="91"/>
              </w:rPr>
              <w:t>10.2</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1"/>
              </w:rPr>
              <w:t>16.0</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95"/>
              <w:spacing w:after="0"/>
              <w:rPr>
                <w:sz w:val="20"/>
                <w:szCs w:val="20"/>
                <w:color w:val="auto"/>
              </w:rPr>
            </w:pPr>
            <w:r>
              <w:rPr>
                <w:rFonts w:ascii="Arial" w:cs="Arial" w:eastAsia="Arial" w:hAnsi="Arial"/>
                <w:sz w:val="18"/>
                <w:szCs w:val="18"/>
                <w:color w:val="auto"/>
                <w:w w:val="91"/>
              </w:rPr>
              <w:t>26.2</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6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78"/>
              </w:rPr>
              <w:t>Assets</w:t>
            </w:r>
          </w:p>
        </w:tc>
        <w:tc>
          <w:tcPr>
            <w:tcW w:w="6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6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 2011</w:t>
            </w:r>
          </w:p>
        </w:tc>
        <w:tc>
          <w:tcPr>
            <w:tcW w:w="26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55"/>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jc w:val="right"/>
              <w:ind w:right="3592"/>
              <w:spacing w:after="0"/>
              <w:rPr>
                <w:sz w:val="20"/>
                <w:szCs w:val="20"/>
                <w:color w:val="auto"/>
              </w:rPr>
            </w:pPr>
            <w:r>
              <w:rPr>
                <w:rFonts w:ascii="Arial" w:cs="Arial" w:eastAsia="Arial" w:hAnsi="Arial"/>
                <w:sz w:val="18"/>
                <w:szCs w:val="18"/>
                <w:i w:val="1"/>
                <w:iCs w:val="1"/>
                <w:color w:val="auto"/>
              </w:rPr>
              <w:t>(3)</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1"/>
              </w:rPr>
              <w:t>24.0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w w:val="91"/>
              </w:rPr>
              <w:t>46.8</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1"/>
              </w:rPr>
              <w:t>70.8</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w:t>
      </w:r>
    </w:p>
    <w:p>
      <w:pPr>
        <w:spacing w:after="0" w:line="15" w:lineRule="exact"/>
        <w:rPr>
          <w:rFonts w:ascii="Arial" w:cs="Arial" w:eastAsia="Arial" w:hAnsi="Arial"/>
          <w:sz w:val="18"/>
          <w:szCs w:val="18"/>
          <w:i w:val="1"/>
          <w:iCs w:val="1"/>
          <w:color w:val="auto"/>
        </w:rPr>
      </w:pPr>
    </w:p>
    <w:p>
      <w:pPr>
        <w:ind w:left="460" w:right="100" w:hanging="452"/>
        <w:spacing w:after="0" w:line="250"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and Long-Term Marketable Securities </w:t>
      </w:r>
      <w:r>
        <w:rPr>
          <w:rFonts w:ascii="Arial" w:cs="Arial" w:eastAsia="Arial" w:hAnsi="Arial"/>
          <w:sz w:val="18"/>
          <w:szCs w:val="18"/>
          <w:color w:val="auto"/>
        </w:rPr>
        <w:t>— The carrying amount and fair value of the marketable securities are equivalent since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for these instruments at fair value. For the quarters and six months ended June 28, 2012 and June 30, 2011, there were no net realized gains (losses) recognized in interest income and an inconsequential amount of net unrealized holding gains (losses) included in other comprehensive income. As of June 28, 2012 and December 29, 2011 there were no gross unrealized losses related to individual securities that had been in a continuous loss position for 12 months or longer.</w:t>
      </w:r>
    </w:p>
    <w:p>
      <w:pPr>
        <w:spacing w:after="0" w:line="2" w:lineRule="exact"/>
        <w:rPr>
          <w:rFonts w:ascii="Arial" w:cs="Arial" w:eastAsia="Arial" w:hAnsi="Arial"/>
          <w:sz w:val="18"/>
          <w:szCs w:val="18"/>
          <w:i w:val="1"/>
          <w:iCs w:val="1"/>
          <w:color w:val="auto"/>
        </w:rPr>
      </w:pPr>
    </w:p>
    <w:p>
      <w:pPr>
        <w:ind w:left="460" w:right="180" w:hanging="452"/>
        <w:spacing w:after="0" w:line="261"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 The carrying amount and fair value of the interest rate swap agreements are equivalent since the Company accounts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at fair value. Refer to Note 8-</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June 28, 2012 and December 29, 2011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As of June 28, 2012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78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Fair</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Maturities</w:t>
            </w: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Basis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Value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(1)</w:t>
            </w: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8"/>
              <w:spacing w:after="0"/>
              <w:rPr>
                <w:sz w:val="20"/>
                <w:szCs w:val="20"/>
                <w:color w:val="auto"/>
              </w:rPr>
            </w:pPr>
            <w:r>
              <w:rPr>
                <w:rFonts w:ascii="Arial" w:cs="Arial" w:eastAsia="Arial" w:hAnsi="Arial"/>
                <w:sz w:val="14"/>
                <w:szCs w:val="14"/>
                <w:b w:val="1"/>
                <w:bCs w:val="1"/>
                <w:color w:val="auto"/>
                <w:w w:val="89"/>
              </w:rPr>
              <w:t>(in 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(in millions)</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(in years)</w:t>
            </w:r>
          </w:p>
        </w:tc>
      </w:tr>
      <w:tr>
        <w:trPr>
          <w:trHeight w:val="196"/>
        </w:trPr>
        <w:tc>
          <w:tcPr>
            <w:tcW w:w="46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tcPr>
          <w:p>
            <w:pPr>
              <w:ind w:left="440"/>
              <w:spacing w:after="0"/>
              <w:rPr>
                <w:sz w:val="20"/>
                <w:szCs w:val="20"/>
                <w:color w:val="auto"/>
              </w:rPr>
            </w:pPr>
            <w:r>
              <w:rPr>
                <w:rFonts w:ascii="Arial" w:cs="Arial" w:eastAsia="Arial" w:hAnsi="Arial"/>
                <w:sz w:val="18"/>
                <w:szCs w:val="18"/>
                <w:color w:val="auto"/>
              </w:rPr>
              <w:t>Short-term U.S. government agency bonds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11.0</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Municipal</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marketable securities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306" w:lineRule="auto"/>
        <w:tabs>
          <w:tab w:leader="none" w:pos="4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Securities available for sale include obligations with various contractual maturity dates some of which are greater than one year. The Company considers the securities to be liquid and convertible to cash within 30 days. The Company has the ability and intent to liquidate any security that the Company holds to fund operations over the next twelve months if necessary and as such has classified these securities as short-term.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 December 29, 2011</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7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Fair</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Basis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(in millions)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2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Short-term U.S. government agency bonds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880"/>
              <w:spacing w:after="0"/>
              <w:rPr>
                <w:sz w:val="20"/>
                <w:szCs w:val="20"/>
                <w:color w:val="auto"/>
              </w:rPr>
            </w:pPr>
            <w:r>
              <w:rPr>
                <w:rFonts w:ascii="Arial" w:cs="Arial" w:eastAsia="Arial" w:hAnsi="Arial"/>
                <w:sz w:val="18"/>
                <w:szCs w:val="18"/>
                <w:color w:val="auto"/>
              </w:rPr>
              <w:t>Financial</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short-term marketable securities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40"/>
              <w:spacing w:after="0"/>
              <w:rPr>
                <w:sz w:val="20"/>
                <w:szCs w:val="20"/>
                <w:color w:val="auto"/>
              </w:rPr>
            </w:pPr>
            <w:r>
              <w:rPr>
                <w:rFonts w:ascii="Arial" w:cs="Arial" w:eastAsia="Arial" w:hAnsi="Arial"/>
                <w:sz w:val="18"/>
                <w:szCs w:val="18"/>
                <w:color w:val="auto"/>
              </w:rPr>
              <w:t>Long-term U.S. government agency bonds</w:t>
            </w:r>
          </w:p>
        </w:tc>
        <w:tc>
          <w:tcPr>
            <w:tcW w:w="2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7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long-term marketable securities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1740"/>
              <w:spacing w:after="0"/>
              <w:rPr>
                <w:sz w:val="20"/>
                <w:szCs w:val="20"/>
                <w:color w:val="auto"/>
              </w:rPr>
            </w:pPr>
            <w:r>
              <w:rPr>
                <w:rFonts w:ascii="Arial" w:cs="Arial" w:eastAsia="Arial" w:hAnsi="Arial"/>
                <w:sz w:val="18"/>
                <w:szCs w:val="18"/>
                <w:color w:val="auto"/>
              </w:rPr>
              <w:t>Total marketable securities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740" w:type="dxa"/>
            <w:vAlign w:val="bottom"/>
            <w:vMerge w:val="restart"/>
          </w:tcPr>
          <w:p>
            <w:pPr>
              <w:jc w:val="right"/>
              <w:ind w:right="165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June 28, 2012 and December 29, 2011, the estimated fair value and line item caption of derivative instruments recorded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80" w:type="dxa"/>
            <w:vAlign w:val="bottom"/>
            <w:gridSpan w:val="3"/>
            <w:vMerge w:val="restart"/>
          </w:tcPr>
          <w:p>
            <w:pPr>
              <w:jc w:val="center"/>
              <w:ind w:left="132"/>
              <w:spacing w:after="0"/>
              <w:rPr>
                <w:sz w:val="20"/>
                <w:szCs w:val="20"/>
                <w:color w:val="auto"/>
              </w:rPr>
            </w:pPr>
            <w:r>
              <w:rPr>
                <w:rFonts w:ascii="Arial" w:cs="Arial" w:eastAsia="Arial" w:hAnsi="Arial"/>
                <w:sz w:val="14"/>
                <w:szCs w:val="14"/>
                <w:b w:val="1"/>
                <w:bCs w:val="1"/>
                <w:color w:val="auto"/>
                <w:w w:val="86"/>
              </w:rPr>
              <w:t>Balance Sheet Location</w:t>
            </w:r>
          </w:p>
        </w:tc>
        <w:tc>
          <w:tcPr>
            <w:tcW w:w="180" w:type="dxa"/>
            <w:vAlign w:val="bottom"/>
          </w:tcPr>
          <w:p>
            <w:pPr>
              <w:spacing w:after="0"/>
              <w:rPr>
                <w:sz w:val="14"/>
                <w:szCs w:val="14"/>
                <w:color w:val="auto"/>
              </w:rPr>
            </w:pPr>
          </w:p>
        </w:tc>
        <w:tc>
          <w:tcPr>
            <w:tcW w:w="2720" w:type="dxa"/>
            <w:vAlign w:val="bottom"/>
            <w:gridSpan w:val="6"/>
          </w:tcPr>
          <w:p>
            <w:pPr>
              <w:ind w:left="120"/>
              <w:spacing w:after="0"/>
              <w:rPr>
                <w:sz w:val="20"/>
                <w:szCs w:val="20"/>
                <w:color w:val="auto"/>
              </w:rPr>
            </w:pPr>
            <w:r>
              <w:rPr>
                <w:rFonts w:ascii="Arial" w:cs="Arial" w:eastAsia="Arial" w:hAnsi="Arial"/>
                <w:sz w:val="14"/>
                <w:szCs w:val="14"/>
                <w:b w:val="1"/>
                <w:bCs w:val="1"/>
                <w:color w:val="auto"/>
              </w:rPr>
              <w:t>Fair Value of Derivative Liability as of</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2880" w:type="dxa"/>
            <w:vAlign w:val="bottom"/>
            <w:gridSpan w:val="3"/>
            <w:vMerge w:val="continue"/>
          </w:tcPr>
          <w:p>
            <w:pPr>
              <w:spacing w:after="0"/>
              <w:rPr>
                <w:sz w:val="12"/>
                <w:szCs w:val="12"/>
                <w:color w:val="auto"/>
              </w:rPr>
            </w:pPr>
          </w:p>
        </w:tc>
        <w:tc>
          <w:tcPr>
            <w:tcW w:w="122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June 28, 2012</w:t>
            </w: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December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 in cash flow hedges:</w:t>
            </w:r>
          </w:p>
        </w:tc>
        <w:tc>
          <w:tcPr>
            <w:tcW w:w="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860" w:type="dxa"/>
            <w:vAlign w:val="bottom"/>
          </w:tcPr>
          <w:p>
            <w:pPr>
              <w:spacing w:after="0"/>
              <w:rPr>
                <w:sz w:val="18"/>
                <w:szCs w:val="18"/>
                <w:color w:val="auto"/>
              </w:rPr>
            </w:pPr>
          </w:p>
        </w:tc>
        <w:tc>
          <w:tcPr>
            <w:tcW w:w="20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Current Liabilities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8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3"/>
              </w:rPr>
              <w:t>Other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8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2"/>
              </w:rPr>
              <w:t>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860" w:type="dxa"/>
            <w:vAlign w:val="bottom"/>
          </w:tcPr>
          <w:p>
            <w:pPr>
              <w:spacing w:after="0"/>
              <w:rPr>
                <w:sz w:val="18"/>
                <w:szCs w:val="18"/>
                <w:color w:val="auto"/>
              </w:rPr>
            </w:pPr>
          </w:p>
        </w:tc>
        <w:tc>
          <w:tcPr>
            <w:tcW w:w="202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Other Liabilities</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derivatives</w:t>
            </w: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the $225.0 million of currently outstanding debt obligations under the senior secured credit facility. The interest rate swap agreements have the effect of converting the Company’s variable rate term loan to a fixed rate of 6.484% and the term of the swaps coincides with the term loan maturity date of February 13, 2015.</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April 27, 2012, the Company amended its existing interest rate swap agreements terminating a notional amount of $325.0 million (the aggregate amount of the term loan prepayment) such that 100% of the Company’s interest rate exposure relating to the remaining $225.0 million term loan debt balance remains hedged at 6.484%. Since the forecasted transactions, or quarterly interest payments, on the $325.0 million term loan prepayment are no longer probable of occurring, the Company discontinued cash flow hedge accounting on those swaps and reclassified the corresponding outstanding balance in Accumulated Other Comprehensive Income (“AOCI”) related to those interest rate swaps into earnings. For the quarter and six months ended June 28, 2012, the Company recorded a loss in its Condensed Consolidated Statements of Income of approximately $26.7 million related to the partial swap terminations.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swaps were terminated ratably among the four counterparties, however, the Company’s cash flow hedge accounting designation for each swap was pegged to varying balances of the underlying term loan. If after the partial swap terminations, an interest rate swap remained outstanding and the underlying term loan designated for cash flow hedge accounting was paid down, cash flow hedge accounting was discontinued because the underlying debt instrument is no longer outstanding and the interest payments are no longer probable of occurring. Any future changes to the fair value of these interest rate swaps will be recorded as a change in derivative fair value in the Condensed Consolidated Statements of Income.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Company also discontinued cash flow hedge accounting for swaps in which the Company partially terminated its swap with the counterparty, however, the corresponding term loan associated with those swaps remained outstanding. In accordance with ASC </w:t>
      </w:r>
      <w:r>
        <w:rPr>
          <w:rFonts w:ascii="Arial" w:cs="Arial" w:eastAsia="Arial" w:hAnsi="Arial"/>
          <w:sz w:val="16"/>
          <w:szCs w:val="16"/>
          <w:i w:val="1"/>
          <w:iCs w:val="1"/>
          <w:color w:val="auto"/>
        </w:rPr>
        <w:t>815 Derivatives and Hedging</w:t>
      </w:r>
      <w:r>
        <w:rPr>
          <w:rFonts w:ascii="Arial" w:cs="Arial" w:eastAsia="Arial" w:hAnsi="Arial"/>
          <w:sz w:val="16"/>
          <w:szCs w:val="16"/>
          <w:color w:val="auto"/>
        </w:rPr>
        <w:t>, the net derivative loss related to the discontinued cash flow hedges shall continue to be reported in AOCI unless it is not probable that the forecasted transaction will occur by the end of the originally specified time period. As of April 27, 2012, there was approximately $13.9 million outstanding related to these discontinued cash flow hedges which continues to be reported in AOCI, as the underlying debt transactions remain probable of occurring, and will be amortized in the Condensed Consolidated Statements of Income over the remaining term or February 13, 2015. The Company estimates approximately $5.1 million will be amortized to change in derivative fair value in the Condensed Consolidated Statements of Income in the next 12 months.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periods presented, the Company also recorded changes in the fair value and amortization of AOCI related to an interest rate swap in which the Company discontinued cash flow hedge accounting in 2008 due to the bankruptcy of its counterparty. In connection with the swap terminations in April 2012, the entire balance of this swap was terminated and the remaining balance in AOCI was reclassified into earnings during the second quarter of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interest rate swaps that were partially terminated and still have remaining amounts outstanding under the interest rate swap agreements and the underlying term loan remains outstanding, the Company has continued to elect cash flow hedge accounting. Since the instruments were determined to be effective at June 28, 2012 and December 29, 2011, changes to the fair value of the interest rate swaps were recorded within Other Comprehensive Income. There were no amounts reclassified into current earnings due to ineffectiveness during the periods presented other than as described herein.</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effect of derivative instruments with cash flow hedge accounting on the condensed consolidated financial statements for the quarters ended June 28, 2012 and June 30, 2011 and six months ended June 28, 2012 and June 30, 2011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5"/>
              </w:rPr>
              <w:t>Realized Loss Recognized in Interest on</w:t>
            </w:r>
          </w:p>
        </w:tc>
      </w:tr>
      <w:tr>
        <w:trPr>
          <w:trHeight w:val="149"/>
        </w:trPr>
        <w:tc>
          <w:tcPr>
            <w:tcW w:w="5000" w:type="dxa"/>
            <w:vAlign w:val="bottom"/>
          </w:tcPr>
          <w:p>
            <w:pPr>
              <w:spacing w:after="0"/>
              <w:rPr>
                <w:sz w:val="12"/>
                <w:szCs w:val="12"/>
                <w:color w:val="auto"/>
              </w:rPr>
            </w:pPr>
          </w:p>
        </w:tc>
        <w:tc>
          <w:tcPr>
            <w:tcW w:w="3340" w:type="dxa"/>
            <w:vAlign w:val="bottom"/>
            <w:tcBorders>
              <w:right w:val="single" w:sz="8" w:color="auto"/>
            </w:tcBorders>
            <w:gridSpan w:val="9"/>
          </w:tcPr>
          <w:p>
            <w:pPr>
              <w:ind w:left="200"/>
              <w:spacing w:after="0" w:line="149" w:lineRule="exact"/>
              <w:rPr>
                <w:sz w:val="20"/>
                <w:szCs w:val="20"/>
                <w:color w:val="auto"/>
              </w:rPr>
            </w:pPr>
            <w:r>
              <w:rPr>
                <w:rFonts w:ascii="Arial" w:cs="Arial" w:eastAsia="Arial" w:hAnsi="Arial"/>
                <w:sz w:val="14"/>
                <w:szCs w:val="14"/>
                <w:b w:val="1"/>
                <w:bCs w:val="1"/>
                <w:color w:val="auto"/>
              </w:rPr>
              <w:t>Unrealized Gain (Loss) Recognized in NCM,</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Borrowings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000" w:type="dxa"/>
            <w:vAlign w:val="bottom"/>
          </w:tcPr>
          <w:p>
            <w:pPr>
              <w:spacing w:after="0"/>
              <w:rPr>
                <w:sz w:val="14"/>
                <w:szCs w:val="14"/>
                <w:color w:val="auto"/>
              </w:rPr>
            </w:pPr>
          </w:p>
        </w:tc>
        <w:tc>
          <w:tcPr>
            <w:tcW w:w="294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2"/>
              </w:rPr>
              <w:t>Inc.’s Other Comprehensive Income (Pre-tax)</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(Pre-tax)</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000" w:type="dxa"/>
            <w:vAlign w:val="bottom"/>
          </w:tcPr>
          <w:p>
            <w:pPr>
              <w:spacing w:after="0"/>
              <w:rPr>
                <w:sz w:val="19"/>
                <w:szCs w:val="19"/>
                <w:color w:val="auto"/>
              </w:rPr>
            </w:pPr>
          </w:p>
        </w:tc>
        <w:tc>
          <w:tcPr>
            <w:tcW w:w="148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Pr>
          <w:p>
            <w:pPr>
              <w:spacing w:after="0"/>
              <w:rPr>
                <w:sz w:val="19"/>
                <w:szCs w:val="19"/>
                <w:color w:val="auto"/>
              </w:rPr>
            </w:pPr>
          </w:p>
        </w:tc>
        <w:tc>
          <w:tcPr>
            <w:tcW w:w="1760" w:type="dxa"/>
            <w:vAlign w:val="bottom"/>
            <w:tcBorders>
              <w:right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9"/>
                <w:szCs w:val="19"/>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Quarters Ended</w:t>
            </w:r>
          </w:p>
        </w:tc>
        <w:tc>
          <w:tcPr>
            <w:tcW w:w="136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5000" w:type="dxa"/>
            <w:vAlign w:val="bottom"/>
          </w:tcPr>
          <w:p>
            <w:pPr>
              <w:spacing w:after="0"/>
              <w:rPr>
                <w:sz w:val="11"/>
                <w:szCs w:val="11"/>
                <w:color w:val="auto"/>
              </w:rPr>
            </w:pPr>
          </w:p>
        </w:tc>
        <w:tc>
          <w:tcPr>
            <w:tcW w:w="5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2"/>
              </w:rPr>
              <w:t>June 28,</w:t>
            </w: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June 28,</w:t>
            </w: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28,</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28,</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62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2012</w:t>
            </w:r>
          </w:p>
        </w:tc>
        <w:tc>
          <w:tcPr>
            <w:tcW w:w="8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4"/>
                <w:szCs w:val="14"/>
                <w:color w:val="auto"/>
              </w:rPr>
            </w:pPr>
          </w:p>
        </w:tc>
        <w:tc>
          <w:tcPr>
            <w:tcW w:w="480" w:type="dxa"/>
            <w:vAlign w:val="bottom"/>
          </w:tcPr>
          <w:p>
            <w:pPr>
              <w:jc w:val="right"/>
              <w:ind w:right="2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$ 26.0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23.8</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(9.6)</w:t>
            </w:r>
          </w:p>
        </w:tc>
        <w:tc>
          <w:tcPr>
            <w:tcW w:w="4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(2.4)</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(4.9)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(7.0)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consolidated financial statements for the quarters ended June 28, 2012 and June 30, 2011 and six months ended June 28, 2012 and June 30, 2011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85"/>
              </w:rPr>
              <w:t>Gain (Loss) Recognized in Non-Operating Expenses</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(Pre-tax)</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 not</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Quarters Ended</w:t>
            </w:r>
          </w:p>
        </w:tc>
        <w:tc>
          <w:tcPr>
            <w:tcW w:w="4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200" w:type="dxa"/>
            <w:vAlign w:val="bottom"/>
            <w:gridSpan w:val="2"/>
            <w:vMerge w:val="continue"/>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June 28,</w:t>
            </w:r>
          </w:p>
        </w:tc>
        <w:tc>
          <w:tcPr>
            <w:tcW w:w="90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June 28,</w:t>
            </w: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Designated as Hedging Instruments</w:t>
            </w:r>
          </w:p>
        </w:tc>
        <w:tc>
          <w:tcPr>
            <w:tcW w:w="3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Income Statement Location</w:t>
            </w:r>
          </w:p>
        </w:tc>
        <w:tc>
          <w:tcPr>
            <w:tcW w:w="80" w:type="dxa"/>
            <w:vAlign w:val="bottom"/>
          </w:tcPr>
          <w:p>
            <w:pPr>
              <w:spacing w:after="0"/>
              <w:rPr>
                <w:sz w:val="12"/>
                <w:szCs w:val="12"/>
                <w:color w:val="auto"/>
              </w:rPr>
            </w:pPr>
          </w:p>
        </w:tc>
        <w:tc>
          <w:tcPr>
            <w:tcW w:w="40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Realized loss on derivative instruments</w:t>
            </w:r>
          </w:p>
        </w:tc>
        <w:tc>
          <w:tcPr>
            <w:tcW w:w="3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Interest on borrowings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w w:val="70"/>
              </w:rPr>
              <w:t>(1.6)</w:t>
            </w:r>
          </w:p>
        </w:tc>
        <w:tc>
          <w:tcPr>
            <w:tcW w:w="4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0"/>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on cash flow</w:t>
            </w:r>
          </w:p>
        </w:tc>
        <w:tc>
          <w:tcPr>
            <w:tcW w:w="3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Change in derivative fair</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hedges</w:t>
            </w:r>
          </w:p>
        </w:tc>
        <w:tc>
          <w:tcPr>
            <w:tcW w:w="39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value</w:t>
            </w:r>
          </w:p>
        </w:tc>
        <w:tc>
          <w:tcPr>
            <w:tcW w:w="80" w:type="dxa"/>
            <w:vAlign w:val="bottom"/>
          </w:tcPr>
          <w:p>
            <w:pPr>
              <w:spacing w:after="0"/>
              <w:rPr>
                <w:sz w:val="20"/>
                <w:szCs w:val="20"/>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w:t>
            </w:r>
          </w:p>
        </w:tc>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Change in derivative fair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value</w:t>
            </w: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Advertising revenue accounted for 92.0%, 86.5%, 88.6% and 85.3% of consolidated revenue for the quarters ended June 28, 2012 and June 30, 2011, and the six months ended June 28, 2012 and June 30, 2011, respectively. The following table presents revenue less directly identifiable expenses to arrive at operating income net of direct expenses for the advertising reportable segment, the combined Fathom Events operating segments, and network, administrative and unallocated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00" w:right="23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Quarter Ended June 28, 2012 (in millions)</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4"/>
              </w:rPr>
              <w:t>Fathom Events</w:t>
            </w:r>
          </w:p>
        </w:tc>
        <w:tc>
          <w:tcPr>
            <w:tcW w:w="64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9"/>
              </w:rPr>
              <w:t>Advertising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line="159" w:lineRule="exact"/>
              <w:rPr>
                <w:sz w:val="20"/>
                <w:szCs w:val="20"/>
                <w:color w:val="auto"/>
              </w:rPr>
            </w:pPr>
            <w:r>
              <w:rPr>
                <w:rFonts w:ascii="Arial" w:cs="Arial" w:eastAsia="Arial" w:hAnsi="Arial"/>
                <w:sz w:val="14"/>
                <w:szCs w:val="14"/>
                <w:color w:val="auto"/>
                <w:w w:val="93"/>
              </w:rPr>
              <w:t>and Other</w:t>
            </w:r>
          </w:p>
        </w:tc>
        <w:tc>
          <w:tcPr>
            <w:tcW w:w="640" w:type="dxa"/>
            <w:vAlign w:val="bottom"/>
          </w:tcPr>
          <w:p>
            <w:pPr>
              <w:spacing w:after="0"/>
              <w:rPr>
                <w:sz w:val="13"/>
                <w:szCs w:val="13"/>
                <w:color w:val="auto"/>
              </w:rPr>
            </w:pPr>
          </w:p>
        </w:tc>
        <w:tc>
          <w:tcPr>
            <w:tcW w:w="172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6"/>
              </w:rPr>
              <w:t>Unallocated 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101.3</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62.1</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Quarter Ended June 30, 2011 (in millions)</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4"/>
              </w:rPr>
              <w:t>Fathom Events</w:t>
            </w:r>
          </w:p>
        </w:tc>
        <w:tc>
          <w:tcPr>
            <w:tcW w:w="64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9"/>
              </w:rPr>
              <w:t>Advertising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line="159" w:lineRule="exact"/>
              <w:rPr>
                <w:sz w:val="20"/>
                <w:szCs w:val="20"/>
                <w:color w:val="auto"/>
              </w:rPr>
            </w:pPr>
            <w:r>
              <w:rPr>
                <w:rFonts w:ascii="Arial" w:cs="Arial" w:eastAsia="Arial" w:hAnsi="Arial"/>
                <w:sz w:val="14"/>
                <w:szCs w:val="14"/>
                <w:color w:val="auto"/>
                <w:w w:val="93"/>
              </w:rPr>
              <w:t>and Other</w:t>
            </w:r>
          </w:p>
        </w:tc>
        <w:tc>
          <w:tcPr>
            <w:tcW w:w="640" w:type="dxa"/>
            <w:vAlign w:val="bottom"/>
          </w:tcPr>
          <w:p>
            <w:pPr>
              <w:spacing w:after="0"/>
              <w:rPr>
                <w:sz w:val="13"/>
                <w:szCs w:val="13"/>
                <w:color w:val="auto"/>
              </w:rPr>
            </w:pPr>
          </w:p>
        </w:tc>
        <w:tc>
          <w:tcPr>
            <w:tcW w:w="172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6"/>
              </w:rPr>
              <w:t>Unallocated 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Six Months Ended June 28, 2012 (in millions)</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4"/>
              </w:rPr>
              <w:t>Fathom Events</w:t>
            </w:r>
          </w:p>
        </w:tc>
        <w:tc>
          <w:tcPr>
            <w:tcW w:w="64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9"/>
              </w:rPr>
              <w:t>Advertising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line="159" w:lineRule="exact"/>
              <w:rPr>
                <w:sz w:val="20"/>
                <w:szCs w:val="20"/>
                <w:color w:val="auto"/>
              </w:rPr>
            </w:pPr>
            <w:r>
              <w:rPr>
                <w:rFonts w:ascii="Arial" w:cs="Arial" w:eastAsia="Arial" w:hAnsi="Arial"/>
                <w:sz w:val="14"/>
                <w:szCs w:val="14"/>
                <w:color w:val="auto"/>
                <w:w w:val="93"/>
              </w:rPr>
              <w:t>and Other</w:t>
            </w:r>
          </w:p>
        </w:tc>
        <w:tc>
          <w:tcPr>
            <w:tcW w:w="640" w:type="dxa"/>
            <w:vAlign w:val="bottom"/>
          </w:tcPr>
          <w:p>
            <w:pPr>
              <w:spacing w:after="0"/>
              <w:rPr>
                <w:sz w:val="13"/>
                <w:szCs w:val="13"/>
                <w:color w:val="auto"/>
              </w:rPr>
            </w:pPr>
          </w:p>
        </w:tc>
        <w:tc>
          <w:tcPr>
            <w:tcW w:w="172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6"/>
              </w:rPr>
              <w:t>Unallocated 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167.6</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Six Months Ended June 30, 2011 (in millions)</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90"/>
              </w:rPr>
              <w:t>Network,</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4"/>
              </w:rPr>
              <w:t>Fathom Events</w:t>
            </w:r>
          </w:p>
        </w:tc>
        <w:tc>
          <w:tcPr>
            <w:tcW w:w="64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9"/>
              </w:rPr>
              <w:t>Advertising</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line="159" w:lineRule="exact"/>
              <w:rPr>
                <w:sz w:val="20"/>
                <w:szCs w:val="20"/>
                <w:color w:val="auto"/>
              </w:rPr>
            </w:pPr>
            <w:r>
              <w:rPr>
                <w:rFonts w:ascii="Arial" w:cs="Arial" w:eastAsia="Arial" w:hAnsi="Arial"/>
                <w:sz w:val="14"/>
                <w:szCs w:val="14"/>
                <w:color w:val="auto"/>
                <w:w w:val="93"/>
              </w:rPr>
              <w:t>and Other</w:t>
            </w:r>
          </w:p>
        </w:tc>
        <w:tc>
          <w:tcPr>
            <w:tcW w:w="640" w:type="dxa"/>
            <w:vAlign w:val="bottom"/>
          </w:tcPr>
          <w:p>
            <w:pPr>
              <w:spacing w:after="0"/>
              <w:rPr>
                <w:sz w:val="13"/>
                <w:szCs w:val="13"/>
                <w:color w:val="auto"/>
              </w:rPr>
            </w:pPr>
          </w:p>
        </w:tc>
        <w:tc>
          <w:tcPr>
            <w:tcW w:w="172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6"/>
              </w:rPr>
              <w:t>Unallocated Costs</w:t>
            </w: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157.7</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1780" w:type="dxa"/>
            <w:vAlign w:val="bottom"/>
            <w:gridSpan w:val="2"/>
          </w:tcPr>
          <w:p>
            <w:pPr>
              <w:jc w:val="right"/>
              <w:ind w:right="26"/>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revenues by category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Quarter</w:t>
            </w:r>
          </w:p>
        </w:tc>
        <w:tc>
          <w:tcPr>
            <w:tcW w:w="560" w:type="dxa"/>
            <w:vAlign w:val="bottom"/>
          </w:tcPr>
          <w:p>
            <w:pPr>
              <w:spacing w:after="0"/>
              <w:rPr>
                <w:sz w:val="14"/>
                <w:szCs w:val="14"/>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Six Months</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6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Ended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46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June 28, 2012</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June 30, 2011</w:t>
            </w:r>
          </w:p>
        </w:tc>
        <w:tc>
          <w:tcPr>
            <w:tcW w:w="5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June 28, 2012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2011</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8"/>
              </w:rPr>
              <w:t>Founding member advertising revenue from beverage concessionaire agreements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22"/>
        </w:trPr>
        <w:tc>
          <w:tcPr>
            <w:tcW w:w="64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u w:val="single" w:color="auto"/>
                <w:color w:val="auto"/>
              </w:rPr>
              <w:t>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189.2</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r>
              <w:rPr>
                <w:rFonts w:ascii="Arial" w:cs="Arial" w:eastAsia="Arial" w:hAnsi="Arial"/>
                <w:sz w:val="18"/>
                <w:szCs w:val="18"/>
                <w:u w:val="single" w:color="auto"/>
                <w:color w:val="auto"/>
              </w:rPr>
              <w:t>8</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August 2, 2012, the Company declared a cash dividend of $0.22 per share (approximately $12 million) on each share of the Company’s common stock (including outstanding restricted stock) to stockholders of record on August 16, 2012 to be paid on August 30,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29, 2011.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29, 2011.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NCM LLC operates the largest digital in-theatre network in North America, for the distribution of advertising and Fathom Events. Our revenue is principally derived from the sale of advertising and, to a lesser extent, from our Fathom Events business. We have long-term ESAs with NCM LLC’s founding members and multi-year agreements with network affiliates. The ESAs with the founding members and network affiliate agreements grant us exclusive rights, subject to limited exceptions, to sell advertising and Fathom Event services in those theatres.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lobby entertainment network (“LEN”) programming and Fathom Event programming are distributed across our proprietary digital content network (“DCN”) and live digital broadcast network (“DBN”). Approximately 96% of the aggregate founding member and network affiliate theatre attendance is generated by theatres connected to our DCN.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monthly meetings with officers, managers and staff to discuss and analyze operating results and address significant variances to budget in an effort to identify trends and changes in our business.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and location, as well as, our operating cash flow and related financial leverage and revolving credit facility to ensure that there is adequate cash availability to fund our debt obligations and current and future dividends declared by our Board of Directors.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February 24, 2012 for the Company’s fiscal year ended December 29,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r>
      <w:tr>
        <w:trPr>
          <w:trHeight w:val="149"/>
        </w:trPr>
        <w:tc>
          <w:tcPr>
            <w:tcW w:w="5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2"/>
                <w:szCs w:val="12"/>
                <w:color w:val="auto"/>
              </w:rPr>
            </w:pPr>
          </w:p>
        </w:tc>
        <w:tc>
          <w:tcPr>
            <w:tcW w:w="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5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Ended</w:t>
            </w: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28,</w:t>
            </w:r>
          </w:p>
        </w:tc>
        <w:tc>
          <w:tcPr>
            <w:tcW w:w="1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r>
      <w:tr>
        <w:trPr>
          <w:trHeight w:val="161"/>
        </w:trPr>
        <w:tc>
          <w:tcPr>
            <w:tcW w:w="55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184.8</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2340" w:type="dxa"/>
            <w:vAlign w:val="bottom"/>
            <w:gridSpan w:val="2"/>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Adjusted OIBDA margin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NCM, Inc.</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(loss) income per NCM, Inc. basic share</w:t>
            </w:r>
          </w:p>
        </w:tc>
        <w:tc>
          <w:tcPr>
            <w:tcW w:w="2340" w:type="dxa"/>
            <w:vAlign w:val="bottom"/>
            <w:gridSpan w:val="2"/>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(0.05)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NCM, Inc. diluted share</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2340" w:type="dxa"/>
            <w:vAlign w:val="bottom"/>
            <w:gridSpan w:val="2"/>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167.6</w:t>
            </w:r>
          </w:p>
        </w:tc>
        <w:tc>
          <w:tcPr>
            <w:tcW w:w="3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157.7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175.0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308.8</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340" w:type="dxa"/>
            <w:vAlign w:val="bottom"/>
            <w:gridSpan w:val="2"/>
          </w:tcPr>
          <w:p>
            <w:pPr>
              <w:ind w:left="2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0.579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0.562</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0.487</w:t>
            </w:r>
          </w:p>
        </w:tc>
        <w:tc>
          <w:tcPr>
            <w:tcW w:w="30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0.511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operating income (loss) before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OIBDA and Adjusted OIBDA do not reflect the Regal Consolidated Theatres integration payments. The integration payments received are added to Adjusted OIBDA to determine our compliance with financial covenants under our senior secured credit facility. Regal made Consolidated Theatres payments to NCM LLC through June 2011 pursuant to the ESAs, which were $0.5 million and $0.7 million for the quarter ended June 30, 2011 and the six months ended June 30, 2011,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June 28, 2012</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June 28, 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June 30, 2011</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110.1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4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189.2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0" w:hanging="452"/>
        <w:spacing w:after="0" w:line="268" w:lineRule="auto"/>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The results of operations data for the quarters and six months ended June 28, 2012 and June 30, 2011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Quarters Ended June 28, 2012 and June 30, 2011</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June 28, 2012 was $110.1 million compared to $114.0 million for the quarter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a decrease of $3.9 million, or 3.4%. The decrease in total revenue was primarily the result of a decrease in Fathom Events revenue of $6.6 million, or</w:t>
      </w:r>
    </w:p>
    <w:p>
      <w:pPr>
        <w:ind w:right="180"/>
        <w:spacing w:after="0" w:line="261" w:lineRule="auto"/>
        <w:rPr>
          <w:sz w:val="20"/>
          <w:szCs w:val="20"/>
          <w:color w:val="auto"/>
        </w:rPr>
      </w:pPr>
      <w:r>
        <w:rPr>
          <w:rFonts w:ascii="Arial" w:cs="Arial" w:eastAsia="Arial" w:hAnsi="Arial"/>
          <w:sz w:val="18"/>
          <w:szCs w:val="18"/>
          <w:color w:val="auto"/>
        </w:rPr>
        <w:t>42.9%, partially offset by a $2.7 million, or 2.7%, increase in total advertising revenue from $98.6 million for the quarter ended June 30, 2011 to $101.3 million for the quarter ended June 28, 2012.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National advertising revenues of $82.0 million (including $10.1 million of beverage revenue) for the quarter ended June 28, 2012 increased 4.6%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$78.4 million (including $10.7 million of beverage revenue) for the quarter ended June 30, 2011. National advertising revenue (excluding beverage revenue)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quarter ended June 28, 2012 increased $4.2 million or 6.2% to $71.9 million from $67.7 million for the quarter ended June 30, 2011. The $4.2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 2.5% increase in national advertising CPM’s (excluding beverage revenue), as well as increases in lobby based revenue,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$0.7 million decrease in content partner spending in the quarter ended June 28, 2012. Additionally, there was a slight decrease in inventory utilization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beverage revenue) to 90.3% for the quarter ended June 28, 2012 from 91.5% for the quarter ended June 30, 2011. Inventory utilization is calculated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eleven 30-second salable national advertising units in our pre-show, which can be expanded, should market demand dictate. The 5.6%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beverage revenue was due primarily to the impact of a decrease in founding member attendance for the second quarter of 2012 as compared to the second quarter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2011, partially offset by a slight contractual increase in the beverage revenue CPM. The decrease in founding member attendance was due primarily to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weaker film slate in June of 2012 compared to June of 2011.</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Local advertising revenue decreased $0.9 million or 4.5% to $19.3 million for the current quarter compared to $20.2 million for the quarter ended June 30, 2011. The Company’s number of local advertising contracts increased 3.7%, while the average contract value decreased 8.1% due to a decrease in the number of larger regional clients and nationally recognized clients (which generally have higher average contract values) placing ads locally. Local revenue per theatre attendee decreased 4.3% to $0.110 per attendee for the second quarter of 2012 compared to $0.115 for the second quarter of 2011 as a result of the decrease in local advertising revenue and the impact of a 0.3% decrease in network theatre attendance.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advertising revenue (including beverage revenue) per attendee for the quarter ended June 28, 2012 increased 3.0%. Total advertising revenue per attendee (excluding beverage revenue) for the quarter ended June 28, 2012 increased 4.0% to $0.521 compared to $0.501 for the quarter ended June 30, 2011. The increase in the advertising revenue per attendee was due to the 2.7% increase in total advertising revenue (including beverage revenue), and the impact of a 0.3% decrease in network theatre attendance.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Fathom Events revenue decreased 42.9% to $8.8 million for the quarter ended June 28, 2012 as compared to $15.4 million for the quarter ended June 30, 2011 due to a $3.6 million, or 29.8%, decrease in the Fathom Consumer Events division and a $3.0 million, or 90.9%, decrease in revenue related to the wind-down of our Fathom Business Events division during the first quarter of 2012. The decrease in the Fathom Consumer Events division revenue was primarily due to a 7.1% decrease in the number of event nights and a 26.2% decrease in revenue per event site.</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quarter ended June 28, 2012 were $64.8 million, an increase of 1.6% compared to $63.8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2011. Set forth below is a discussion of the operating expenses.</w:t>
      </w:r>
    </w:p>
    <w:p>
      <w:pPr>
        <w:spacing w:after="0" w:line="51"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$8.0 million for the quarter ended June 28, 2012 increased 35.6% from $5.9 million for the quarter ended June 30, 2011. This increase was primarily the result of a $1.6 million increase in payments made to our advertising affiliates primarily due to an increase in network affiliate screens as well as the increase in national advertising revenue (excluding beverage revenue). Network affiliate screens represented 20.0% of total network screens as of June 28, 2012 versus 15.7% as of June 30, 2011.</w:t>
      </w:r>
    </w:p>
    <w:p>
      <w:pPr>
        <w:spacing w:after="0" w:line="32" w:lineRule="exact"/>
        <w:rPr>
          <w:sz w:val="20"/>
          <w:szCs w:val="20"/>
          <w:color w:val="auto"/>
        </w:rPr>
      </w:pPr>
    </w:p>
    <w:p>
      <w:pPr>
        <w:ind w:left="460" w:right="340"/>
        <w:spacing w:after="0" w:line="298"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$6.5 million for the quarter ended June 28, 2012 decreased 39.3% compared to $10.7 million during the quarter ended June 30, 2011. The decrease was primarily the result of a decrease in content payments and revenue share amounts to theatre circuits related to the lower revenue generated by the Fathom Consumer Events division, as well as lower costs associated with the Fathom Business Events division due to the wind-down of the division in the first quarter of 2012.</w:t>
      </w:r>
    </w:p>
    <w:p>
      <w:pPr>
        <w:spacing w:after="0" w:line="32" w:lineRule="exact"/>
        <w:rPr>
          <w:sz w:val="20"/>
          <w:szCs w:val="20"/>
          <w:color w:val="auto"/>
        </w:rPr>
      </w:pPr>
    </w:p>
    <w:p>
      <w:pPr>
        <w:ind w:left="460" w:right="280"/>
        <w:spacing w:after="0" w:line="357" w:lineRule="auto"/>
        <w:rPr>
          <w:sz w:val="20"/>
          <w:szCs w:val="20"/>
          <w:color w:val="auto"/>
        </w:rPr>
      </w:pPr>
      <w:r>
        <w:rPr>
          <w:rFonts w:ascii="Arial" w:cs="Arial" w:eastAsia="Arial" w:hAnsi="Arial"/>
          <w:sz w:val="15"/>
          <w:szCs w:val="15"/>
          <w:u w:val="single" w:color="auto"/>
          <w:color w:val="auto"/>
        </w:rPr>
        <w:t>Network costs.</w:t>
      </w:r>
      <w:r>
        <w:rPr>
          <w:rFonts w:ascii="Arial" w:cs="Arial" w:eastAsia="Arial" w:hAnsi="Arial"/>
          <w:sz w:val="15"/>
          <w:szCs w:val="15"/>
          <w:color w:val="auto"/>
        </w:rPr>
        <w:t xml:space="preserve"> Network costs of $5.1 million for the quarter ended June 28, 2012 increased 6.3% from $4.8 million for the quarter ended June 30, 2011 primarily due to a 7.9% increase in the average number of network screens during the second quarter of 2012 versus the second quarter of 2011.</w:t>
      </w:r>
    </w:p>
    <w:p>
      <w:pPr>
        <w:ind w:left="460" w:right="200"/>
        <w:spacing w:after="0" w:line="305" w:lineRule="auto"/>
        <w:rPr>
          <w:sz w:val="20"/>
          <w:szCs w:val="20"/>
          <w:color w:val="auto"/>
        </w:rPr>
      </w:pPr>
      <w:r>
        <w:rPr>
          <w:rFonts w:ascii="Arial" w:cs="Arial" w:eastAsia="Arial" w:hAnsi="Arial"/>
          <w:sz w:val="15"/>
          <w:szCs w:val="15"/>
          <w:u w:val="single" w:color="auto"/>
          <w:color w:val="auto"/>
        </w:rPr>
        <w:t>Theatre access fees.</w:t>
      </w:r>
      <w:r>
        <w:rPr>
          <w:rFonts w:ascii="Arial" w:cs="Arial" w:eastAsia="Arial" w:hAnsi="Arial"/>
          <w:sz w:val="15"/>
          <w:szCs w:val="15"/>
          <w:color w:val="auto"/>
        </w:rPr>
        <w:t xml:space="preserve"> Theatre access fees were $16.3 million for the quarter ended June 28, 2012 compared to $14.8 million for the quarter ended June 30, 2011. The $1.5 million, or 10.1% increase for the second quarter of 2012 versus the second quarter of 2011 was due to the impact of a contracted annual</w:t>
      </w:r>
    </w:p>
    <w:p>
      <w:pPr>
        <w:ind w:left="460" w:right="80"/>
        <w:spacing w:after="0" w:line="253" w:lineRule="auto"/>
        <w:rPr>
          <w:sz w:val="20"/>
          <w:szCs w:val="20"/>
          <w:color w:val="auto"/>
        </w:rPr>
      </w:pPr>
      <w:r>
        <w:rPr>
          <w:rFonts w:ascii="Arial" w:cs="Arial" w:eastAsia="Arial" w:hAnsi="Arial"/>
          <w:sz w:val="18"/>
          <w:szCs w:val="18"/>
          <w:color w:val="auto"/>
        </w:rPr>
        <w:t xml:space="preserve">5% rate increase per digital screen, an 8% increase in the payment per patron fee (the payment per patron fee increase occurs every five years with the first such increase taking effect in 2012) as specified in the ESA, and an increase in payments to our founding members associated with obtaining access to a larger number of the higher quality digital cinema equipment. As of June 28, 2012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was being shown on 67.5% of screens with digital cinema projectors versus 32.4% as June 30, 2011. These increases to theatre access fees were partially offset by a 5.0% decrease in founding member attendance.</w:t>
      </w:r>
    </w:p>
    <w:p>
      <w:pPr>
        <w:spacing w:after="0" w:line="6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$15.5 million, or 4.0% for the quarter ended June 28, 2012 compared to $14.9 million for the quarter ended June 30, 2011. This increase was primarily due to an increase in advertising related sales and marketing expense, partially offset by lower costs associated with marketing the Fathom Business Events division due to the wind-down of the division in the first quarter of 2012. The increase in advertising related sales and marketing expense was due to $0.4 million of increased online publisher expenses which were directly attributable to a $0.5 million increase in online and mobile revenue.</w:t>
      </w:r>
    </w:p>
    <w:p>
      <w:pPr>
        <w:spacing w:after="0" w:line="62"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June 28, 2012 were $8.4 million which was consistent with the quarter ended June 30, 2011. Lower personnel costs were offset by higher professional service fees.</w:t>
      </w:r>
    </w:p>
    <w:p>
      <w:pPr>
        <w:spacing w:after="0" w:line="51"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$0.7 million to $5.0 million for the quarter ended June 28, 2012, compared to $4.3 million for the quarter ended June 30, 2011, primarily from increased amortization expense recognized on intangible assets for new network affiliate agreements added during 2011 and 2012.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loss for the quarter ended June 28, 2012 was $1.9 million, a decrease of 10.9 million from the $9.0 million of net income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ended June 30, 2011. The decrease was due primarily to a $26.7 million loss on the termination of a portion of our interest rate swap agreements associated with the portion of our term loan that was paid down during the second quarter of 2012 with the proceeds from the issuance of Senior Secured Notes. Additionally, the decrease in net income was due to a $4.9 million decrease in operating income, a $3.8 million increase in interest on borrowings due primarily to the issuance of the Senior Unsecured Notes in July 2011 and to a lesser extent the issuance of our Senior Secured Notes in April 2012, and a $2.4 million increase in other non-operating expenses due primarily to the write-off of unamortized debt issuance costs on the term loan. These decreases were partially offset by an $18.3 million decrease in net income attributable to noncontrolling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interests, a $6.5 million decrease in the provision for income taxes, and a $2.0 million decrease in the charge related to the change in derivative fair value. Noncontrolling interest expense decreased $18.3 million to $1.0 million for the quarter ended June 28, 2012 due to lower NCM LLC net income. The decrease in the provision for income taxes of $6.5 million was due primarily to lower taxable income. The change in derivative fair value resulted in an immaterial pre-tax non-cash charge for the quarter ended June 28, 2012 compared to a pre-tax non-cash charge of $2.0 million for the quarter ended June 30, 2011, due to the change in the fair value of interest rate hedges associated with our senior secured credit facility, resulting from decreases in market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28, 2012 and June 30, 2011</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six months ended June 28, 2012 was $189.2 million compared to $184.8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an increase of $4.4 million, or 2.4%. The increase in total revenue was the result of an increase in total advertising revenue of $9.9 million, or 6.3%, partially offset by a $5.5 million, or 20.3% decrease in Fathom Events revenue.</w:t>
      </w:r>
    </w:p>
    <w:p>
      <w:pPr>
        <w:spacing w:after="0" w:line="1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National advertising revenues of $137.4 million (including $19.9 million of beverage revenue) for the six months ended June 28, 2012 increased 10.0% from $124.9 million (including $18.9 million of beverage revenue) for the 2011 period. National advertising revenue (excluding beverage revenue) for the six months ended June 28, 2012 increased 10.8% to $117.5 million compared to $106.0 million for the six months ended June 30, 2011. This increase in revenue was primarily due to an increase in national inventory utilization from 82.8% for the six months ended June 30, 2011 to 83.6% for the six months ended June 28, 2012 on an 11.4% increase in theatre network attendance over the same six month period. This increase in inventory utilization was driven by our focus on increasing inventory utilization in lower demand months (primarily January through April) through more flexible pricing structures which contributed to a 4.2% decrease in national advertising CPM’s (excluding beverage revenue) during the current six month period. Additionally, inventory utilization benefited from a $1.3 million increase in content partner spending in the six months ended June 28, 2012 over the comparable prior year period. The 5.3% increase in payments from the founding members for their beverage concessionaire agreements was due primarily to an increase in founding member attendance for the first five months of</w:t>
      </w:r>
    </w:p>
    <w:p>
      <w:pPr>
        <w:spacing w:after="0" w:line="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2012 as compared to the same period in 2011, combined with a slight increase in the beverage revenue CPM. The increase in founding member attendance in the first five months of 2012 reflects a stronger film slate compared to the first five months of 2011 that was partially offset by the weaker film slate in June of 2012 compared to June of 2011.</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Local advertising revenue decreased $2.6 million, or 7.9% to $30.2 million for the six months ended June 28, 2012 compared to $32.8 million for the six months ended June 30, 2011. The Company’s total number of local advertising contracts increased 2.3%, while the average contract value decreased 9.7% due to a decrease in the number of larger regional clients and nationally recognized clients placing ads locally. Local revenue per theatre attendee for the six months ended June 28, 2012 decreased 17.0% to $0.088 per attendee compared to $0.106 for the six months ended June 30, 2011 due to the local advertising revenue decrease and theatre network attendance increase of 11.4%.</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advertising revenue (including beverage revenue) per attendee for the six months ended June 28, 2012 decreased 4.7% to $0.487 per attendee, from $0.511 per attendee for the six months ended June 30, 2011. Total advertising revenue per attendee (excluding beverage revenue) decreased 4.5% to $0.429 from $0.449 for the 2011 period. The decrease in the advertising revenue per attendee was due to the 6.3% increase in total advertising revenue (including beverage revenue), offset by the impact of the 11.4% increase in theatre attendance.</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Fathom Events revenue decreased $5.5 million, or 20.3%, to $21.6 million in the first half of 2012, compared to the first half of 2011 due primarily to a $3.6 million, or 50.7%, decrease in Fathom Business Events revenue and $1.9 million, or 9.5% decrease in Fathom Consumer Events revenue. The Fathom Business Event revenue decrease related to the wind-down of the Fathom Business Events division during the first quarter of 2012, while the Fathom Consumer Events revenue decrease was due to a decrease of 19.4% in revenue per event site, offset by a 15.9% increase in the number of events in the first half of 2012 versus 2011.</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six months ended June 28, 2012 were $126.9 million, a 6.1% increase compared to $119.6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2011. Set forth below is a discussion of the operating expenses.</w:t>
      </w:r>
    </w:p>
    <w:p>
      <w:pPr>
        <w:spacing w:after="0" w:line="51"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$12.7 million for the six months ended June 28, 2012 increased 35.1% compared to $9.4 million for the 2011 period. This increase was primarily the result of a $3.1 million increase in payments made to our advertising affiliates primarily due to an increase in network affiliate screens as well as the increase in national advertising revenue (excluding beverage revenue). Network affiliate screens represented 20.0% of total network screens as of June 28, 2012 versus 15.7% as of June 30, 2011. The increase was primarily due to the addition of 9 new network affiliates with 863 screens since the end of the first half of 2011.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$15.5 million for the six months ended June 28, 2012 decreased 15.3% compared to</w:t>
      </w:r>
    </w:p>
    <w:p>
      <w:pPr>
        <w:spacing w:after="0" w:line="38"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color w:val="auto"/>
        </w:rPr>
        <w:t>$18.3 million during the 2011 period. The decrease was primarily due to the wind-down of the Fathom Business Events division in the first quarter of 2012 and lower content payments due to decreased Fathom Consumer Events revenue in the first half of 2012.</w:t>
      </w:r>
    </w:p>
    <w:p>
      <w:pPr>
        <w:spacing w:after="0" w:line="57"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increased 5.2% to $10.2 million for the six months ended June 28, 2012 from $9.7 million for the six months ended June 30, 2011, primarily due to a 6.4% increase in the average number of network screens during the first half of 2012 versus the first half of 2011.</w:t>
      </w:r>
    </w:p>
    <w:p>
      <w:pPr>
        <w:spacing w:after="0" w:line="4"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$32.0 million for the six months ended June 28, 2012 compared to $26.9 million for the six months ended June 30, 2011. The $5.1 million, or 19.0%, increase for the first six months of 2012 versus the first six months of 2011 was related to a 6.1% increase in founding member attendance, the impact of the annual 5% rate increase per digital screen, the 8% increase in the payment per patron fee (the payment per patron fee increase occurs every five years with the first such increase taking effect in 2012) as specified in the ESA, and an increase in payments to our founding members associated with obtaining access to a larger number of the higher quality digital cinema equipment. As of June 28, 2012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was being shown on 67.5% of screens with digital cinema projectors versus 32.4% as of June 30, 2011.</w:t>
      </w:r>
    </w:p>
    <w:p>
      <w:pPr>
        <w:spacing w:after="0" w:line="3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$30.0 million for the six months ended June 28, 2012 compared to $29.5 million for the six months ended June 30, 2011, an increase of 1.7%. This increase was primarily due to an increase in various advertising related sales, marketing, and research costs, partially offset by lower costs associated with marketing the Fathom Business Events division due to the wind-down of the division in the first quarter of 2012.</w:t>
      </w:r>
    </w:p>
    <w:p>
      <w:pPr>
        <w:spacing w:after="0" w:line="62"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six months ended June 28, 2012 were $16.6 million compared to $16.9 million for the 2011 period. The 1.8% decrease is due to decreased personnel costs specifically related to a $1.3 million decrease in non-cash share-based compensation offset by higher professional services expense.</w:t>
      </w:r>
    </w:p>
    <w:p>
      <w:pPr>
        <w:spacing w:after="0" w:line="59"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$1.0 million to $9.9 million for the first six months of 2012 compared to $8.9 million for the same period in 2011 primarily from increased amortization expense recognized on intangible assets for new network affiliate agreements added during 2011 and 2012.</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loss for the six months ended June 28, 2012 was $2.8 million, a decrease of $10.8 million from the $8.0 million of net income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2011. The decrease was due primarily to a $26.7 million loss on the termination of a portion of the interest rate swap agreement associated with the portion of our term loan that was paid down during the second quarter of 2012 with the proceeds from the issuance of Senior Secured Notes. Additionally, the decrease in net income was due to a $7.0 million increase in interest on borrowings due primarily to the issuance of Senior Unsecured Notes in July 2011 and to a lesser extent the issuance of our Senior Secured Notes in April 2012, as well as a $2.9 million decrease in operating income. These decreases were partially offset by a $19.3 million decrease in net income attributable to noncontrolling interests, a $6.1 million decrease in the provision for income taxes, and a $1.2 million decrease in the charge related to the change in derivative fair value. Noncontrolling interest expense decreased $19.3 million to $2.6 million for the six months ended June 28, 2012 due to lower NCM LLC net income. The decrease in the provision for income taxes of $6.1 million to a benefit for income taxes of $1.4 million for the first half of 2012 was due primarily to lower taxable income. The change in derivative fair value resulted in a $0.4 million pre-tax non-cash gain for the six months ended June 28, 2012 compared to a pre-tax non-cash charge of $0.8 million for the six months ended June 30, 2011, due to the change in the fair value of interest rate hedges associated with our senior secured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current macro-economic environment and its impact on the national television scatter advertising market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increasing scale of our national network and the related increase in salable advertising impressions, the effectiveness of cinema advertising relative to other advertising mediums, as well as the effectiveness, quality and number of Fathom programming events, and the number of live broadcast locations.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Subsequent to the first half of 2011, we added several new affiliate theatres to our national network including: Ayrsley Theatre Operators, Cinema Supply Incorporated, Coming Attractions Theatres, Inc., Dickinson Theatres,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Inc., Digital Cinema Destinations Corp., King Theatres Circuit LLC, Odyssey Entertainment, Inc. (CineMagic Theatres) and I.T.B.S. (Southeast Cinemas), Star Cinema Grill, Texas Cinemas, Corp. United Entertainment Corp and VSS Southern Theatres LLC, and in the third quarter of 2012 we have contracted to add Loeks Theatres, Inc. (Celebration! Cinema) and O’Neil Entertainment Group and we are discussing network affiliate relationships with other theatre circuits that could be added during 2012 and in later years. In total, these contracted new founding member and affiliate theatres that have joined our network subsequent to the second half of 2011 are expected to add approximately 32 million new attendees on a full-year pro-forma basis, which we expect will result in approximately 448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2012 and beyond. We believe that the continued growth of our network will expand our national reach and geographic coverage to strengthen our selling proposition and competitive positioning versus other national and regional advertising platforms.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2012 and in 2011, we sold 60 seconds to our founding members. We expect to continue to sell 60 seconds of time to the founding members in the remainder of 2012 and for the foreseeable future.</w:t>
      </w:r>
    </w:p>
    <w:p>
      <w:pPr>
        <w:spacing w:after="0" w:line="14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will increase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Beginning on October 1, 2010, the theatre access fee paid to the members of NCM LLC included an additional fee for access to the higher quality digital cinema systems for our advertising and Fathom business pursuant to an amendment of the ESAs entered into during 2010, which will increase in 2012 as additional screens will be equipped with the new digital cinema equipment and increases annually by 5%. At the end of the current quarter, 60.8% of our network screens were showing advertising on founding member digital cinema projectors versus 28.9% at the end of the first half of 2011.</w:t>
      </w:r>
    </w:p>
    <w:p>
      <w:pPr>
        <w:spacing w:after="0" w:line="10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discussed in Note 6 to the unaudited condensed consolidated financial statements included elsewhere in this document, NCM LLC’s fiscal year 2007 and 2008 tax returns are currently under examination by the IRS and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The Company submitted its written letter of protest to the IRS in July 2012 and believes the IRS’ position lacks merit and intends to dispute the adjustments through the administrative appeals process. Should the IRS claims prevail, the Company could be required to pay additional amounts to the founding members under the tax sharing agreement and then could request refunds from various federal and state taxing authorities, and thus it is not expected to have a material adverse impact on cash balances or cash flow of the Company.</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27, 2012 we amended our senior secured credit facility agreement and completed a private placement of $400.0 million in aggregate principal amount of 6.00% Senior Secured Notes due 2022. A portion of the proceeds were used to prepay $325.0 million of outstanding term loan borrowings under our senior secured credit facility, approximately $25.0 million of outstanding debt under our revolving credit facility and $40.2 million to terminate the swap agreements associated with the term loan borrowings. In conjunction with this bond placement we also restructured our senior secured credit facility to extend the maturity of $105.0 million of our revolving credit facility through April 2017, subject to acceleration if the term loan is not repaid, refinanced or extended by December 31, 2014. In addition, the interest rate margin on the revolving credit facility increased by 75</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basis points and the covenants were amended to permit the issuance of the Senior Secured Notes. As a result of these transactions, we have extended the average maturities of our debt by over three years as well as increased our liquidity, as discussed in detail below. As a result of the debt restructurings, our interest expense on borrowings is projected to increase approximately $1.2 million for the second half of 2012 compared to the comparable period of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As of June 28, 2012, our cash, cash equivalents and short-term marketable securities balance was $74.6 million, a decrease of $23.5 million compared to the balance of $98.1 million as of December 29, 2011. The cash, cash equivalent and marketable securities at June 28, 2012, combined with $105.0 million of borrowing availability on our revolving credit facility, resulted in total liquidity availability of $179.6 million or a $6.5 million increase versus December 29, 2011. Our cash balances will fluctuate due to the seasonality of our business and related timing of collections of accounts receivable balances and operating expenditure payments, as well as available cash payments (as defined) to our founding members, interest payments on our term loan and the Senior Notes, and principal payments on debt, income tax payments, tax sharing payments to our founding members and quarterly dividends to NCM, Inc.’s common shareholders. As of June 28, 2012, our cash, cash equivalents and marketable securities totaled $74.6 million, an increase of $10.2 million, compared to $64.4 million as of June 30, 2011. Our total liquidity availability increased $70.2 million to $179.6 million at June 28, 2012 compared to $109.4 million at June 30, 2011.</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3600" w:type="dxa"/>
            <w:vAlign w:val="bottom"/>
            <w:gridSpan w:val="4"/>
          </w:tcPr>
          <w:p>
            <w:pPr>
              <w:jc w:val="center"/>
              <w:ind w:left="1819"/>
              <w:spacing w:after="0"/>
              <w:rPr>
                <w:sz w:val="20"/>
                <w:szCs w:val="20"/>
                <w:color w:val="auto"/>
              </w:rPr>
            </w:pPr>
            <w:r>
              <w:rPr>
                <w:rFonts w:ascii="Arial" w:cs="Arial" w:eastAsia="Arial" w:hAnsi="Arial"/>
                <w:sz w:val="14"/>
                <w:szCs w:val="14"/>
                <w:b w:val="1"/>
                <w:bCs w:val="1"/>
                <w:color w:val="auto"/>
                <w:w w:val="85"/>
              </w:rPr>
              <w:t>June 28, 2012</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June 30, 2011</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Investing cash flow</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decrease in cash provided by operating activities for the six months ended June 28, 2012 versus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2011 was primarily due to the payment of $40.2 million for partial interest rate swap terminations, the decrease in operating income and the increase in interest on borrowings and other non-operating expense.</w:t>
      </w:r>
    </w:p>
    <w:p>
      <w:pPr>
        <w:spacing w:after="0" w:line="59"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cash used for investing cash flows for the six months ended June 28, 2012 decreased compared to the level of investing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for the six months ended June 30, 2011. The decrease was due to lower capital expenditures of $0.8 million and an increase of $6.2 million in proceeds from marketable securities, net of purchases. These changes were partially offset by a $1.6 million increase in the use of cash for payments made to new affiliates.</w:t>
      </w:r>
    </w:p>
    <w:p>
      <w:pPr>
        <w:spacing w:after="0" w:line="62" w:lineRule="exact"/>
        <w:rPr>
          <w:rFonts w:ascii="Arial" w:cs="Arial" w:eastAsia="Arial" w:hAnsi="Arial"/>
          <w:sz w:val="18"/>
          <w:szCs w:val="18"/>
          <w:color w:val="auto"/>
        </w:rPr>
      </w:pPr>
    </w:p>
    <w:p>
      <w:pPr>
        <w:ind w:left="900" w:right="24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used in financing activities decreased by $51.8 million during the six months ended June 28, 2012 compared to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2011. The decrease was due primarily to an increase in cash proceeds from borrowings, net of payments, of $61.2 million related to the issuance of the Senior Secured Notes during the period. This increase to cash provided by financing activities was partially offset by cash used for the payment of $8.4 million in costs associated with the debt issuance.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is available cash distributions from NCM LLC</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its existing cash balances and marketable securities, which at June 28, 2012 were $66.2 million (not including NCM LLC). NCM LLC’s primary sources of liquidity and capital resources are its cash provided by operating activities, availability under its revolving credit facility and cash on hand. Refer to the audited condensed financial statements and notes thereto included in the Company’s annual report on Form 10-K filed for the fiscal year ended December 29, 2011 for a detailed discussion of the debt transactions in the third quarter of 2011 and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consolidated financial statements included elsewhere in this document for a detailed discussion of the debt transactions in the second quarter of 2012.</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Management believes that future funds generated from NCM LLC’s operations and cash on hand should be sufficient to fund working capital requirements, NCM LLC’s debt service requirements, and capital expenditure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investing requirements, through the next 12 months. Cash flows generated by NCM LLC’s distributions to NCM, Inc. and the founding members can be impacted by the seasonality in advertising, interest on borrowings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June 28, 2012 (which will be made during the third quarter of 2012) was $39.8 million, of which $19.3 million was distributed to NCM, Inc. NCM, Inc. expects to use cash received from the available cash distributions and its cash balances to fund income taxes, payments associated with the tax sharing agreement with the founding members and current and future dividends as declared by the board of directors, including a dividend declared on August 2, 2012 of $0.22 per share (approximately $12.0 million) which will be paid on August 30, 2012. Distributions from NCM LLC and NCM, Inc. cash balances should be sufficient to fund the above listed items for the foreseeable future at the discretion of the board of directors dependent on anticipated cash needs, overall financial condition, future prospects for earnings, available cash and cash flows as well as other relevant factors.</w:t>
      </w:r>
    </w:p>
    <w:p>
      <w:pPr>
        <w:spacing w:after="0" w:line="12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discussed above in “Known Trends and Uncertainties”, the Company modified its debt structure during the second quarter of 2012 and as a result has extended the average maturity by over three years and increased its liquidity, while not meaningfully impacting free cash flow.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29, 2011 and incorporated by reference herein. As of June 28, 2012, there were no significant changes in those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considered all recently issued accounting pronouncements and does not believe the adoption of such pronouncements will have a material impact on its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4-</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to the unaudited condensed consolidated financial statements in Item 1 on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2011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were no material changes to our contractual obligations during the six months ended June 28, 2012, however in April 2012 we completed a restructuring of our indebtedness. Refer to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consolidated financial statements included in Item 1 on this Form 10-Q and “Known Trends and Uncertainties” above for a detailed discussion of the debt transactions in the second quarter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2010 and 2011.</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2009</w:t>
            </w: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FY 2010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23.2%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FY 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market risk to which we are exposed is interest rate risk. We have entered into interest rate swap arrangements economically hedging the entire $225.0 million outstanding variable rate term loan at a fixed interest rate of 6.484%. The Senior Unsecured Notes and the Senior Secured Notes are at fixed rates, and therefore are not subject to market risk. At June 28, 2012, the only interest rate risk that we are exposed to is related to our $119.0 million revolving credit facility and thus a 100 basis point fluctuation in market interest rates would have the effect of increasing or decreasing our cash interest expense by approximately $0.1 million for an annual period on the $14.0 million outstanding as of June 28, 2012 on our revolving credit facility. Because each of our interest rate swaps was in a liability position at June 28, 2012, we are not currently exposed to counterparty risk related to the swaps. For a discussion of market risks, see Item 7A. “Quantitative and Qualitative Disclosures About Market Risk” contained in our annual report on Form 10-K for the fiscal year ended December 29, 2011 and incorporated by reference herein.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June 28, 2012,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June 28, 2012 were effective.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June 28, 2012 that have materially affected, or are reasonably likely to materially affect, the Company’s internal controls over financial reporting.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24, 2012 for the fiscal year ended December 29,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100" w:type="dxa"/>
            <w:vAlign w:val="bottom"/>
            <w:gridSpan w:val="4"/>
          </w:tcPr>
          <w:p>
            <w:pPr>
              <w:ind w:left="180"/>
              <w:spacing w:after="0"/>
              <w:rPr>
                <w:sz w:val="20"/>
                <w:szCs w:val="20"/>
                <w:color w:val="auto"/>
              </w:rPr>
            </w:pPr>
            <w:r>
              <w:rPr>
                <w:rFonts w:ascii="Arial" w:cs="Arial" w:eastAsia="Arial" w:hAnsi="Arial"/>
                <w:sz w:val="18"/>
                <w:szCs w:val="18"/>
                <w:b w:val="1"/>
                <w:bCs w:val="1"/>
                <w:color w:val="auto"/>
              </w:rPr>
              <w:t>Exhibits</w:t>
            </w:r>
          </w:p>
        </w:tc>
        <w:tc>
          <w:tcPr>
            <w:tcW w:w="700" w:type="dxa"/>
            <w:vAlign w:val="bottom"/>
          </w:tcPr>
          <w:p>
            <w:pPr>
              <w:spacing w:after="0"/>
              <w:rPr>
                <w:sz w:val="17"/>
                <w:szCs w:val="17"/>
                <w:color w:val="auto"/>
              </w:rPr>
            </w:pPr>
          </w:p>
        </w:tc>
        <w:tc>
          <w:tcPr>
            <w:tcW w:w="8700" w:type="dxa"/>
            <w:vAlign w:val="bottom"/>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0" w:type="dxa"/>
            <w:vAlign w:val="bottom"/>
            <w:gridSpan w:val="2"/>
          </w:tcPr>
          <w:p>
            <w:pPr>
              <w:spacing w:after="0" w:line="20" w:lineRule="exact"/>
              <w:rPr>
                <w:sz w:val="1"/>
                <w:szCs w:val="1"/>
                <w:color w:val="auto"/>
              </w:rPr>
            </w:pPr>
          </w:p>
        </w:tc>
      </w:tr>
      <w:tr>
        <w:trPr>
          <w:trHeight w:val="379"/>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8"/>
              </w:rPr>
              <w:t>Reference</w:t>
            </w:r>
          </w:p>
        </w:tc>
        <w:tc>
          <w:tcPr>
            <w:tcW w:w="220" w:type="dxa"/>
            <w:vAlign w:val="bottom"/>
          </w:tcPr>
          <w:p>
            <w:pPr>
              <w:spacing w:after="0"/>
              <w:rPr>
                <w:sz w:val="24"/>
                <w:szCs w:val="24"/>
                <w:color w:val="auto"/>
              </w:rPr>
            </w:pPr>
          </w:p>
        </w:tc>
        <w:tc>
          <w:tcPr>
            <w:tcW w:w="9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2"/>
              </w:rPr>
              <w:t>Indenture, dated as of April 27, 2012, by and between National CineMedia, LLC and Wells Fargo Bank, National Association, as</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trustee.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Form of 6.00% Senior Secured Notes due 2022 (included in Exhibit 4.1).</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April 27, 2012, by and between National CineMedia, LLC and Barclays Capital Inc., as</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0"/>
              </w:rPr>
              <w:t>Common Unit Adjustment Agreement dated as of February 13, 2007, by and among National CineMedia, Inc., National CineMedia,</w:t>
            </w:r>
          </w:p>
        </w:tc>
      </w:tr>
      <w:tr>
        <w:trPr>
          <w:trHeight w:val="216"/>
        </w:trPr>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3"/>
              </w:rPr>
              <w:t>LLC, Regal CineMedia Holdings, LLC, American Multi-Cinema, Inc., Cinemark Media, Inc., Regal Cinemas, Inc. and Cinemark</w:t>
            </w:r>
          </w:p>
        </w:tc>
      </w:tr>
      <w:tr>
        <w:trPr>
          <w:trHeight w:val="216"/>
        </w:trPr>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89"/>
              </w:rPr>
              <w:t>Amendment No. 3, dated as of April 27, 2012, to Credit Agreement by and among National CineMedia, LLC, Barclays Bank PLC, as</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administrative agent, and the Lenders party thereto.</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4"/>
              </w:rPr>
              <w:t>Third Amendment to Exhibitor Services Agreement dated as of April 17, 2012, by and between National CineMedia, LLC and</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American Multi-Cinema, Inc.</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4"/>
              </w:rPr>
              <w:t>Third Amendment to Exhibitor Services Agreement dated as of April 17, 2012, by and between National CineMedia, LLC and</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Cinemark USA, Inc.</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89"/>
              </w:rPr>
              <w:t>Third Amendment to Exhibitor Services Agreement dated as of April 17, 2012, by and between National CineMedia, LLC and Regal</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Cinemas, Inc.</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National CineMedia, Inc. 2012 Performance Bonus Plan</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1"/>
              </w:rPr>
              <w:t>Confirmation of Partial Termination of Swap, dated May 21, 2012, between National CineMedia, LLC and Morgan Stanley Capital</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Services LLC.</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9"/>
              </w:rPr>
              <w:t>Confirmation of Partial Termination of Swap, dated May 22, 2012, between National CineMedia, LLC and Credit Suisse</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International.</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1"/>
              </w:rPr>
              <w:t>Confirmation of Partial Termination of Swap, dated May 31, 2012, between National CineMedia, LLC and JPMorgan Chase Bank,</w:t>
            </w:r>
          </w:p>
        </w:tc>
      </w:tr>
      <w:tr>
        <w:trPr>
          <w:trHeight w:val="222"/>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N.A.</w:t>
            </w:r>
          </w:p>
        </w:tc>
      </w:tr>
      <w:tr>
        <w:trPr>
          <w:trHeight w:val="324"/>
        </w:trPr>
        <w:tc>
          <w:tcPr>
            <w:tcW w:w="86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3"/>
              </w:rPr>
              <w:t>Confirmation of Partial Termination of Swap, dated May 31, 2012, between National CineMedia, LLC and Barclays Bank PLC.</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interactive data files shall not be deemed filed for purposes of Section 11 or 12 of the Securities Act of 1933, as amended, or Section 18 of the Securities Exchange Act of 1934, as amended, or otherwise subject to liability under those sections.</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NCM, Inc.’s Form 10-Q (File No. 001-33296) filed on May 10,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to Exhibits of the same number from the Registrant’s Current Report on Form 8-K (File No. 001-33296) filed on April 30,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April 30, 2012.</w:t>
      </w:r>
    </w:p>
    <w:p>
      <w:pPr>
        <w:sectPr>
          <w:pgSz w:w="11900" w:h="16838" w:orient="portrait"/>
          <w:cols w:equalWidth="0" w:num="1">
            <w:col w:w="11360"/>
          </w:cols>
          <w:pgMar w:left="240" w:top="459" w:right="299" w:bottom="1440" w:gutter="0" w:footer="0" w:header="0"/>
        </w:sectPr>
      </w:pP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459" w:right="2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April 18, 2012.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to Exhibit 10.2 to the Registrant’s Current Report on Form 8-K (File No. 001-33296) filed on April 18,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to Exhibit 10.3 to the Registrant’s Current Report on Form 8-K (File No. 001-33296) filed on April 18,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May 4, 2012.</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21 May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NATIONAL CINEMEDIA,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David Oddo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david.oddo@ncm.com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(720) 874-5762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PARTIAL CANCELLATION of Transaction Ref. No.: </w:t>
      </w:r>
      <w:r>
        <w:rPr>
          <w:rFonts w:ascii="Arial" w:cs="Arial" w:eastAsia="Arial" w:hAnsi="Arial"/>
          <w:sz w:val="18"/>
          <w:szCs w:val="18"/>
          <w:color w:val="auto"/>
        </w:rPr>
        <w:t>HR6K9 (the “Original Transaction”)</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USD 137,500,000 transaction between MORGAN STANLEY CAPITAL SERVICES LLC (‘Party A’) and NATIONAL CINEMEDIA, LLC (‘Party B’) with</w:t>
      </w:r>
      <w:r>
        <w:rPr>
          <w:rFonts w:ascii="Arial" w:cs="Arial" w:eastAsia="Arial" w:hAnsi="Arial"/>
          <w:sz w:val="18"/>
          <w:szCs w:val="18"/>
          <w:b w:val="1"/>
          <w:bCs w:val="1"/>
          <w:color w:val="auto"/>
        </w:rPr>
        <w:t xml:space="preserve"> </w:t>
      </w:r>
      <w:r>
        <w:rPr>
          <w:rFonts w:ascii="Arial" w:cs="Arial" w:eastAsia="Arial" w:hAnsi="Arial"/>
          <w:sz w:val="18"/>
          <w:szCs w:val="18"/>
          <w:color w:val="auto"/>
        </w:rPr>
        <w:t>a Trade Date of 2 March 2007 and maturing on 13 February 2015</w:t>
      </w:r>
    </w:p>
    <w:p>
      <w:pPr>
        <w:spacing w:after="0" w:line="120"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b w:val="1"/>
          <w:bCs w:val="1"/>
          <w:color w:val="auto"/>
        </w:rPr>
        <w:t>THIS CONFIRMATION SUPPLEMENTS AND MODIFIES THE PREVIOUS CONFIRMATION FOR THIS TRANSACTION Dear Sir or Madam:</w:t>
      </w:r>
    </w:p>
    <w:p>
      <w:pPr>
        <w:spacing w:after="0" w:line="1"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 xml:space="preserve">The purpose of this letter (this “Confirmation”) is to confirm the terms on which it has been agreed to cancel a portion of the Original Transaction. Such partial cancellation constitutes a “Transaction” under the </w:t>
      </w:r>
      <w:r>
        <w:rPr>
          <w:rFonts w:ascii="Arial" w:cs="Arial" w:eastAsia="Arial" w:hAnsi="Arial"/>
          <w:sz w:val="16"/>
          <w:szCs w:val="16"/>
          <w:color w:val="auto"/>
        </w:rPr>
        <w:t>ISDA Master Agreement dated as of 2 March 2007 between Party A and Party B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this Confirmation constitutes a “Confirmation” as referred to in, and supplements, forms part of, and is subject to, the Agreement.</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Accordingly, with effect from 27 April 2012 (the “Partial Cancellation Effective Date”) a notional amount of USD 81,250,000 of the Original Transaction shall be cancelled, and Party A and Party B shall each be released and discharged from their respective rights and obligations relating thereto; provided however, that such release and discharge shall not affect any rights, liabilities or obligations of either party with respect to (i) payments or other obligations due and payable or due to be performed on or prior to the Partial Cancellation Effective Date and all such payments and obligations shall be paid or performed by the relevant party in accordance with the terms of the Original Transaction as in effect prior to the Partial Cancellation Effective Date or (ii) that portion of the Original Transaction that is not cancelled, as stated in the next sentence. USD 56,250,000 of the Original Transaction shall remain outstanding. For the avoidance of doubt, the notional amount of the Transaction, for the calculation of future payments, including without limitation, the payment due 13 June 2012, is 56,250,000.</w:t>
      </w:r>
    </w:p>
    <w:p>
      <w:pPr>
        <w:sectPr>
          <w:pgSz w:w="11900" w:h="16838" w:orient="portrait"/>
          <w:cols w:equalWidth="0" w:num="1">
            <w:col w:w="11420"/>
          </w:cols>
          <w:pgMar w:left="240" w:top="125"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Unwind Payment: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Details: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 to Party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 in MXN: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 to Party 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 to MXN: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Documentation and Operations Contacts: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Documentation: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in consideration for the partial cancellation of the Transaction Party B has paid to Party A the amount of USD 10,504,000 for value 27 April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As per standard settlement instructions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provide details</w:t>
      </w:r>
    </w:p>
    <w:p>
      <w:pPr>
        <w:spacing w:after="0" w:line="1064" w:lineRule="exact"/>
        <w:rPr>
          <w:sz w:val="20"/>
          <w:szCs w:val="20"/>
          <w:color w:val="auto"/>
        </w:rPr>
      </w:pPr>
    </w:p>
    <w:p>
      <w:pPr>
        <w:sectPr>
          <w:pgSz w:w="11900" w:h="16838" w:orient="portrait"/>
          <w:cols w:equalWidth="0" w:num="2">
            <w:col w:w="3980" w:space="720"/>
            <w:col w:w="6720"/>
          </w:cols>
          <w:pgMar w:left="240" w:top="125"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Institutional Clients: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+1 443-627-6360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+ 212 404 4726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Return Client confirmations to: Derivative.Confirms.Americas@morganstanley.com</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Interbank Clients: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+1 443 627 6775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+ 1 212 404-4726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 Interbank Confirmations to: Derivative.Confirms.Americas@morganstanley.com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+1 212 761 4662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+1 410 534 1431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confirm that the foregoing correctly sets forth the terms of our agreement (Ref. No. HR6K9) by executing a copy of this Confirmation and returning it to us, or by sending to us a facsimile or telex substantially similar to this letter which sets forth the material terms of the Transaction to which this Confirmation relates and indicates agreement to those terms.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are delighted to have executed this Transaction with you and look forward to working with you again.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CAPITAL SERVICES LLC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David Flowerdew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Flowerdew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National Cinemedia, Inc., its manager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Gary S. Ferrera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EVP/CFO</w:t>
      </w:r>
    </w:p>
    <w:p>
      <w:pPr>
        <w:sectPr>
          <w:pgSz w:w="11900" w:h="16838" w:orient="portrait"/>
          <w:cols w:equalWidth="0" w:num="1">
            <w:col w:w="11240"/>
          </w:cols>
          <w:pgMar w:left="240" w:top="261" w:right="419" w:bottom="1440" w:gutter="0" w:footer="0" w:header="0"/>
        </w:sectPr>
      </w:pPr>
    </w:p>
    <w:bookmarkStart w:id="38" w:name="page39"/>
    <w:bookmarkEnd w:id="38"/>
    <w:p>
      <w:pPr>
        <w:ind w:left="10520"/>
        <w:spacing w:after="0"/>
        <w:rPr>
          <w:sz w:val="20"/>
          <w:szCs w:val="20"/>
          <w:color w:val="auto"/>
        </w:rPr>
      </w:pPr>
      <w:r>
        <w:rPr>
          <w:rFonts w:ascii="Arial" w:cs="Arial" w:eastAsia="Arial" w:hAnsi="Arial"/>
          <w:sz w:val="16"/>
          <w:szCs w:val="16"/>
          <w:b w:val="1"/>
          <w:bCs w:val="1"/>
          <w:color w:val="auto"/>
        </w:rPr>
        <w:t>Exhibit 10.8</w:t>
      </w: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CREDIT SUISSE INTERNATIONAL</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[CREDIT SUISSE LOGO]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One Cabot Square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London E14 4QJ</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5"/>
          <w:szCs w:val="15"/>
          <w:color w:val="auto"/>
        </w:rPr>
        <w:t>020 7888 8888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www.credit-suisse.com</w:t>
      </w:r>
    </w:p>
    <w:p>
      <w:pPr>
        <w:spacing w:after="0" w:line="178" w:lineRule="exact"/>
        <w:rPr>
          <w:sz w:val="20"/>
          <w:szCs w:val="20"/>
          <w:color w:val="auto"/>
        </w:rPr>
      </w:pPr>
    </w:p>
    <w:p>
      <w:pPr>
        <w:sectPr>
          <w:pgSz w:w="11900" w:h="16838" w:orient="portrait"/>
          <w:cols w:equalWidth="0" w:num="3">
            <w:col w:w="3300" w:space="720"/>
            <w:col w:w="3040" w:space="720"/>
            <w:col w:w="3640"/>
          </w:cols>
          <w:pgMar w:left="240" w:top="125" w:right="239" w:bottom="1440" w:gutter="0" w:footer="0" w:header="0"/>
          <w:type w:val="continuous"/>
        </w:sectPr>
      </w:pPr>
    </w:p>
    <w:p>
      <w:pPr>
        <w:ind w:left="10480"/>
        <w:spacing w:after="0"/>
        <w:rPr>
          <w:sz w:val="20"/>
          <w:szCs w:val="20"/>
          <w:color w:val="auto"/>
        </w:rPr>
      </w:pPr>
      <w:r>
        <w:rPr>
          <w:rFonts w:ascii="Arial" w:cs="Arial" w:eastAsia="Arial" w:hAnsi="Arial"/>
          <w:sz w:val="16"/>
          <w:szCs w:val="16"/>
          <w:color w:val="auto"/>
        </w:rPr>
        <w:t>22 May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9110 East Nichols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80112-3405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External ID: 53199051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ectPr>
          <w:pgSz w:w="11900" w:h="16838" w:orient="portrait"/>
          <w:cols w:equalWidth="0" w:num="1">
            <w:col w:w="11420"/>
          </w:cols>
          <w:pgMar w:left="240" w:top="125" w:right="239" w:bottom="1440" w:gutter="0" w:footer="0" w:header="0"/>
          <w:type w:val="continuous"/>
        </w:sectPr>
      </w:pP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purpose of this letter agreement (this “Confirmation”) is to confirm the terms and conditions of the Transaction entered into between us on the Trade Date specified below (the “Transaction”). This Confirmation constitutes a “Confirmation” as referred to in the Agreement specified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Confirmation amends, restates and supersedes in its entirety all Confirmations dated prior to the date hereof in respect of this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this Confirmation “CSIN” means Credit Suisse International and “Counterparty” means National Cinemedia, LLC.</w:t>
      </w:r>
    </w:p>
    <w:p>
      <w:pPr>
        <w:spacing w:after="0" w:line="90" w:lineRule="exact"/>
        <w:rPr>
          <w:sz w:val="20"/>
          <w:szCs w:val="20"/>
          <w:color w:val="auto"/>
        </w:rPr>
      </w:pPr>
    </w:p>
    <w:p>
      <w:pPr>
        <w:ind w:left="460" w:right="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definitions and provisions contained in the 2006 ISDA Definitions (as published by the International Swaps and Derivatives Association, Inc.) are incorporated into this Confirmation. In the event of any inconsistency between those definitions and provisions and this Confirmation, this Confirmation will govern. References herein to a “Transaction” shall be deemed to be references to a “Swap Transaction” for the purposes of the 2006 ISDA Definitions.</w:t>
      </w:r>
    </w:p>
    <w:p>
      <w:pPr>
        <w:spacing w:after="0" w:line="25" w:lineRule="exact"/>
        <w:rPr>
          <w:rFonts w:ascii="Arial" w:cs="Arial" w:eastAsia="Arial" w:hAnsi="Arial"/>
          <w:sz w:val="16"/>
          <w:szCs w:val="16"/>
          <w:color w:val="auto"/>
        </w:rPr>
      </w:pPr>
    </w:p>
    <w:p>
      <w:pPr>
        <w:jc w:val="both"/>
        <w:ind w:left="460" w:right="120"/>
        <w:spacing w:after="0" w:line="259" w:lineRule="auto"/>
        <w:rPr>
          <w:rFonts w:ascii="Arial" w:cs="Arial" w:eastAsia="Arial" w:hAnsi="Arial"/>
          <w:sz w:val="16"/>
          <w:szCs w:val="16"/>
          <w:color w:val="auto"/>
        </w:rPr>
      </w:pPr>
      <w:r>
        <w:rPr>
          <w:rFonts w:ascii="Arial" w:cs="Arial" w:eastAsia="Arial" w:hAnsi="Arial"/>
          <w:sz w:val="18"/>
          <w:szCs w:val="18"/>
          <w:color w:val="auto"/>
        </w:rPr>
        <w:t>This Confirmation supplements, forms part of, and is subject to, the 1992 ISDA Master Agreement (Cross Border) dated as of 02 March 2007 as amended and supplemented from time to time (the “Agreement”), between you and us. All provisions contained in the Agreement govern this Confirmation except as expressly modified below.</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Registered Office as above.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Registered with unlimited liability in England under No.: 2500199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Authorised and Regulated by the Financial Services Authority.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VAT No: GB 447 0737 41.</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LOGO]</w:t>
      </w:r>
    </w:p>
    <w:p>
      <w:pPr>
        <w:spacing w:after="0" w:line="15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of the particular Transaction to which this Confirmation relates are as follows:</w:t>
      </w:r>
    </w:p>
    <w:p>
      <w:pPr>
        <w:sectPr>
          <w:pgSz w:w="11900" w:h="16838" w:orient="portrait"/>
          <w:cols w:equalWidth="0" w:num="1">
            <w:col w:w="10380"/>
          </w:cols>
          <w:pgMar w:left="240" w:top="280" w:right="1279" w:bottom="1440" w:gutter="0" w:footer="0" w:header="0"/>
        </w:sect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Notional Amount: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USD 56,250,000.00, as amended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“Additional Terms” below.</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1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02 March 2007</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13 March 2007</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Termination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13 February 2015, subject to adjustment in accordance with the Modified Following Business Day Convention.</w:t>
      </w:r>
    </w:p>
    <w:p>
      <w:pPr>
        <w:spacing w:after="0" w:line="139"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Floating Amounts:</w:t>
      </w:r>
    </w:p>
    <w:p>
      <w:pPr>
        <w:sectPr>
          <w:pgSz w:w="11900" w:h="16838" w:orient="portrait"/>
          <w:cols w:equalWidth="0" w:num="1">
            <w:col w:w="10380"/>
          </w:cols>
          <w:pgMar w:left="240" w:top="280" w:right="1279" w:bottom="1440" w:gutter="0" w:footer="0" w:header="0"/>
          <w:type w:val="continuous"/>
        </w:sect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Floating Rate Payer: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CSIN</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Floating Rate Payer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Each 13 March, 13 June, 13 September and 13 December, commencing on 13 June 2007, and ending on 13 December 2014, inclusive, with the final Payment Date on the Termination Date, subject to adjustment in accordance with the Modified Following Business Day Convention.</w:t>
      </w:r>
    </w:p>
    <w:p>
      <w:pPr>
        <w:spacing w:after="0" w:line="154"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Floating Rate Option:</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USD-LIBOR-BBA; provided, however, that in respect of the final Calculation Period, Linear Interpolation shall apply based upon a Designated Maturity of 1 Month and a Designated Maturity of 2 Months.</w:t>
      </w:r>
    </w:p>
    <w:p>
      <w:pPr>
        <w:spacing w:after="0" w:line="197"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Designated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Months (except as noted above)</w:t>
      </w:r>
    </w:p>
    <w:p>
      <w:pPr>
        <w:spacing w:after="0" w:line="211"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Spread: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9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6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Floating Rate Day Count Fraction: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Actual/360</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Reset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first day of each Calculation Period</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Compounding: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Fixed Amounts:</w:t>
      </w:r>
    </w:p>
    <w:p>
      <w:pPr>
        <w:sectPr>
          <w:pgSz w:w="11900" w:h="16838" w:orient="portrait"/>
          <w:cols w:equalWidth="0" w:num="1">
            <w:col w:w="10380"/>
          </w:cols>
          <w:pgMar w:left="240" w:top="280" w:right="1279" w:bottom="1440" w:gutter="0" w:footer="0" w:header="0"/>
          <w:type w:val="continuous"/>
        </w:sect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Fixed Rate Payer: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360"/>
        <w:spacing w:after="0"/>
        <w:rPr>
          <w:sz w:val="20"/>
          <w:szCs w:val="20"/>
          <w:color w:val="auto"/>
        </w:rPr>
      </w:pPr>
      <w:r>
        <w:rPr>
          <w:rFonts w:ascii="Arial" w:cs="Arial" w:eastAsia="Arial" w:hAnsi="Arial"/>
          <w:sz w:val="15"/>
          <w:szCs w:val="15"/>
          <w:color w:val="auto"/>
        </w:rPr>
        <w:t>Counterparty</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60"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Fixed Rate Payer Payment Dues: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Each 13 March, 13 June, 13 September and 13 December, commencing on 13 June 2007, and ending on 13 December 2014, inclusive, with the final Payment Date on the Termination Date, subject to adjustment in accordance with the Modified Following Business Day Convention.</w:t>
      </w:r>
    </w:p>
    <w:p>
      <w:pPr>
        <w:spacing w:after="0" w:line="154"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Fixed Rate:</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5"/>
          <w:szCs w:val="15"/>
          <w:color w:val="auto"/>
        </w:rPr>
        <w:t>4.984%</w:t>
      </w:r>
    </w:p>
    <w:p>
      <w:pPr>
        <w:spacing w:after="0" w:line="211"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Fixed Rate Day Count Fraction: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Actual/360</w:t>
      </w:r>
    </w:p>
    <w:p>
      <w:pPr>
        <w:spacing w:after="0" w:line="200"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Business Days: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London and New York</w:t>
      </w:r>
    </w:p>
    <w:p>
      <w:pPr>
        <w:spacing w:after="0" w:line="181" w:lineRule="exact"/>
        <w:rPr>
          <w:sz w:val="20"/>
          <w:szCs w:val="20"/>
          <w:color w:val="auto"/>
        </w:rPr>
      </w:pPr>
    </w:p>
    <w:p>
      <w:pPr>
        <w:sectPr>
          <w:pgSz w:w="11900" w:h="16838" w:orient="portrait"/>
          <w:cols w:equalWidth="0" w:num="2">
            <w:col w:w="5380" w:space="720"/>
            <w:col w:w="4280"/>
          </w:cols>
          <w:pgMar w:left="240" w:top="280" w:right="127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380"/>
          </w:cols>
          <w:pgMar w:left="240" w:top="280" w:right="12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LOGO]</w:t>
      </w:r>
    </w:p>
    <w:p>
      <w:pPr>
        <w:spacing w:after="0" w:line="158" w:lineRule="exact"/>
        <w:rPr>
          <w:sz w:val="20"/>
          <w:szCs w:val="20"/>
          <w:color w:val="auto"/>
        </w:rPr>
      </w:pPr>
    </w:p>
    <w:p>
      <w:pPr>
        <w:ind w:left="920"/>
        <w:spacing w:after="0"/>
        <w:tabs>
          <w:tab w:leader="none" w:pos="6080" w:val="left"/>
        </w:tabs>
        <w:rPr>
          <w:sz w:val="20"/>
          <w:szCs w:val="20"/>
          <w:color w:val="auto"/>
        </w:rPr>
      </w:pPr>
      <w:r>
        <w:rPr>
          <w:rFonts w:ascii="Arial" w:cs="Arial" w:eastAsia="Arial" w:hAnsi="Arial"/>
          <w:sz w:val="18"/>
          <w:szCs w:val="18"/>
          <w:color w:val="auto"/>
        </w:rPr>
        <w:t>Calculation Agent:</w:t>
      </w:r>
      <w:r>
        <w:rPr>
          <w:sz w:val="20"/>
          <w:szCs w:val="20"/>
          <w:color w:val="auto"/>
        </w:rPr>
        <w:tab/>
      </w:r>
      <w:r>
        <w:rPr>
          <w:rFonts w:ascii="Arial" w:cs="Arial" w:eastAsia="Arial" w:hAnsi="Arial"/>
          <w:sz w:val="15"/>
          <w:szCs w:val="15"/>
          <w:color w:val="auto"/>
        </w:rPr>
        <w:t>CSIN, unless otherwise specified in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 Terms:</w:t>
      </w:r>
    </w:p>
    <w:p>
      <w:pPr>
        <w:spacing w:after="0" w:line="90"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In consideration of amending the Notional Amount from USD 137,500,000 to USD 56,250,000 (the “New Notional Amount”) on 27 April 2012 (the Notional Amendment Date”), Counterparty shall pay the sum of USD 10,504,000 to CSIN for value 27 April 2012. (For the avoidence of doubt such payment has been made by Counterparty on 27 April 2012). Notwithstanding the forgoing the parties hereto agree that the Notional Amount of this Transaction is hereby reduced for each Floating Rate Payer and Fixed Rate Payer from and including March 13,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Account Details:</w:t>
      </w:r>
    </w:p>
    <w:p>
      <w:pPr>
        <w:sectPr>
          <w:pgSz w:w="11900" w:h="16838" w:orient="portrait"/>
          <w:cols w:equalWidth="0" w:num="1">
            <w:col w:w="11400"/>
          </w:cols>
          <w:pgMar w:left="240" w:top="280" w:right="25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Payments to CSIN: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advised separately in writing</w:t>
      </w:r>
    </w:p>
    <w:p>
      <w:pPr>
        <w:spacing w:after="0" w:line="200" w:lineRule="exact"/>
        <w:rPr>
          <w:sz w:val="20"/>
          <w:szCs w:val="20"/>
          <w:color w:val="auto"/>
        </w:rPr>
      </w:pPr>
    </w:p>
    <w:p>
      <w:pPr>
        <w:sectPr>
          <w:pgSz w:w="11900" w:h="16838" w:orient="portrait"/>
          <w:cols w:equalWidth="0" w:num="2">
            <w:col w:w="5380" w:space="720"/>
            <w:col w:w="5300"/>
          </w:cols>
          <w:pgMar w:left="240" w:top="280" w:right="25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Payment to Counterparty: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advised separately in writing.</w:t>
      </w:r>
    </w:p>
    <w:p>
      <w:pPr>
        <w:spacing w:after="0" w:line="194" w:lineRule="exact"/>
        <w:rPr>
          <w:sz w:val="20"/>
          <w:szCs w:val="20"/>
          <w:color w:val="auto"/>
        </w:rPr>
      </w:pPr>
    </w:p>
    <w:p>
      <w:pPr>
        <w:sectPr>
          <w:pgSz w:w="11900" w:h="16838" w:orient="portrait"/>
          <w:cols w:equalWidth="0" w:num="2">
            <w:col w:w="5380" w:space="720"/>
            <w:col w:w="5300"/>
          </w:cols>
          <w:pgMar w:left="240" w:top="280" w:right="25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Credit Suisse International is authorised and regulated by the Financial Services Authority and has entered into this transaction as principal. The time at which the above transaction was executed will be notified to Counterparty on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terms of our agreement by signing and returning this Confirmation.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Credit Suisse International</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Steve Long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Vice President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Gary W. Ferrera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EVP/CFO</w:t>
      </w:r>
    </w:p>
    <w:p>
      <w:pPr>
        <w:sectPr>
          <w:pgSz w:w="11900" w:h="16838" w:orient="portrait"/>
          <w:cols w:equalWidth="0" w:num="1">
            <w:col w:w="10219"/>
          </w:cols>
          <w:pgMar w:left="240" w:top="28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10.9</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J.P.Morgan</w:t>
      </w:r>
    </w:p>
    <w:p>
      <w:pPr>
        <w:spacing w:after="0" w:line="16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Partial Termination of an Interest Rate Swap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this letter agreement is to confirm the partial termination of the Transaction entered into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“Counterparty”)</w:t>
      </w:r>
    </w:p>
    <w:p>
      <w:pPr>
        <w:spacing w:after="0" w:line="16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on the Trade Date and identified by the JPMorgan Deal Number specified below (the “Transaction”). This letter agreement constitutes a “Confirmation” as referred to in the Master Agreement specified below, and supersedes any previous confirmation or other writing with respect to the transaction described below.</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definitions and provisions contained in the 2006 ISDA Definitions (the “Definitions”), as published by the International Swaps and Derivatives Association, Inc. are incorporated into this Confirmation. In the event of any inconsistency between those definitions and provisions and this Confirmation, this Confirmation shall govern.</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Confirmation supplements, forms part of, and is subject to, the ISDA Master Agreement dated as of 06 August 2007, as amended and supplemented from time to time (the “Agreement”), between JPMORGAN CHASE BANK, N.A. (“JPMorgan”) and NATIONAL CINEMEDIA, LLC (the “Counterparty”). All provisions contained in the Agreement govern this Confirmation except as expressly modified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20"/>
          </w:cols>
          <w:pgMar w:left="240" w:top="125" w:right="239" w:bottom="1440" w:gutter="0" w:footer="0" w:header="0"/>
        </w:sectPr>
      </w:pPr>
    </w:p>
    <w:bookmarkStart w:id="43" w:name="page44"/>
    <w:bookmarkEnd w:id="43"/>
    <w:p>
      <w:pPr>
        <w:ind w:left="103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particular Interest Rate Swap Transaction to which this Confirmation relates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TRANSACTION DETAILS</w:t>
      </w:r>
    </w:p>
    <w:p>
      <w:pPr>
        <w:sectPr>
          <w:pgSz w:w="11900" w:h="16838" w:orient="portrait"/>
          <w:cols w:equalWidth="0" w:num="1">
            <w:col w:w="11420"/>
          </w:cols>
          <w:pgMar w:left="240" w:top="261" w:right="2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JPMorgan Deal Number(s):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4220"/>
        <w:spacing w:after="0"/>
        <w:rPr>
          <w:sz w:val="20"/>
          <w:szCs w:val="20"/>
          <w:color w:val="auto"/>
        </w:rPr>
      </w:pPr>
      <w:r>
        <w:rPr>
          <w:rFonts w:ascii="Arial" w:cs="Arial" w:eastAsia="Arial" w:hAnsi="Arial"/>
          <w:sz w:val="15"/>
          <w:szCs w:val="15"/>
          <w:color w:val="auto"/>
        </w:rPr>
        <w:t>6900033659368</w:t>
      </w:r>
    </w:p>
    <w:p>
      <w:pPr>
        <w:spacing w:after="0" w:line="211"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Previous Notional 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860"/>
        <w:spacing w:after="0"/>
        <w:rPr>
          <w:sz w:val="20"/>
          <w:szCs w:val="20"/>
          <w:color w:val="auto"/>
        </w:rPr>
      </w:pPr>
      <w:r>
        <w:rPr>
          <w:rFonts w:ascii="Arial" w:cs="Arial" w:eastAsia="Arial" w:hAnsi="Arial"/>
          <w:sz w:val="16"/>
          <w:szCs w:val="16"/>
          <w:color w:val="auto"/>
        </w:rPr>
        <w:t>USD 137,500,000.00</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Revised National 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USD 56,250,000.00 All calculations up to and including 13 March 2012 refer to the Previous Notional Amount specified above. All calculations after 13 March 20012 refer to the Revised Notional Amount specified above.</w:t>
      </w:r>
    </w:p>
    <w:p>
      <w:pPr>
        <w:spacing w:after="0" w:line="197"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02 March 2007</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13 March 2007</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13 February 2015 subject to adjustment in accordance with the Modified Following Business Day Convention.</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Amounts:</w:t>
      </w:r>
    </w:p>
    <w:p>
      <w:pPr>
        <w:sectPr>
          <w:pgSz w:w="11900" w:h="16838" w:orient="portrait"/>
          <w:cols w:equalWidth="0" w:num="1">
            <w:col w:w="11420"/>
          </w:cols>
          <w:pgMar w:left="240" w:top="261"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Fixed Rate Payer: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440"/>
        <w:spacing w:after="0"/>
        <w:rPr>
          <w:sz w:val="20"/>
          <w:szCs w:val="20"/>
          <w:color w:val="auto"/>
        </w:rPr>
      </w:pPr>
      <w:r>
        <w:rPr>
          <w:rFonts w:ascii="Arial" w:cs="Arial" w:eastAsia="Arial" w:hAnsi="Arial"/>
          <w:sz w:val="15"/>
          <w:szCs w:val="15"/>
          <w:color w:val="auto"/>
        </w:rPr>
        <w:t>Counterparty</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Fixed Rate Payer Payment Dates: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13 June, 13 September, 13 December and 13 March in each year, from and including 13 June 2007 to 13 December 2014 and including the Termination Date, subject to adjustment in accordance with the Modified Following Business Day Convention and there will be an adjustment to the Calculation Period.</w:t>
      </w:r>
    </w:p>
    <w:p>
      <w:pPr>
        <w:spacing w:after="0" w:line="197"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rPr>
          <w:sz w:val="20"/>
          <w:szCs w:val="20"/>
          <w:color w:val="auto"/>
        </w:rPr>
      </w:pPr>
      <w:r>
        <w:rPr>
          <w:rFonts w:ascii="Arial" w:cs="Arial" w:eastAsia="Arial" w:hAnsi="Arial"/>
          <w:sz w:val="16"/>
          <w:szCs w:val="16"/>
          <w:color w:val="auto"/>
        </w:rPr>
        <w:t>Fixed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4.98400 percent</w:t>
      </w:r>
    </w:p>
    <w:p>
      <w:pPr>
        <w:spacing w:after="0" w:line="211"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Fixed Rate Day Count Fraction: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Actual/360</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Business Days: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New York, London</w:t>
      </w:r>
    </w:p>
    <w:p>
      <w:pPr>
        <w:spacing w:after="0" w:line="200"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Floating Amounts:</w:t>
      </w:r>
    </w:p>
    <w:p>
      <w:pPr>
        <w:sectPr>
          <w:pgSz w:w="11900" w:h="16838" w:orient="portrait"/>
          <w:cols w:equalWidth="0" w:num="1">
            <w:col w:w="11420"/>
          </w:cols>
          <w:pgMar w:left="240" w:top="261"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Floating Rate Payer: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640"/>
        <w:spacing w:after="0"/>
        <w:rPr>
          <w:sz w:val="20"/>
          <w:szCs w:val="20"/>
          <w:color w:val="auto"/>
        </w:rPr>
      </w:pPr>
      <w:r>
        <w:rPr>
          <w:rFonts w:ascii="Arial" w:cs="Arial" w:eastAsia="Arial" w:hAnsi="Arial"/>
          <w:sz w:val="15"/>
          <w:szCs w:val="15"/>
          <w:color w:val="auto"/>
        </w:rPr>
        <w:t>JPMorgan</w:t>
      </w:r>
    </w:p>
    <w:p>
      <w:pPr>
        <w:spacing w:after="0" w:line="211"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Floating Rate Payer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13 June, 13 September, 13 December and 13 March in each year, from and including 13 June 2007 to 13 December 2014 and including the Termination Date, subject to adjustment in accordance with the Modified Following Business Day Convention and there will be an adjustment to the Calculation Period.</w:t>
      </w:r>
    </w:p>
    <w:p>
      <w:pPr>
        <w:spacing w:after="0" w:line="129" w:lineRule="exact"/>
        <w:rPr>
          <w:sz w:val="20"/>
          <w:szCs w:val="20"/>
          <w:color w:val="auto"/>
        </w:rPr>
      </w:pPr>
    </w:p>
    <w:p>
      <w:pPr>
        <w:sectPr>
          <w:pgSz w:w="11900" w:h="16838" w:orient="portrait"/>
          <w:cols w:equalWidth="0" w:num="2">
            <w:col w:w="5340" w:space="720"/>
            <w:col w:w="5360"/>
          </w:cols>
          <w:pgMar w:left="240" w:top="261"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Page 2 of 6</w:t>
      </w:r>
    </w:p>
    <w:p>
      <w:pPr>
        <w:sectPr>
          <w:pgSz w:w="11900" w:h="16838" w:orient="portrait"/>
          <w:cols w:equalWidth="0" w:num="1">
            <w:col w:w="11420"/>
          </w:cols>
          <w:pgMar w:left="240" w:top="261" w:right="239" w:bottom="1440" w:gutter="0" w:footer="0" w:header="0"/>
          <w:type w:val="continuous"/>
        </w:sectPr>
      </w:pPr>
    </w:p>
    <w:bookmarkStart w:id="44" w:name="page45"/>
    <w:bookmarkEnd w:id="44"/>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Floating Rate for initial Calculation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Floating Rate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Designated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Floating Rate Day Count Fraction: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Paid from Counterparty: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 DETAILS: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Payments to JPMorgan in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Payments to Counterparty in USD: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OFFICES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JPMorgan: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Counterparty:</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DOCUMENTS TO BE DELIVERED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-236855</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5.34000 percent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USD-LIBOR-BBA</w:t>
      </w:r>
    </w:p>
    <w:p>
      <w:pPr>
        <w:spacing w:after="0" w:line="225" w:lineRule="exact"/>
        <w:rPr>
          <w:sz w:val="20"/>
          <w:szCs w:val="20"/>
          <w:color w:val="auto"/>
        </w:rPr>
      </w:pPr>
    </w:p>
    <w:p>
      <w:pPr>
        <w:ind w:left="740" w:right="4580" w:hanging="2"/>
        <w:spacing w:after="0" w:line="563" w:lineRule="auto"/>
        <w:tabs>
          <w:tab w:leader="none" w:pos="8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Month None Actual/360</w:t>
      </w:r>
    </w:p>
    <w:p>
      <w:pPr>
        <w:spacing w:after="0" w:line="1" w:lineRule="exact"/>
        <w:rPr>
          <w:rFonts w:ascii="Arial" w:cs="Arial" w:eastAsia="Arial" w:hAnsi="Arial"/>
          <w:sz w:val="16"/>
          <w:szCs w:val="16"/>
          <w:color w:val="auto"/>
        </w:rPr>
      </w:pPr>
    </w:p>
    <w:p>
      <w:pPr>
        <w:ind w:left="740" w:right="2500"/>
        <w:spacing w:after="0" w:line="501" w:lineRule="auto"/>
        <w:rPr>
          <w:rFonts w:ascii="Arial" w:cs="Arial" w:eastAsia="Arial" w:hAnsi="Arial"/>
          <w:sz w:val="16"/>
          <w:szCs w:val="16"/>
          <w:color w:val="auto"/>
        </w:rPr>
      </w:pPr>
      <w:r>
        <w:rPr>
          <w:rFonts w:ascii="Arial" w:cs="Arial" w:eastAsia="Arial" w:hAnsi="Arial"/>
          <w:sz w:val="18"/>
          <w:szCs w:val="18"/>
          <w:color w:val="auto"/>
        </w:rPr>
        <w:t>The first day of each Calculation Period. Inapplicable</w:t>
      </w:r>
    </w:p>
    <w:p>
      <w:pPr>
        <w:ind w:left="740"/>
        <w:spacing w:after="0"/>
        <w:rPr>
          <w:rFonts w:ascii="Arial" w:cs="Arial" w:eastAsia="Arial" w:hAnsi="Arial"/>
          <w:sz w:val="16"/>
          <w:szCs w:val="16"/>
          <w:color w:val="auto"/>
        </w:rPr>
      </w:pPr>
      <w:r>
        <w:rPr>
          <w:rFonts w:ascii="Arial" w:cs="Arial" w:eastAsia="Arial" w:hAnsi="Arial"/>
          <w:sz w:val="18"/>
          <w:szCs w:val="18"/>
          <w:color w:val="auto"/>
        </w:rPr>
        <w:t>New York, London</w:t>
      </w:r>
    </w:p>
    <w:p>
      <w:pPr>
        <w:spacing w:after="0" w:line="225"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JPMorgan, unless otherwise stated in the Agreement.</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USD 10,504,000.00</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Partial Termination</w:t>
      </w:r>
    </w:p>
    <w:p>
      <w:pPr>
        <w:spacing w:after="0" w:line="9" w:lineRule="exact"/>
        <w:rPr>
          <w:sz w:val="20"/>
          <w:szCs w:val="20"/>
          <w:color w:val="auto"/>
        </w:rPr>
      </w:pPr>
    </w:p>
    <w:p>
      <w:pPr>
        <w:ind w:left="740" w:right="160"/>
        <w:spacing w:after="0" w:line="252" w:lineRule="auto"/>
        <w:rPr>
          <w:sz w:val="20"/>
          <w:szCs w:val="20"/>
          <w:color w:val="auto"/>
        </w:rPr>
      </w:pPr>
      <w:r>
        <w:rPr>
          <w:rFonts w:ascii="Arial" w:cs="Arial" w:eastAsia="Arial" w:hAnsi="Arial"/>
          <w:sz w:val="18"/>
          <w:szCs w:val="18"/>
          <w:b w:val="1"/>
          <w:bCs w:val="1"/>
          <w:color w:val="auto"/>
        </w:rPr>
        <w:t>27 April 2012 subject to adjustment in accordance with the Following Business Day Convention. Notwithstanding the effective date of April 27, 2012 for the Cancellation provided for hereby, the parties hereto agree that the notional amount of the Transaction canceled hereby is, for calculation purposes, deemed to be canceled effective March 13,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BIC: CHASUS33XXX</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 No: 099997979</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JPMORGAN CHASE BK NATL ASSOC, NEW YORK</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BIC: CHASUS33XXX</w:t>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per your standard settlement instructions.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CENTENNIAL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2">
            <w:col w:w="4600" w:space="720"/>
            <w:col w:w="6100"/>
          </w:cols>
          <w:pgMar w:left="240" w:top="261" w:right="239" w:bottom="1440" w:gutter="0" w:footer="0" w:header="0"/>
        </w:sectPr>
      </w:pPr>
    </w:p>
    <w:bookmarkStart w:id="45" w:name="page46"/>
    <w:bookmarkEnd w:id="45"/>
    <w:p>
      <w:pPr>
        <w:ind w:left="103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w:t>
      </w:r>
    </w:p>
    <w:p>
      <w:pPr>
        <w:spacing w:after="0" w:line="19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Each party shall deliver to the other, at the time of its execution of this Confirmation, evidence of the incumbency and specimen signature of the person(s) executing this Confirmation, unless such evidence has been previously supplied and remains true and in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RELATIONSHIP BETWEEN PARTIES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32" w:lineRule="exact"/>
        <w:rPr>
          <w:sz w:val="20"/>
          <w:szCs w:val="20"/>
          <w:color w:val="auto"/>
        </w:rPr>
      </w:pPr>
    </w:p>
    <w:p>
      <w:pPr>
        <w:ind w:firstLine="8"/>
        <w:spacing w:after="0" w:line="254"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Non-Reliance. </w:t>
      </w:r>
      <w:r>
        <w:rPr>
          <w:rFonts w:ascii="Arial" w:cs="Arial" w:eastAsia="Arial" w:hAnsi="Arial"/>
          <w:sz w:val="18"/>
          <w:szCs w:val="18"/>
          <w:color w:val="auto"/>
        </w:rPr>
        <w:t>It is acting for its own account, and it has made its own independent decisions to enter into that Transaction and as to whether that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pacing w:after="0" w:line="144" w:lineRule="exact"/>
        <w:rPr>
          <w:rFonts w:ascii="Arial" w:cs="Arial" w:eastAsia="Arial" w:hAnsi="Arial"/>
          <w:sz w:val="18"/>
          <w:szCs w:val="18"/>
          <w:color w:val="auto"/>
        </w:rPr>
      </w:pPr>
    </w:p>
    <w:p>
      <w:pPr>
        <w:ind w:right="60" w:firstLine="8"/>
        <w:spacing w:after="0" w:line="332"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Assessment and Understanding. </w:t>
      </w:r>
      <w:r>
        <w:rPr>
          <w:rFonts w:ascii="Arial" w:cs="Arial" w:eastAsia="Arial" w:hAnsi="Arial"/>
          <w:sz w:val="16"/>
          <w:szCs w:val="16"/>
          <w:color w:val="auto"/>
        </w:rPr>
        <w:t>It is capable of assessing the merits of and understanding (on its own behalf or through independent professional advice),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understands and accepts, the terms, conditions and risks of that Transaction. It is capable of assuming, and assumes the risks of that Transaction.</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420"/>
          </w:cols>
          <w:pgMar w:left="240" w:top="261" w:right="239" w:bottom="1440" w:gutter="0" w:footer="0" w:header="0"/>
        </w:sectPr>
      </w:pPr>
    </w:p>
    <w:bookmarkStart w:id="46" w:name="page47"/>
    <w:bookmarkEnd w:id="46"/>
    <w:p>
      <w:pPr>
        <w:ind w:left="103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w:t>
      </w:r>
    </w:p>
    <w:p>
      <w:pPr>
        <w:spacing w:after="0" w:line="19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Please confirm that the foregoing correctly sets forth the terms of our agreement by executing a copy of this Confirmation and returning it to us or by sending to us a letter, telex or facsimile substantially similar to this letter, which letter, telex or facsimile sets forth the material terms of the Transaction to which this Confirmation relates and indicates agreement to those terms. When referring to this Confirmation, please indicate: JPMorgan Deal Number(s): 6900033659368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Carmine Pilla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Carmine Pilla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 as of the 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Gary W. Ferrera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EVP/CFO</w:t>
      </w:r>
    </w:p>
    <w:p>
      <w:pPr>
        <w:spacing w:after="0" w:line="9"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Your reference number:</w:t>
      </w:r>
      <w:r>
        <w:rPr>
          <w:sz w:val="20"/>
          <w:szCs w:val="20"/>
          <w:color w:val="auto"/>
        </w:rPr>
        <w:tab/>
      </w:r>
      <w:r>
        <w:rPr>
          <w:rFonts w:ascii="Arial" w:cs="Arial" w:eastAsia="Arial" w:hAnsi="Arial"/>
          <w:sz w:val="15"/>
          <w:szCs w:val="15"/>
          <w:color w:val="auto"/>
        </w:rPr>
        <w:t>6900033659368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20"/>
          </w:cols>
          <w:pgMar w:left="240" w:top="2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Service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queries regarding confirmations should be sent to: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90"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b w:val="1"/>
          <w:bCs w:val="1"/>
          <w:color w:val="auto"/>
        </w:rPr>
        <w:t>JPMorgan Contact</w:t>
      </w:r>
      <w:r>
        <w:rPr>
          <w:sz w:val="20"/>
          <w:szCs w:val="20"/>
          <w:color w:val="auto"/>
        </w:rPr>
        <w:tab/>
      </w:r>
      <w:r>
        <w:rPr>
          <w:rFonts w:ascii="Arial" w:cs="Arial" w:eastAsia="Arial" w:hAnsi="Arial"/>
          <w:sz w:val="15"/>
          <w:szCs w:val="15"/>
          <w:b w:val="1"/>
          <w:bCs w:val="1"/>
          <w:color w:val="auto"/>
        </w:rPr>
        <w:t>Telephone Number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Service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E-mail address:</w:t>
      </w:r>
    </w:p>
    <w:p>
      <w:pPr>
        <w:spacing w:after="0" w:line="2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Facsimile:</w:t>
      </w:r>
      <w:r>
        <w:rPr>
          <w:sz w:val="20"/>
          <w:szCs w:val="20"/>
          <w:color w:val="auto"/>
        </w:rPr>
        <w:tab/>
      </w:r>
      <w:r>
        <w:rPr>
          <w:rFonts w:ascii="Arial" w:cs="Arial" w:eastAsia="Arial" w:hAnsi="Arial"/>
          <w:sz w:val="18"/>
          <w:szCs w:val="18"/>
          <w:b w:val="1"/>
          <w:bCs w:val="1"/>
          <w:color w:val="auto"/>
        </w:rPr>
        <w:t>(001) 888 803 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quote JPMorgan deal number(s): 6900033659368.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420"/>
          </w:cols>
          <w:pgMar w:left="240" w:top="2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[BARCLAYS LOGO]</w:t>
            </w:r>
          </w:p>
        </w:tc>
        <w:tc>
          <w:tcPr>
            <w:tcW w:w="2240" w:type="dxa"/>
            <w:vAlign w:val="bottom"/>
          </w:tcPr>
          <w:p>
            <w:pPr>
              <w:ind w:left="380"/>
              <w:spacing w:after="0"/>
              <w:rPr>
                <w:sz w:val="20"/>
                <w:szCs w:val="20"/>
                <w:color w:val="auto"/>
              </w:rPr>
            </w:pPr>
            <w:r>
              <w:rPr>
                <w:rFonts w:ascii="Arial" w:cs="Arial" w:eastAsia="Arial" w:hAnsi="Arial"/>
                <w:sz w:val="18"/>
                <w:szCs w:val="18"/>
                <w:color w:val="auto"/>
                <w:w w:val="98"/>
              </w:rPr>
              <w:t>5 The North Colonnade</w:t>
            </w:r>
          </w:p>
        </w:tc>
      </w:tr>
      <w:tr>
        <w:trPr>
          <w:trHeight w:val="216"/>
        </w:trPr>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40" w:type="dxa"/>
            <w:vAlign w:val="bottom"/>
          </w:tcPr>
          <w:p>
            <w:pPr>
              <w:ind w:left="380"/>
              <w:spacing w:after="0"/>
              <w:rPr>
                <w:sz w:val="20"/>
                <w:szCs w:val="20"/>
                <w:color w:val="auto"/>
              </w:rPr>
            </w:pPr>
            <w:r>
              <w:rPr>
                <w:rFonts w:ascii="Arial" w:cs="Arial" w:eastAsia="Arial" w:hAnsi="Arial"/>
                <w:sz w:val="18"/>
                <w:szCs w:val="18"/>
                <w:color w:val="auto"/>
              </w:rPr>
              <w:t>Canary Wharf</w:t>
            </w:r>
          </w:p>
        </w:tc>
      </w:tr>
      <w:tr>
        <w:trPr>
          <w:trHeight w:val="216"/>
        </w:trPr>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40" w:type="dxa"/>
            <w:vAlign w:val="bottom"/>
          </w:tcPr>
          <w:p>
            <w:pPr>
              <w:ind w:left="380"/>
              <w:spacing w:after="0"/>
              <w:rPr>
                <w:sz w:val="20"/>
                <w:szCs w:val="20"/>
                <w:color w:val="auto"/>
              </w:rPr>
            </w:pPr>
            <w:r>
              <w:rPr>
                <w:rFonts w:ascii="Arial" w:cs="Arial" w:eastAsia="Arial" w:hAnsi="Arial"/>
                <w:sz w:val="18"/>
                <w:szCs w:val="18"/>
                <w:color w:val="auto"/>
              </w:rPr>
              <w:t>London</w:t>
            </w:r>
          </w:p>
        </w:tc>
      </w:tr>
      <w:tr>
        <w:trPr>
          <w:trHeight w:val="216"/>
        </w:trPr>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40" w:type="dxa"/>
            <w:vAlign w:val="bottom"/>
          </w:tcPr>
          <w:p>
            <w:pPr>
              <w:ind w:left="380"/>
              <w:spacing w:after="0"/>
              <w:rPr>
                <w:sz w:val="20"/>
                <w:szCs w:val="20"/>
                <w:color w:val="auto"/>
              </w:rPr>
            </w:pPr>
            <w:r>
              <w:rPr>
                <w:rFonts w:ascii="Arial" w:cs="Arial" w:eastAsia="Arial" w:hAnsi="Arial"/>
                <w:sz w:val="18"/>
                <w:szCs w:val="18"/>
                <w:color w:val="auto"/>
              </w:rPr>
              <w:t>E14 4BB</w:t>
            </w:r>
          </w:p>
        </w:tc>
      </w:tr>
      <w:tr>
        <w:trPr>
          <w:trHeight w:val="222"/>
        </w:trPr>
        <w:tc>
          <w:tcPr>
            <w:tcW w:w="1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40" w:type="dxa"/>
            <w:vAlign w:val="bottom"/>
          </w:tcPr>
          <w:p>
            <w:pPr>
              <w:ind w:left="380"/>
              <w:spacing w:after="0"/>
              <w:rPr>
                <w:sz w:val="20"/>
                <w:szCs w:val="20"/>
                <w:color w:val="auto"/>
              </w:rPr>
            </w:pPr>
            <w:r>
              <w:rPr>
                <w:rFonts w:ascii="Arial" w:cs="Arial" w:eastAsia="Arial" w:hAnsi="Arial"/>
                <w:sz w:val="18"/>
                <w:szCs w:val="18"/>
                <w:color w:val="auto"/>
              </w:rPr>
              <w:t>United Kingdom</w:t>
            </w:r>
          </w:p>
        </w:tc>
      </w:tr>
      <w:tr>
        <w:trPr>
          <w:trHeight w:val="297"/>
        </w:trPr>
        <w:tc>
          <w:tcPr>
            <w:tcW w:w="1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Arial" w:cs="Arial" w:eastAsia="Arial" w:hAnsi="Arial"/>
                <w:sz w:val="18"/>
                <w:szCs w:val="18"/>
                <w:color w:val="auto"/>
                <w:w w:val="88"/>
              </w:rPr>
              <w:t>Tel: +44 (0)20 7623 23 23</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4400" w:type="dxa"/>
            <w:vAlign w:val="bottom"/>
          </w:tcPr>
          <w:p>
            <w:pPr>
              <w:ind w:left="280"/>
              <w:spacing w:after="0"/>
              <w:rPr>
                <w:sz w:val="20"/>
                <w:szCs w:val="20"/>
                <w:color w:val="auto"/>
              </w:rPr>
            </w:pPr>
            <w:r>
              <w:rPr>
                <w:rFonts w:ascii="Arial" w:cs="Arial" w:eastAsia="Arial" w:hAnsi="Arial"/>
                <w:sz w:val="18"/>
                <w:szCs w:val="18"/>
                <w:color w:val="auto"/>
              </w:rPr>
              <w:t>NATIONAL CINEMEDIA LLC (the Counterparty”)</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Attn:</w:t>
            </w:r>
          </w:p>
        </w:tc>
        <w:tc>
          <w:tcPr>
            <w:tcW w:w="4400" w:type="dxa"/>
            <w:vAlign w:val="bottom"/>
          </w:tcPr>
          <w:p>
            <w:pPr>
              <w:ind w:left="280"/>
              <w:spacing w:after="0"/>
              <w:rPr>
                <w:sz w:val="20"/>
                <w:szCs w:val="20"/>
                <w:color w:val="auto"/>
              </w:rPr>
            </w:pPr>
            <w:r>
              <w:rPr>
                <w:rFonts w:ascii="Arial" w:cs="Arial" w:eastAsia="Arial" w:hAnsi="Arial"/>
                <w:sz w:val="18"/>
                <w:szCs w:val="18"/>
                <w:color w:val="auto"/>
              </w:rPr>
              <w:t>David Oddo</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Fax No:</w:t>
            </w:r>
          </w:p>
        </w:tc>
        <w:tc>
          <w:tcPr>
            <w:tcW w:w="4400" w:type="dxa"/>
            <w:vAlign w:val="bottom"/>
          </w:tcPr>
          <w:p>
            <w:pPr>
              <w:ind w:left="280"/>
              <w:spacing w:after="0"/>
              <w:rPr>
                <w:sz w:val="20"/>
                <w:szCs w:val="20"/>
                <w:color w:val="auto"/>
              </w:rPr>
            </w:pPr>
            <w:r>
              <w:rPr>
                <w:rFonts w:ascii="Arial" w:cs="Arial" w:eastAsia="Arial" w:hAnsi="Arial"/>
                <w:sz w:val="18"/>
                <w:szCs w:val="18"/>
                <w:color w:val="auto"/>
              </w:rPr>
              <w:t>0013037928829</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6640" w:type="dxa"/>
            <w:vAlign w:val="bottom"/>
            <w:gridSpan w:val="2"/>
          </w:tcPr>
          <w:p>
            <w:pPr>
              <w:ind w:left="280"/>
              <w:spacing w:after="0"/>
              <w:rPr>
                <w:sz w:val="20"/>
                <w:szCs w:val="20"/>
                <w:color w:val="auto"/>
              </w:rPr>
            </w:pPr>
            <w:r>
              <w:rPr>
                <w:rFonts w:ascii="Arial" w:cs="Arial" w:eastAsia="Arial" w:hAnsi="Arial"/>
                <w:sz w:val="18"/>
                <w:szCs w:val="18"/>
                <w:color w:val="auto"/>
              </w:rPr>
              <w:t>BARCLAYS BANK PLC (LONDON HEAD OFFICE) (“Barclays”)</w:t>
            </w: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400" w:type="dxa"/>
            <w:vAlign w:val="bottom"/>
          </w:tcPr>
          <w:p>
            <w:pPr>
              <w:ind w:left="280"/>
              <w:spacing w:after="0"/>
              <w:rPr>
                <w:sz w:val="20"/>
                <w:szCs w:val="20"/>
                <w:color w:val="auto"/>
              </w:rPr>
            </w:pPr>
            <w:r>
              <w:rPr>
                <w:rFonts w:ascii="Arial" w:cs="Arial" w:eastAsia="Arial" w:hAnsi="Arial"/>
                <w:sz w:val="18"/>
                <w:szCs w:val="18"/>
                <w:b w:val="1"/>
                <w:bCs w:val="1"/>
                <w:color w:val="auto"/>
              </w:rPr>
              <w:t>May 31, 2012</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Reference:</w:t>
            </w:r>
          </w:p>
        </w:tc>
        <w:tc>
          <w:tcPr>
            <w:tcW w:w="4400" w:type="dxa"/>
            <w:vAlign w:val="bottom"/>
          </w:tcPr>
          <w:p>
            <w:pPr>
              <w:ind w:left="280"/>
              <w:spacing w:after="0"/>
              <w:rPr>
                <w:sz w:val="20"/>
                <w:szCs w:val="20"/>
                <w:color w:val="auto"/>
              </w:rPr>
            </w:pPr>
            <w:r>
              <w:rPr>
                <w:rFonts w:ascii="Arial" w:cs="Arial" w:eastAsia="Arial" w:hAnsi="Arial"/>
                <w:sz w:val="18"/>
                <w:szCs w:val="18"/>
                <w:color w:val="auto"/>
              </w:rPr>
              <w:t>nyk0d28e0f2 / 3700890B / 2011824</w:t>
            </w:r>
          </w:p>
        </w:tc>
        <w:tc>
          <w:tcPr>
            <w:tcW w:w="2240" w:type="dxa"/>
            <w:vAlign w:val="bottom"/>
          </w:tcPr>
          <w:p>
            <w:pPr>
              <w:spacing w:after="0"/>
              <w:rPr>
                <w:sz w:val="24"/>
                <w:szCs w:val="24"/>
                <w:color w:val="auto"/>
              </w:rPr>
            </w:pPr>
          </w:p>
        </w:tc>
      </w:tr>
    </w:tbl>
    <w:p>
      <w:pPr>
        <w:spacing w:after="0" w:line="312"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PARTIAL CANCELLATION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Barclays and the Counterparty agree to the partial cancellation of the Interest Rate Swap Transaction detailed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Counterparty paid Barclays the sum of USD 10,504,000.00 on April 27, 2012</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Confirmation supplements, and forms a part of, that certain ISDA Master Agreement dated as of February 4, 2010, between Counterparty and Barclays and related Schedule and Confirmation.</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Barclays Account Details: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Correspondent:BARCLAYS BANK PLCC-NEW YORK</w:t>
      </w:r>
    </w:p>
    <w:p>
      <w:pPr>
        <w:spacing w:after="0" w:line="140"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ind w:left="5960"/>
        <w:spacing w:after="0"/>
        <w:rPr>
          <w:sz w:val="20"/>
          <w:szCs w:val="20"/>
          <w:color w:val="auto"/>
        </w:rPr>
      </w:pPr>
      <w:r>
        <w:rPr>
          <w:rFonts w:ascii="Arial" w:cs="Arial" w:eastAsia="Arial" w:hAnsi="Arial"/>
          <w:sz w:val="18"/>
          <w:szCs w:val="18"/>
          <w:color w:val="auto"/>
        </w:rPr>
        <w:t>BIC:BARCUS33XXX</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Account:050019228</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Beneficiary:BARCLAYS BANK PLC</w:t>
      </w:r>
    </w:p>
    <w:p>
      <w:pPr>
        <w:sectPr>
          <w:pgSz w:w="11900" w:h="16838" w:orient="portrait"/>
          <w:cols w:equalWidth="0" w:num="1">
            <w:col w:w="11420"/>
          </w:cols>
          <w:pgMar w:left="240" w:top="125"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Notional Amount: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80"/>
        <w:spacing w:after="0"/>
        <w:rPr>
          <w:sz w:val="20"/>
          <w:szCs w:val="20"/>
          <w:color w:val="auto"/>
        </w:rPr>
      </w:pPr>
      <w:r>
        <w:rPr>
          <w:rFonts w:ascii="Arial" w:cs="Arial" w:eastAsia="Arial" w:hAnsi="Arial"/>
          <w:sz w:val="15"/>
          <w:szCs w:val="15"/>
          <w:color w:val="auto"/>
        </w:rPr>
        <w:t>USD 137,500,000.00</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Notional Amount: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4060"/>
        <w:spacing w:after="0"/>
        <w:rPr>
          <w:sz w:val="20"/>
          <w:szCs w:val="20"/>
          <w:color w:val="auto"/>
        </w:rPr>
      </w:pPr>
      <w:r>
        <w:rPr>
          <w:rFonts w:ascii="Arial" w:cs="Arial" w:eastAsia="Arial" w:hAnsi="Arial"/>
          <w:sz w:val="15"/>
          <w:szCs w:val="15"/>
          <w:color w:val="auto"/>
        </w:rPr>
        <w:t>USD 56,250,000.00</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Notional Amount Effective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March 13, 2012</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February 4, 2010</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February 13, 2015; </w:t>
      </w:r>
      <w:r>
        <w:rPr>
          <w:rFonts w:ascii="Arial" w:cs="Arial" w:eastAsia="Arial" w:hAnsi="Arial"/>
          <w:sz w:val="18"/>
          <w:szCs w:val="18"/>
          <w:b w:val="1"/>
          <w:bCs w:val="1"/>
          <w:color w:val="auto"/>
        </w:rPr>
        <w:t>subject to adjustment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accordance with the Modified Following Business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Convention</w:t>
      </w:r>
    </w:p>
    <w:p>
      <w:pPr>
        <w:spacing w:after="0" w:line="200"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Rate Payer: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4540"/>
        <w:spacing w:after="0"/>
        <w:rPr>
          <w:sz w:val="20"/>
          <w:szCs w:val="20"/>
          <w:color w:val="auto"/>
        </w:rPr>
      </w:pPr>
      <w:r>
        <w:rPr>
          <w:rFonts w:ascii="Arial" w:cs="Arial" w:eastAsia="Arial" w:hAnsi="Arial"/>
          <w:sz w:val="15"/>
          <w:szCs w:val="15"/>
          <w:color w:val="auto"/>
        </w:rPr>
        <w:t>Counterparty</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Floating Rate Payer: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4860"/>
        <w:spacing w:after="0"/>
        <w:rPr>
          <w:sz w:val="20"/>
          <w:szCs w:val="20"/>
          <w:color w:val="auto"/>
        </w:rPr>
      </w:pPr>
      <w:r>
        <w:rPr>
          <w:rFonts w:ascii="Arial" w:cs="Arial" w:eastAsia="Arial" w:hAnsi="Arial"/>
          <w:sz w:val="15"/>
          <w:szCs w:val="15"/>
          <w:color w:val="auto"/>
        </w:rPr>
        <w:t>Barclays</w:t>
      </w:r>
    </w:p>
    <w:p>
      <w:pPr>
        <w:spacing w:after="0" w:line="205"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Rate: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4.984% per annum</w:t>
      </w:r>
    </w:p>
    <w:p>
      <w:pPr>
        <w:spacing w:after="0" w:line="192"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ind w:right="60"/>
        <w:spacing w:after="0" w:line="259" w:lineRule="auto"/>
        <w:rPr>
          <w:sz w:val="20"/>
          <w:szCs w:val="20"/>
          <w:color w:val="auto"/>
        </w:rPr>
      </w:pPr>
      <w:r>
        <w:rPr>
          <w:rFonts w:ascii="Arial" w:cs="Arial" w:eastAsia="Arial" w:hAnsi="Arial"/>
          <w:sz w:val="18"/>
          <w:szCs w:val="18"/>
          <w:color w:val="auto"/>
        </w:rPr>
        <w:t>Barclays offers premier investment banking products and services to its clients through Barclays Bank PLC. Barclays Bank PLC is authorised and regulated by the UK Financial Services Authority and a member of the London Stock Exchange. Barclays Bank PLC is registered in England No. 1026167. Registered Office: 1 Churchill Place, London E14 5HP.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Page 1 of 2 -</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5"/>
          <w:szCs w:val="15"/>
          <w:b w:val="1"/>
          <w:bCs w:val="1"/>
          <w:color w:val="auto"/>
        </w:rPr>
        <w:t>Spread</w:t>
      </w:r>
    </w:p>
    <w:p>
      <w:pPr>
        <w:spacing w:after="0" w:line="20" w:lineRule="exact"/>
        <w:rPr>
          <w:sz w:val="20"/>
          <w:szCs w:val="20"/>
          <w:color w:val="auto"/>
        </w:rPr>
      </w:pPr>
      <w:r>
        <w:rPr>
          <w:sz w:val="20"/>
          <w:szCs w:val="20"/>
          <w:color w:val="auto"/>
        </w:rPr>
        <w:br w:type="column"/>
      </w:r>
    </w:p>
    <w:p>
      <w:pPr>
        <w:jc w:val="center"/>
        <w:ind w:right="508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-198120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Provision: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Notwithstanding the effective date of April 27, 2012 for the cancellation provided for hereby, the parties hereto agree that the Notional Amount of the Transaction canceled hereby is, for calculation purposes, deemed to be canceled on the New Notional Amount Effective Date.</w:t>
      </w:r>
    </w:p>
    <w:p>
      <w:pPr>
        <w:spacing w:after="0" w:line="113"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ind w:right="160"/>
        <w:spacing w:after="0" w:line="294" w:lineRule="auto"/>
        <w:rPr>
          <w:sz w:val="20"/>
          <w:szCs w:val="20"/>
          <w:color w:val="auto"/>
        </w:rPr>
      </w:pPr>
      <w:r>
        <w:rPr>
          <w:rFonts w:ascii="Arial" w:cs="Arial" w:eastAsia="Arial" w:hAnsi="Arial"/>
          <w:sz w:val="16"/>
          <w:szCs w:val="16"/>
          <w:color w:val="auto"/>
        </w:rPr>
        <w:t>Please confirm that the foregoing correctly sets forth all the terms and conditions of our agreement with respect to the Swap Transaction by responding within three (3) Business Days by promptly signing in the space provided below and both (i) faxing the signed copy to Incoming Transaction Documentation, Barclays Global OTC Transaction Documentation &amp; Management, Global Operations, Fax +(1) 212 412 1211, Tel +(1) 212 412 1918, Email: GTDMUSIncomingDocume@barclays.com and (ii) mailing the signed copy to Barclays, 3</w:t>
      </w:r>
      <w:r>
        <w:rPr>
          <w:rFonts w:ascii="Arial" w:cs="Arial" w:eastAsia="Arial" w:hAnsi="Arial"/>
          <w:sz w:val="10"/>
          <w:szCs w:val="10"/>
          <w:color w:val="auto"/>
        </w:rPr>
        <w:t>rd</w:t>
      </w:r>
      <w:r>
        <w:rPr>
          <w:rFonts w:ascii="Arial" w:cs="Arial" w:eastAsia="Arial" w:hAnsi="Arial"/>
          <w:sz w:val="16"/>
          <w:szCs w:val="16"/>
          <w:color w:val="auto"/>
        </w:rPr>
        <w:t xml:space="preserve"> Floor, 200 Park Avenue, New York, NY 10166, USA. Attention of Incoming Transaction Documentation, Barclays Global OTC Transaction Documentation &amp; Management, Global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BARCLAYS BANK PLC</w:t>
            </w: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NATIONAL CINEMEDIA, LLC</w:t>
            </w:r>
          </w:p>
        </w:tc>
      </w:tr>
      <w:tr>
        <w:trPr>
          <w:trHeight w:val="432"/>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3"/>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Chibowski</w:t>
            </w:r>
          </w:p>
        </w:tc>
        <w:tc>
          <w:tcPr>
            <w:tcW w:w="20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NAME: Robert Chibowski</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 Gary W. Ferrera</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Authorised Signatory</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Authorised Signatory</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Date: 31 May 2012</w:t>
            </w:r>
          </w:p>
        </w:tc>
        <w:tc>
          <w:tcPr>
            <w:tcW w:w="2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Date: May 31, 2012</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May 31, 2012</w:t>
            </w: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65"/>
        </w:trPr>
        <w:tc>
          <w:tcPr>
            <w:tcW w:w="3560" w:type="dxa"/>
            <w:vAlign w:val="bottom"/>
          </w:tcPr>
          <w:p>
            <w:pPr>
              <w:spacing w:after="0"/>
              <w:rPr>
                <w:sz w:val="24"/>
                <w:szCs w:val="24"/>
                <w:color w:val="auto"/>
              </w:rPr>
            </w:pPr>
          </w:p>
        </w:tc>
        <w:tc>
          <w:tcPr>
            <w:tcW w:w="7860" w:type="dxa"/>
            <w:vAlign w:val="bottom"/>
            <w:gridSpan w:val="3"/>
          </w:tcPr>
          <w:p>
            <w:pPr>
              <w:ind w:left="1640"/>
              <w:spacing w:after="0"/>
              <w:rPr>
                <w:sz w:val="20"/>
                <w:szCs w:val="20"/>
                <w:color w:val="auto"/>
              </w:rPr>
            </w:pPr>
            <w:r>
              <w:rPr>
                <w:rFonts w:ascii="Arial" w:cs="Arial" w:eastAsia="Arial" w:hAnsi="Arial"/>
                <w:sz w:val="18"/>
                <w:szCs w:val="18"/>
                <w:b w:val="1"/>
                <w:bCs w:val="1"/>
                <w:color w:val="auto"/>
              </w:rPr>
              <w:t>- Page 2 of 2 -</w:t>
            </w:r>
          </w:p>
        </w:tc>
      </w:tr>
    </w:tbl>
    <w:p>
      <w:pPr>
        <w:sectPr>
          <w:pgSz w:w="11900" w:h="16838" w:orient="portrait"/>
          <w:cols w:equalWidth="0" w:num="1">
            <w:col w:w="11420"/>
          </w:cols>
          <w:pgMar w:left="240" w:top="274"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28, 2012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3,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28, 2012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3, 2012</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1."/>
      <w:numFmt w:val="decimal"/>
      <w:start w:val="4"/>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8"/>
    </w:lvl>
  </w:abstractNum>
  <w:abstractNum w:abstractNumId="16">
    <w:nsid w:val="2CA88611"/>
    <w:multiLevelType w:val="hybridMultilevel"/>
    <w:lvl w:ilvl="0">
      <w:lvlJc w:val="left"/>
      <w:lvlText w:val="%1."/>
      <w:numFmt w:val="decimal"/>
      <w:start w:val="9"/>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6"/>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2"/>
    </w:lvl>
  </w:abstractNum>
  <w:abstractNum w:abstractNumId="27">
    <w:nsid w:val="3006C83E"/>
    <w:multiLevelType w:val="hybridMultilevel"/>
    <w:lvl w:ilvl="0">
      <w:lvlJc w:val="left"/>
      <w:lvlText w:val="3"/>
      <w:numFmt w:val="bullet"/>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2019-12-09T19:17:35Z</dcterms:created>
  <dcterms:modified xsi:type="dcterms:W3CDTF">2019-12-09T19:17:35Z</dcterms:modified>
</cp:coreProperties>
</file>