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26, 2019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001-33296</w:t>
      </w:r>
    </w:p>
    <w:p>
      <w:pPr>
        <w:spacing w:after="0" w:line="7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83820</wp:posOffset>
            </wp:positionV>
            <wp:extent cx="140652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6525" cy="27432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1380"/>
          </w:cols>
          <w:pgMar w:left="240" w:top="957" w:right="279" w:bottom="1440" w:gutter="0" w:footer="0" w:header="0"/>
        </w:sectPr>
      </w:pPr>
    </w:p>
    <w:p>
      <w:pPr>
        <w:spacing w:after="0" w:line="168"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20-5665602</w:t>
      </w:r>
    </w:p>
    <w:p>
      <w:pPr>
        <w:spacing w:after="0" w:line="72" w:lineRule="exact"/>
        <w:rPr>
          <w:sz w:val="24"/>
          <w:szCs w:val="24"/>
          <w:color w:val="auto"/>
        </w:rPr>
      </w:pPr>
    </w:p>
    <w:p>
      <w:pPr>
        <w:sectPr>
          <w:pgSz w:w="11900" w:h="16838" w:orient="portrait"/>
          <w:cols w:equalWidth="0" w:num="2">
            <w:col w:w="7520" w:space="720"/>
            <w:col w:w="3140"/>
          </w:cols>
          <w:pgMar w:left="240" w:top="957" w:right="27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7380" w:space="720"/>
            <w:col w:w="3280"/>
          </w:cols>
          <w:pgMar w:left="240" w:top="957" w:right="27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7"/>
          <w:szCs w:val="17"/>
          <w:b w:val="1"/>
          <w:bCs w:val="1"/>
          <w:color w:val="auto"/>
        </w:rPr>
        <w:t>6300 S. Syracuse Way, Suite 300</w:t>
      </w:r>
    </w:p>
    <w:p>
      <w:pPr>
        <w:spacing w:after="0" w:line="4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Centennial, Colorado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80111</w:t>
      </w:r>
    </w:p>
    <w:p>
      <w:pPr>
        <w:spacing w:after="0" w:line="71" w:lineRule="exact"/>
        <w:rPr>
          <w:sz w:val="24"/>
          <w:szCs w:val="24"/>
          <w:color w:val="auto"/>
        </w:rPr>
      </w:pPr>
    </w:p>
    <w:p>
      <w:pPr>
        <w:sectPr>
          <w:pgSz w:w="11900" w:h="16838" w:orient="portrait"/>
          <w:cols w:equalWidth="0" w:num="2">
            <w:col w:w="7720" w:space="720"/>
            <w:col w:w="2940"/>
          </w:cols>
          <w:pgMar w:left="240" w:top="957" w:right="27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5" w:lineRule="exact"/>
        <w:rPr>
          <w:sz w:val="24"/>
          <w:szCs w:val="24"/>
          <w:color w:val="auto"/>
        </w:rPr>
      </w:pPr>
    </w:p>
    <w:p>
      <w:pPr>
        <w:sectPr>
          <w:pgSz w:w="11900" w:h="16838" w:orient="portrait"/>
          <w:cols w:equalWidth="0" w:num="2">
            <w:col w:w="7620" w:space="720"/>
            <w:col w:w="3040"/>
          </w:cols>
          <w:pgMar w:left="240" w:top="957" w:right="2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(303) 792-3600</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80"/>
          </w:cols>
          <w:pgMar w:left="240" w:top="957" w:right="279" w:bottom="1440" w:gutter="0" w:footer="0" w:header="0"/>
          <w:type w:val="continuous"/>
        </w:sectPr>
      </w:pPr>
    </w:p>
    <w:p>
      <w:pPr>
        <w:spacing w:after="0" w:line="16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400" w:space="720"/>
            <w:col w:w="1940" w:space="720"/>
            <w:col w:w="3600"/>
          </w:cols>
          <w:pgMar w:left="240" w:top="957" w:right="27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NCMI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47" w:lineRule="exact"/>
        <w:rPr>
          <w:sz w:val="24"/>
          <w:szCs w:val="24"/>
          <w:color w:val="auto"/>
        </w:rPr>
      </w:pPr>
    </w:p>
    <w:p>
      <w:pPr>
        <w:sectPr>
          <w:pgSz w:w="11900" w:h="16838" w:orient="portrait"/>
          <w:cols w:equalWidth="0" w:num="3">
            <w:col w:w="4640" w:space="720"/>
            <w:col w:w="1820" w:space="720"/>
            <w:col w:w="3480"/>
          </w:cols>
          <w:pgMar w:left="240" w:top="957" w:right="27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1380"/>
          </w:cols>
          <w:pgMar w:left="240" w:top="957" w:right="279" w:bottom="1440" w:gutter="0" w:footer="0" w:header="0"/>
          <w:type w:val="continuous"/>
        </w:sectPr>
      </w:pPr>
    </w:p>
    <w:p>
      <w:pPr>
        <w:spacing w:after="0" w:line="27" w:lineRule="exact"/>
        <w:rPr>
          <w:sz w:val="24"/>
          <w:szCs w:val="24"/>
          <w:color w:val="auto"/>
        </w:rPr>
      </w:pPr>
    </w:p>
    <w:p>
      <w:pPr>
        <w:ind w:right="440"/>
        <w:spacing w:after="0" w:line="2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2" w:lineRule="exact"/>
        <w:rPr>
          <w:sz w:val="24"/>
          <w:szCs w:val="24"/>
          <w:color w:val="auto"/>
        </w:rPr>
      </w:pPr>
    </w:p>
    <w:p>
      <w:pPr>
        <w:ind w:right="50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7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w:t>
            </w:r>
          </w:p>
        </w:tc>
      </w:tr>
      <w:tr>
        <w:trPr>
          <w:trHeight w:val="419"/>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10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5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November 1, 2019, 79,241,224 shares of the registrant’s common stock (including unvested restricted shares), par value of $0.01 per share, were outstanding.</w:t>
      </w:r>
    </w:p>
    <w:p>
      <w:pPr>
        <w:sectPr>
          <w:pgSz w:w="11900" w:h="16838" w:orient="portrait"/>
          <w:cols w:equalWidth="0" w:num="1">
            <w:col w:w="11380"/>
          </w:cols>
          <w:pgMar w:left="240" w:top="957" w:right="27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20"/>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w:t>
              </w:r>
            </w:hyperlink>
          </w:p>
        </w:tc>
        <w:tc>
          <w:tcPr>
            <w:tcW w:w="318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426"/>
        </w:trPr>
        <w:tc>
          <w:tcPr>
            <w:tcW w:w="1260" w:type="dxa"/>
            <w:vAlign w:val="bottom"/>
            <w:gridSpan w:val="2"/>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1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6400" w:type="dxa"/>
            <w:vAlign w:val="bottom"/>
            <w:gridSpan w:val="14"/>
          </w:tcPr>
          <w:p>
            <w:pPr>
              <w:spacing w:after="0"/>
              <w:rPr>
                <w:sz w:val="24"/>
                <w:szCs w:val="24"/>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w:t>
              </w:r>
            </w:hyperlink>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Income and Comprehensive Income</w:t>
              </w:r>
            </w:hyperlink>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w:t>
              </w:r>
            </w:hyperlink>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6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w:t>
              </w:r>
            </w:hyperlink>
          </w:p>
        </w:tc>
        <w:tc>
          <w:tcPr>
            <w:tcW w:w="1400" w:type="dxa"/>
            <w:vAlign w:val="bottom"/>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Condensed Consolidated Statements of Equity/(Deficit)</w:t>
              </w:r>
            </w:hyperlink>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5</w:t>
              </w:r>
            </w:hyperlink>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0" w:type="dxa"/>
            <w:vAlign w:val="bottom"/>
            <w:tcBorders>
              <w:top w:val="single" w:sz="8" w:color="0000EE"/>
            </w:tcBorders>
            <w:gridSpan w:val="16"/>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Condensed Consolidated Financial Statements</w:t>
              </w:r>
            </w:hyperlink>
          </w:p>
        </w:tc>
        <w:tc>
          <w:tcPr>
            <w:tcW w:w="2860" w:type="dxa"/>
            <w:vAlign w:val="bottom"/>
            <w:gridSpan w:val="3"/>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Item 2.</w:t>
              </w:r>
            </w:hyperlink>
          </w:p>
        </w:tc>
        <w:tc>
          <w:tcPr>
            <w:tcW w:w="6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440" w:type="dxa"/>
            <w:vAlign w:val="bottom"/>
            <w:gridSpan w:val="2"/>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23</w:t>
              </w:r>
            </w:hyperlink>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Item 3.</w:t>
              </w:r>
            </w:hyperlink>
          </w:p>
        </w:tc>
        <w:tc>
          <w:tcPr>
            <w:tcW w:w="4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Quantitative and Qualitative Disclosures about Market Risk</w:t>
              </w:r>
            </w:hyperlink>
          </w:p>
        </w:tc>
        <w:tc>
          <w:tcPr>
            <w:tcW w:w="3600" w:type="dxa"/>
            <w:vAlign w:val="bottom"/>
            <w:gridSpan w:val="8"/>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36</w:t>
              </w:r>
            </w:hyperlink>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Item 4.</w:t>
              </w:r>
            </w:hyperlink>
          </w:p>
        </w:tc>
        <w:tc>
          <w:tcPr>
            <w:tcW w:w="7900" w:type="dxa"/>
            <w:vAlign w:val="bottom"/>
            <w:gridSpan w:val="20"/>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Controls and Procedures</w:t>
              </w:r>
            </w:hyperlink>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36</w:t>
              </w:r>
            </w:hyperlink>
          </w:p>
        </w:tc>
      </w:tr>
      <w:tr>
        <w:trPr>
          <w:trHeight w:val="520"/>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40" w:type="dxa"/>
            <w:vAlign w:val="bottom"/>
            <w:gridSpan w:val="11"/>
          </w:tcPr>
          <w:p>
            <w:pPr>
              <w:jc w:val="center"/>
              <w:ind w:right="3020"/>
              <w:spacing w:after="0"/>
              <w:rPr>
                <w:rFonts w:ascii="Times New Roman" w:cs="Times New Roman" w:eastAsia="Times New Roman" w:hAnsi="Times New Roman"/>
                <w:sz w:val="18"/>
                <w:szCs w:val="18"/>
                <w:b w:val="1"/>
                <w:bCs w:val="1"/>
                <w:color w:val="0000EE"/>
                <w:w w:val="94"/>
              </w:rPr>
            </w:pPr>
            <w:hyperlink w:anchor="page38">
              <w:r>
                <w:rPr>
                  <w:rFonts w:ascii="Times New Roman" w:cs="Times New Roman" w:eastAsia="Times New Roman" w:hAnsi="Times New Roman"/>
                  <w:sz w:val="18"/>
                  <w:szCs w:val="18"/>
                  <w:b w:val="1"/>
                  <w:bCs w:val="1"/>
                  <w:color w:val="0000EE"/>
                  <w:w w:val="94"/>
                </w:rPr>
                <w:t>PART II</w:t>
              </w:r>
            </w:hyperlink>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260" w:type="dxa"/>
            <w:vAlign w:val="bottom"/>
            <w:gridSpan w:val="2"/>
          </w:tcPr>
          <w:p>
            <w:pPr>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Item 1.</w:t>
              </w:r>
            </w:hyperlink>
          </w:p>
        </w:tc>
        <w:tc>
          <w:tcPr>
            <w:tcW w:w="4100" w:type="dxa"/>
            <w:vAlign w:val="bottom"/>
            <w:gridSpan w:val="10"/>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Legal Proceedings</w:t>
              </w:r>
            </w:hyperlink>
          </w:p>
        </w:tc>
        <w:tc>
          <w:tcPr>
            <w:tcW w:w="640" w:type="dxa"/>
            <w:vAlign w:val="bottom"/>
            <w:tcBorders>
              <w:top w:val="single" w:sz="8" w:color="0000EE"/>
            </w:tcBorders>
            <w:gridSpan w:val="5"/>
          </w:tcPr>
          <w:p>
            <w:pPr>
              <w:spacing w:after="0"/>
              <w:rPr>
                <w:sz w:val="24"/>
                <w:szCs w:val="24"/>
                <w:color w:val="auto"/>
              </w:rPr>
            </w:pPr>
          </w:p>
        </w:tc>
        <w:tc>
          <w:tcPr>
            <w:tcW w:w="3160" w:type="dxa"/>
            <w:vAlign w:val="bottom"/>
            <w:gridSpan w:val="5"/>
          </w:tcPr>
          <w:p>
            <w:pPr>
              <w:spacing w:after="0"/>
              <w:rPr>
                <w:sz w:val="24"/>
                <w:szCs w:val="24"/>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36</w:t>
              </w:r>
            </w:hyperlink>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Item 1A.</w:t>
              </w:r>
            </w:hyperlink>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1"/>
                <w:szCs w:val="21"/>
                <w:color w:val="auto"/>
              </w:rPr>
            </w:pPr>
          </w:p>
        </w:tc>
        <w:tc>
          <w:tcPr>
            <w:tcW w:w="6580" w:type="dxa"/>
            <w:vAlign w:val="bottom"/>
            <w:gridSpan w:val="15"/>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36</w:t>
              </w:r>
            </w:hyperlink>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Item 2.</w:t>
              </w:r>
            </w:hyperlink>
          </w:p>
        </w:tc>
        <w:tc>
          <w:tcPr>
            <w:tcW w:w="43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Unregistered Sales of Equity Securities and Use of Proceeds</w:t>
              </w:r>
            </w:hyperlink>
          </w:p>
        </w:tc>
        <w:tc>
          <w:tcPr>
            <w:tcW w:w="3560" w:type="dxa"/>
            <w:vAlign w:val="bottom"/>
            <w:gridSpan w:val="7"/>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49</w:t>
              </w:r>
            </w:hyperlink>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Item 3.</w:t>
              </w:r>
            </w:hyperlink>
          </w:p>
        </w:tc>
        <w:tc>
          <w:tcPr>
            <w:tcW w:w="23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Defaults Upon Senior Securities</w:t>
              </w:r>
            </w:hyperlink>
          </w:p>
        </w:tc>
        <w:tc>
          <w:tcPr>
            <w:tcW w:w="5580" w:type="dxa"/>
            <w:vAlign w:val="bottom"/>
            <w:gridSpan w:val="12"/>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49</w:t>
              </w:r>
            </w:hyperlink>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Item 4.</w:t>
              </w:r>
            </w:hyperlink>
          </w:p>
        </w:tc>
        <w:tc>
          <w:tcPr>
            <w:tcW w:w="7900" w:type="dxa"/>
            <w:vAlign w:val="bottom"/>
            <w:gridSpan w:val="20"/>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Mine Safety Disclosures</w:t>
              </w:r>
            </w:hyperlink>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49</w:t>
              </w:r>
            </w:hyperlink>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Item 5.</w:t>
              </w:r>
            </w:hyperlink>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Other Information</w:t>
              </w:r>
            </w:hyperlink>
          </w:p>
        </w:tc>
        <w:tc>
          <w:tcPr>
            <w:tcW w:w="6140" w:type="dxa"/>
            <w:vAlign w:val="bottom"/>
            <w:gridSpan w:val="13"/>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49</w:t>
              </w:r>
            </w:hyperlink>
          </w:p>
        </w:tc>
      </w:tr>
      <w:tr>
        <w:trPr>
          <w:trHeight w:val="250"/>
        </w:trPr>
        <w:tc>
          <w:tcPr>
            <w:tcW w:w="1260" w:type="dxa"/>
            <w:vAlign w:val="bottom"/>
            <w:gridSpan w:val="2"/>
          </w:tcPr>
          <w:p>
            <w:pPr>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Item 6.</w:t>
              </w:r>
            </w:hyperlink>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Exhibits</w:t>
              </w:r>
            </w:hyperlink>
          </w:p>
        </w:tc>
        <w:tc>
          <w:tcPr>
            <w:tcW w:w="6600" w:type="dxa"/>
            <w:vAlign w:val="bottom"/>
            <w:gridSpan w:val="16"/>
          </w:tcPr>
          <w:p>
            <w:pPr>
              <w:spacing w:after="0"/>
              <w:rPr>
                <w:sz w:val="21"/>
                <w:szCs w:val="21"/>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50</w:t>
              </w:r>
            </w:hyperlink>
          </w:p>
        </w:tc>
      </w:tr>
      <w:tr>
        <w:trPr>
          <w:trHeight w:val="520"/>
        </w:trPr>
        <w:tc>
          <w:tcPr>
            <w:tcW w:w="76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Signatures</w:t>
              </w:r>
            </w:hyperlink>
          </w:p>
        </w:tc>
        <w:tc>
          <w:tcPr>
            <w:tcW w:w="5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gridSpan w:val="3"/>
          </w:tcPr>
          <w:p>
            <w:pPr>
              <w:jc w:val="right"/>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51</w:t>
              </w:r>
            </w:hyperlink>
          </w:p>
        </w:tc>
      </w:tr>
    </w:tbl>
    <w:p>
      <w:pPr>
        <w:sectPr>
          <w:pgSz w:w="11900" w:h="16838" w:orient="portrait"/>
          <w:cols w:equalWidth="0" w:num="1">
            <w:col w:w="11360"/>
          </w:cols>
          <w:pgMar w:left="280" w:top="360"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80" w:type="dxa"/>
            <w:vAlign w:val="bottom"/>
          </w:tcPr>
          <w:p>
            <w:pPr>
              <w:spacing w:after="0"/>
              <w:rPr>
                <w:sz w:val="16"/>
                <w:szCs w:val="16"/>
                <w:color w:val="auto"/>
              </w:rPr>
            </w:pPr>
          </w:p>
        </w:tc>
        <w:tc>
          <w:tcPr>
            <w:tcW w:w="15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27, 2018</w:t>
            </w:r>
          </w:p>
        </w:tc>
        <w:tc>
          <w:tcPr>
            <w:tcW w:w="0" w:type="dxa"/>
            <w:vAlign w:val="bottom"/>
          </w:tcPr>
          <w:p>
            <w:pPr>
              <w:spacing w:after="0"/>
              <w:rPr>
                <w:sz w:val="1"/>
                <w:szCs w:val="1"/>
                <w:color w:val="auto"/>
              </w:rPr>
            </w:pPr>
          </w:p>
        </w:tc>
      </w:tr>
      <w:tr>
        <w:trPr>
          <w:trHeight w:val="269"/>
        </w:trPr>
        <w:tc>
          <w:tcPr>
            <w:tcW w:w="7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9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CURRENT ASSETS: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65"/>
        </w:trPr>
        <w:tc>
          <w:tcPr>
            <w:tcW w:w="7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Short-term marketable securities</w:t>
            </w:r>
          </w:p>
        </w:tc>
        <w:tc>
          <w:tcPr>
            <w:tcW w:w="18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Receivables, net of allowance of $5.7 and $6.0, respectively</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149.9</w:t>
            </w:r>
          </w:p>
        </w:tc>
        <w:tc>
          <w:tcPr>
            <w:tcW w:w="0" w:type="dxa"/>
            <w:vAlign w:val="bottom"/>
          </w:tcPr>
          <w:p>
            <w:pPr>
              <w:spacing w:after="0"/>
              <w:rPr>
                <w:sz w:val="1"/>
                <w:szCs w:val="1"/>
                <w:color w:val="auto"/>
              </w:rPr>
            </w:pPr>
          </w:p>
        </w:tc>
      </w:tr>
      <w:tr>
        <w:trPr>
          <w:trHeight w:val="265"/>
        </w:trPr>
        <w:tc>
          <w:tcPr>
            <w:tcW w:w="7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Income tax receivable</w:t>
            </w:r>
          </w:p>
        </w:tc>
        <w:tc>
          <w:tcPr>
            <w:tcW w:w="18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Amounts due from founding members, net</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4"/>
        </w:trPr>
        <w:tc>
          <w:tcPr>
            <w:tcW w:w="7900" w:type="dxa"/>
            <w:vAlign w:val="bottom"/>
          </w:tcPr>
          <w:p>
            <w:pPr>
              <w:ind w:left="500"/>
              <w:spacing w:after="0" w:line="144" w:lineRule="exact"/>
              <w:rPr>
                <w:sz w:val="20"/>
                <w:szCs w:val="20"/>
                <w:color w:val="auto"/>
              </w:rPr>
            </w:pPr>
            <w:r>
              <w:rPr>
                <w:rFonts w:ascii="Times New Roman" w:cs="Times New Roman" w:eastAsia="Times New Roman" w:hAnsi="Times New Roman"/>
                <w:sz w:val="13"/>
                <w:szCs w:val="13"/>
                <w:color w:val="auto"/>
              </w:rPr>
              <w:t>Current portion of notes receivable - founding members (including receivables from related parties</w:t>
            </w:r>
          </w:p>
        </w:tc>
        <w:tc>
          <w:tcPr>
            <w:tcW w:w="180" w:type="dxa"/>
            <w:vAlign w:val="bottom"/>
          </w:tcPr>
          <w:p>
            <w:pPr>
              <w:spacing w:after="0"/>
              <w:rPr>
                <w:sz w:val="12"/>
                <w:szCs w:val="12"/>
                <w:color w:val="auto"/>
              </w:rPr>
            </w:pP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5"/>
        </w:trPr>
        <w:tc>
          <w:tcPr>
            <w:tcW w:w="790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of $2.8 and $4.2, respectively)</w:t>
            </w:r>
          </w:p>
        </w:tc>
        <w:tc>
          <w:tcPr>
            <w:tcW w:w="1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50"/>
        </w:trPr>
        <w:tc>
          <w:tcPr>
            <w:tcW w:w="79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230.9</w:t>
            </w: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NON-CURRENT ASSETS: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$70.0 and $62.5, respectively</w:t>
            </w:r>
          </w:p>
        </w:tc>
        <w:tc>
          <w:tcPr>
            <w:tcW w:w="18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Intangible assets, net of accumulated amortization of $193.0 and $172.7, respectively</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684.5</w:t>
            </w:r>
          </w:p>
        </w:tc>
        <w:tc>
          <w:tcPr>
            <w:tcW w:w="0" w:type="dxa"/>
            <w:vAlign w:val="bottom"/>
          </w:tcPr>
          <w:p>
            <w:pPr>
              <w:spacing w:after="0"/>
              <w:rPr>
                <w:sz w:val="1"/>
                <w:szCs w:val="1"/>
                <w:color w:val="auto"/>
              </w:rPr>
            </w:pPr>
          </w:p>
        </w:tc>
      </w:tr>
      <w:tr>
        <w:trPr>
          <w:trHeight w:val="265"/>
        </w:trPr>
        <w:tc>
          <w:tcPr>
            <w:tcW w:w="7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Deferred tax assets, net of valuation allowance of $78.9 and $80.1, respectively</w:t>
            </w:r>
          </w:p>
        </w:tc>
        <w:tc>
          <w:tcPr>
            <w:tcW w:w="18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investments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65"/>
        </w:trPr>
        <w:tc>
          <w:tcPr>
            <w:tcW w:w="7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Long-term marketable securities</w:t>
            </w:r>
          </w:p>
        </w:tc>
        <w:tc>
          <w:tcPr>
            <w:tcW w:w="18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Debt issuance costs, net</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65"/>
        </w:trPr>
        <w:tc>
          <w:tcPr>
            <w:tcW w:w="7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50"/>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Total non-current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910.9</w:t>
            </w:r>
          </w:p>
        </w:tc>
        <w:tc>
          <w:tcPr>
            <w:tcW w:w="0" w:type="dxa"/>
            <w:vAlign w:val="bottom"/>
          </w:tcPr>
          <w:p>
            <w:pPr>
              <w:spacing w:after="0"/>
              <w:rPr>
                <w:sz w:val="1"/>
                <w:szCs w:val="1"/>
                <w:color w:val="auto"/>
              </w:rPr>
            </w:pPr>
          </w:p>
        </w:tc>
      </w:tr>
      <w:tr>
        <w:trPr>
          <w:trHeight w:val="280"/>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1,084.1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1,141.8</w:t>
            </w:r>
          </w:p>
        </w:tc>
        <w:tc>
          <w:tcPr>
            <w:tcW w:w="0" w:type="dxa"/>
            <w:vAlign w:val="bottom"/>
          </w:tcPr>
          <w:p>
            <w:pPr>
              <w:spacing w:after="0"/>
              <w:rPr>
                <w:sz w:val="1"/>
                <w:szCs w:val="1"/>
                <w:color w:val="auto"/>
              </w:rPr>
            </w:pPr>
          </w:p>
        </w:tc>
      </w:tr>
      <w:tr>
        <w:trPr>
          <w:trHeight w:val="252"/>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LIABILITIES AND EQUITY/(DEFICIT)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9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Amounts due to founding members, net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4"/>
        </w:trPr>
        <w:tc>
          <w:tcPr>
            <w:tcW w:w="7900" w:type="dxa"/>
            <w:vAlign w:val="bottom"/>
          </w:tcPr>
          <w:p>
            <w:pPr>
              <w:ind w:left="500"/>
              <w:spacing w:after="0" w:line="144" w:lineRule="exact"/>
              <w:rPr>
                <w:sz w:val="20"/>
                <w:szCs w:val="20"/>
                <w:color w:val="auto"/>
              </w:rPr>
            </w:pPr>
            <w:r>
              <w:rPr>
                <w:rFonts w:ascii="Times New Roman" w:cs="Times New Roman" w:eastAsia="Times New Roman" w:hAnsi="Times New Roman"/>
                <w:sz w:val="13"/>
                <w:szCs w:val="13"/>
                <w:color w:val="auto"/>
              </w:rPr>
              <w:t>Payable to founding members under tax receivable agreement (including payables to related</w:t>
            </w:r>
          </w:p>
        </w:tc>
        <w:tc>
          <w:tcPr>
            <w:tcW w:w="180" w:type="dxa"/>
            <w:vAlign w:val="bottom"/>
          </w:tcPr>
          <w:p>
            <w:pPr>
              <w:spacing w:after="0"/>
              <w:rPr>
                <w:sz w:val="12"/>
                <w:szCs w:val="12"/>
                <w:color w:val="auto"/>
              </w:rPr>
            </w:pP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75"/>
        </w:trPr>
        <w:tc>
          <w:tcPr>
            <w:tcW w:w="790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parties of $11.1 and $11.2, respectively)</w:t>
            </w:r>
          </w:p>
        </w:tc>
        <w:tc>
          <w:tcPr>
            <w:tcW w:w="1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Accrued expenses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65"/>
        </w:trPr>
        <w:tc>
          <w:tcPr>
            <w:tcW w:w="7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Accrued payroll and related expenses</w:t>
            </w:r>
          </w:p>
        </w:tc>
        <w:tc>
          <w:tcPr>
            <w:tcW w:w="18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65"/>
        </w:trPr>
        <w:tc>
          <w:tcPr>
            <w:tcW w:w="7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Deferred revenue</w:t>
            </w:r>
          </w:p>
        </w:tc>
        <w:tc>
          <w:tcPr>
            <w:tcW w:w="18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Short-term debt</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65"/>
        </w:trPr>
        <w:tc>
          <w:tcPr>
            <w:tcW w:w="7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262"/>
        </w:trPr>
        <w:tc>
          <w:tcPr>
            <w:tcW w:w="79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NON-CURRENT LIABILITIES: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Long-term debt, net of debt issuance costs of $6.6 and $7.8, respectively</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920.9</w:t>
            </w:r>
          </w:p>
        </w:tc>
        <w:tc>
          <w:tcPr>
            <w:tcW w:w="0" w:type="dxa"/>
            <w:vAlign w:val="bottom"/>
          </w:tcPr>
          <w:p>
            <w:pPr>
              <w:spacing w:after="0"/>
              <w:rPr>
                <w:sz w:val="1"/>
                <w:szCs w:val="1"/>
                <w:color w:val="auto"/>
              </w:rPr>
            </w:pPr>
          </w:p>
        </w:tc>
      </w:tr>
      <w:tr>
        <w:trPr>
          <w:trHeight w:val="144"/>
        </w:trPr>
        <w:tc>
          <w:tcPr>
            <w:tcW w:w="7900" w:type="dxa"/>
            <w:vAlign w:val="bottom"/>
          </w:tcPr>
          <w:p>
            <w:pPr>
              <w:ind w:left="500"/>
              <w:spacing w:after="0" w:line="144" w:lineRule="exact"/>
              <w:rPr>
                <w:sz w:val="20"/>
                <w:szCs w:val="20"/>
                <w:color w:val="auto"/>
              </w:rPr>
            </w:pPr>
            <w:r>
              <w:rPr>
                <w:rFonts w:ascii="Times New Roman" w:cs="Times New Roman" w:eastAsia="Times New Roman" w:hAnsi="Times New Roman"/>
                <w:sz w:val="13"/>
                <w:szCs w:val="13"/>
                <w:color w:val="auto"/>
              </w:rPr>
              <w:t>Payable to founding members under tax receivable agreement (including payables to related</w:t>
            </w:r>
          </w:p>
        </w:tc>
        <w:tc>
          <w:tcPr>
            <w:tcW w:w="180" w:type="dxa"/>
            <w:vAlign w:val="bottom"/>
          </w:tcPr>
          <w:p>
            <w:pPr>
              <w:spacing w:after="0"/>
              <w:rPr>
                <w:sz w:val="12"/>
                <w:szCs w:val="12"/>
                <w:color w:val="auto"/>
              </w:rPr>
            </w:pP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183.4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195.6</w:t>
            </w:r>
          </w:p>
        </w:tc>
        <w:tc>
          <w:tcPr>
            <w:tcW w:w="0" w:type="dxa"/>
            <w:vAlign w:val="bottom"/>
          </w:tcPr>
          <w:p>
            <w:pPr>
              <w:spacing w:after="0"/>
              <w:rPr>
                <w:sz w:val="1"/>
                <w:szCs w:val="1"/>
                <w:color w:val="auto"/>
              </w:rPr>
            </w:pPr>
          </w:p>
        </w:tc>
      </w:tr>
      <w:tr>
        <w:trPr>
          <w:trHeight w:val="175"/>
        </w:trPr>
        <w:tc>
          <w:tcPr>
            <w:tcW w:w="790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parties of $133.2 and $141.1, respectively)</w:t>
            </w:r>
          </w:p>
        </w:tc>
        <w:tc>
          <w:tcPr>
            <w:tcW w:w="1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1,101.9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1,120.5</w:t>
            </w:r>
          </w:p>
        </w:tc>
        <w:tc>
          <w:tcPr>
            <w:tcW w:w="0" w:type="dxa"/>
            <w:vAlign w:val="bottom"/>
          </w:tcPr>
          <w:p>
            <w:pPr>
              <w:spacing w:after="0"/>
              <w:rPr>
                <w:sz w:val="1"/>
                <w:szCs w:val="1"/>
                <w:color w:val="auto"/>
              </w:rPr>
            </w:pPr>
          </w:p>
        </w:tc>
      </w:tr>
      <w:tr>
        <w:trPr>
          <w:trHeight w:val="255"/>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1,206.4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1,231.0</w:t>
            </w:r>
          </w:p>
        </w:tc>
        <w:tc>
          <w:tcPr>
            <w:tcW w:w="0" w:type="dxa"/>
            <w:vAlign w:val="bottom"/>
          </w:tcPr>
          <w:p>
            <w:pPr>
              <w:spacing w:after="0"/>
              <w:rPr>
                <w:sz w:val="1"/>
                <w:szCs w:val="1"/>
                <w:color w:val="auto"/>
              </w:rPr>
            </w:pPr>
          </w:p>
        </w:tc>
      </w:tr>
      <w:tr>
        <w:trPr>
          <w:trHeight w:val="242"/>
        </w:trPr>
        <w:tc>
          <w:tcPr>
            <w:tcW w:w="79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EQUITY/(DEFICIT):</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NCM, Inc. Stockholders’ Equity/(Deficit):</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 and outstanding,</w:t>
            </w:r>
          </w:p>
        </w:tc>
        <w:tc>
          <w:tcPr>
            <w:tcW w:w="18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respectively</w:t>
            </w:r>
          </w:p>
        </w:tc>
        <w:tc>
          <w:tcPr>
            <w:tcW w:w="180" w:type="dxa"/>
            <w:vAlign w:val="bottom"/>
            <w:shd w:val="clear" w:color="auto" w:fill="CCEEFF"/>
          </w:tcPr>
          <w:p>
            <w:pPr>
              <w:spacing w:after="0"/>
              <w:rPr>
                <w:sz w:val="15"/>
                <w:szCs w:val="15"/>
                <w:color w:val="auto"/>
              </w:rPr>
            </w:pPr>
          </w:p>
        </w:tc>
        <w:tc>
          <w:tcPr>
            <w:tcW w:w="16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900" w:type="dxa"/>
            <w:vAlign w:val="bottom"/>
          </w:tcPr>
          <w:p>
            <w:pPr>
              <w:ind w:left="500"/>
              <w:spacing w:after="0" w:line="144" w:lineRule="exact"/>
              <w:rPr>
                <w:sz w:val="20"/>
                <w:szCs w:val="20"/>
                <w:color w:val="auto"/>
              </w:rPr>
            </w:pPr>
            <w:r>
              <w:rPr>
                <w:rFonts w:ascii="Times New Roman" w:cs="Times New Roman" w:eastAsia="Times New Roman" w:hAnsi="Times New Roman"/>
                <w:sz w:val="13"/>
                <w:szCs w:val="13"/>
                <w:color w:val="auto"/>
              </w:rPr>
              <w:t>Common stock, $0.01 par value; 175,000,000 shares authorized, 77,362,387 and 76,976,398 issued</w:t>
            </w:r>
          </w:p>
        </w:tc>
        <w:tc>
          <w:tcPr>
            <w:tcW w:w="180" w:type="dxa"/>
            <w:vAlign w:val="bottom"/>
          </w:tcPr>
          <w:p>
            <w:pPr>
              <w:spacing w:after="0"/>
              <w:rPr>
                <w:sz w:val="12"/>
                <w:szCs w:val="12"/>
                <w:color w:val="auto"/>
              </w:rPr>
            </w:pPr>
          </w:p>
        </w:tc>
        <w:tc>
          <w:tcPr>
            <w:tcW w:w="1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5"/>
        </w:trPr>
        <w:tc>
          <w:tcPr>
            <w:tcW w:w="790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and outstanding, respectively</w:t>
            </w:r>
          </w:p>
        </w:tc>
        <w:tc>
          <w:tcPr>
            <w:tcW w:w="1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Additional paid in capital/(deficit)</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265"/>
        </w:trPr>
        <w:tc>
          <w:tcPr>
            <w:tcW w:w="7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3"/>
                <w:szCs w:val="13"/>
                <w:color w:val="auto"/>
              </w:rPr>
              <w:t>Retained earnings (distributions in excess of earnings)</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255"/>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Total NCM, Inc. stockholders’ equity/(deficit)</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0" w:type="dxa"/>
            <w:vAlign w:val="bottom"/>
          </w:tcPr>
          <w:p>
            <w:pPr>
              <w:spacing w:after="0"/>
              <w:rPr>
                <w:sz w:val="1"/>
                <w:szCs w:val="1"/>
                <w:color w:val="auto"/>
              </w:rPr>
            </w:pPr>
          </w:p>
        </w:tc>
      </w:tr>
      <w:tr>
        <w:trPr>
          <w:trHeight w:val="265"/>
        </w:trPr>
        <w:tc>
          <w:tcPr>
            <w:tcW w:w="7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264.6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278.8</w:t>
            </w:r>
          </w:p>
        </w:tc>
        <w:tc>
          <w:tcPr>
            <w:tcW w:w="0" w:type="dxa"/>
            <w:vAlign w:val="bottom"/>
          </w:tcPr>
          <w:p>
            <w:pPr>
              <w:spacing w:after="0"/>
              <w:rPr>
                <w:sz w:val="1"/>
                <w:szCs w:val="1"/>
                <w:color w:val="auto"/>
              </w:rPr>
            </w:pPr>
          </w:p>
        </w:tc>
      </w:tr>
      <w:tr>
        <w:trPr>
          <w:trHeight w:val="250"/>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Total equity/(deficit)</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240"/>
        </w:trPr>
        <w:tc>
          <w:tcPr>
            <w:tcW w:w="79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TOTAL LIABILITIES AND EQUITY/(DEFICIT)</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1,084.1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1,141.8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ectPr>
          <w:pgSz w:w="11900" w:h="16838" w:orient="portrait"/>
          <w:cols w:equalWidth="0" w:num="1">
            <w:col w:w="11420"/>
          </w:cols>
          <w:pgMar w:left="240" w:top="340" w:right="239" w:bottom="36"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40" w:right="239" w:bottom="36"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AND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Pr>
          <w:p>
            <w:pPr>
              <w:spacing w:after="0"/>
              <w:rPr>
                <w:sz w:val="12"/>
                <w:szCs w:val="12"/>
                <w:color w:val="auto"/>
              </w:rPr>
            </w:pPr>
          </w:p>
        </w:tc>
        <w:tc>
          <w:tcPr>
            <w:tcW w:w="11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5"/>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 (including revenue from related parties of $5.7, $5.8, $17.5 and $21.8,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304.0</w:t>
            </w:r>
          </w:p>
        </w:tc>
        <w:tc>
          <w:tcPr>
            <w:tcW w:w="0" w:type="dxa"/>
            <w:vAlign w:val="bottom"/>
          </w:tcPr>
          <w:p>
            <w:pPr>
              <w:spacing w:after="0"/>
              <w:rPr>
                <w:sz w:val="1"/>
                <w:szCs w:val="1"/>
                <w:color w:val="auto"/>
              </w:rPr>
            </w:pPr>
          </w:p>
        </w:tc>
      </w:tr>
      <w:tr>
        <w:trPr>
          <w:trHeight w:val="26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Advertising operating costs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Network costs</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8"/>
        </w:trPr>
        <w:tc>
          <w:tcPr>
            <w:tcW w:w="606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Theater access fees—founding members (including fees to related parties of</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$13.5, $13.4, $40.9 and $55.5, respectively)</w:t>
            </w: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and marketing costs</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Administrative and other costs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expense</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expense</w:t>
            </w: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 leases</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269"/>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NON-OPERATING EXPENSES: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on borrowings</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loss on early retirement of debt, net</w:t>
            </w:r>
          </w:p>
        </w:tc>
        <w:tc>
          <w:tcPr>
            <w:tcW w:w="14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58"/>
        </w:trPr>
        <w:tc>
          <w:tcPr>
            <w:tcW w:w="606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(Gain) loss on re-measurement of the payable to founding members under the tax</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receivable agreement</w:t>
            </w: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non-operating income</w:t>
            </w:r>
          </w:p>
        </w:tc>
        <w:tc>
          <w:tcPr>
            <w:tcW w:w="14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 NET INCOME</w:t>
            </w:r>
          </w:p>
        </w:tc>
        <w:tc>
          <w:tcPr>
            <w:tcW w:w="1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ATTRIBUTABLE TO NCM,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NCM,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PER NCM, INC. COMMON SHARE:</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6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77,356,833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76,924,983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77,293,234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76,825,828</w:t>
            </w:r>
          </w:p>
        </w:tc>
        <w:tc>
          <w:tcPr>
            <w:tcW w:w="0" w:type="dxa"/>
            <w:vAlign w:val="bottom"/>
          </w:tcPr>
          <w:p>
            <w:pPr>
              <w:spacing w:after="0"/>
              <w:rPr>
                <w:sz w:val="1"/>
                <w:szCs w:val="1"/>
                <w:color w:val="auto"/>
              </w:rPr>
            </w:pPr>
          </w:p>
        </w:tc>
      </w:tr>
      <w:tr>
        <w:trPr>
          <w:trHeight w:val="260"/>
        </w:trPr>
        <w:tc>
          <w:tcPr>
            <w:tcW w:w="6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77,883,571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77,485,561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77,687,393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156,987,736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4180" w:type="dxa"/>
            <w:vAlign w:val="bottom"/>
            <w:tcBorders>
              <w:bottom w:val="single" w:sz="8" w:color="auto"/>
            </w:tcBorders>
            <w:gridSpan w:val="4"/>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2018</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Consolidated net income</w:t>
            </w:r>
          </w:p>
        </w:tc>
        <w:tc>
          <w:tcPr>
            <w:tcW w:w="1780" w:type="dxa"/>
            <w:vAlign w:val="bottom"/>
          </w:tcPr>
          <w:p>
            <w:pPr>
              <w:jc w:val="right"/>
              <w:ind w:right="1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23"/>
                <w:szCs w:val="23"/>
                <w:color w:val="auto"/>
              </w:rPr>
            </w:pPr>
          </w:p>
        </w:tc>
        <w:tc>
          <w:tcPr>
            <w:tcW w:w="1760" w:type="dxa"/>
            <w:vAlign w:val="bottom"/>
          </w:tcPr>
          <w:p>
            <w:pPr>
              <w:jc w:val="right"/>
              <w:ind w:right="15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consolidated net income to net cash provided by operating activities: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178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expense</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expense</w:t>
            </w:r>
          </w:p>
        </w:tc>
        <w:tc>
          <w:tcPr>
            <w:tcW w:w="17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 leases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Non-cash share-based compensation</w:t>
            </w:r>
          </w:p>
        </w:tc>
        <w:tc>
          <w:tcPr>
            <w:tcW w:w="178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Impairment on investment</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78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loss on early retirement of debt, net</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53"/>
        </w:trPr>
        <w:tc>
          <w:tcPr>
            <w:tcW w:w="674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Non-cash loss (gain) on re-measurement of the payable to founding members under</w:t>
            </w:r>
          </w:p>
        </w:tc>
        <w:tc>
          <w:tcPr>
            <w:tcW w:w="1780" w:type="dxa"/>
            <w:vAlign w:val="bottom"/>
          </w:tcPr>
          <w:p>
            <w:pPr>
              <w:spacing w:after="0"/>
              <w:rPr>
                <w:sz w:val="13"/>
                <w:szCs w:val="13"/>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3"/>
        </w:trPr>
        <w:tc>
          <w:tcPr>
            <w:tcW w:w="67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tax receivable agreement</w:t>
            </w:r>
          </w:p>
        </w:tc>
        <w:tc>
          <w:tcPr>
            <w:tcW w:w="17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65"/>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to third parties for extension of intangible assets</w:t>
            </w:r>
          </w:p>
        </w:tc>
        <w:tc>
          <w:tcPr>
            <w:tcW w:w="17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F7F40"/>
              </w:rPr>
              <w:t>—</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disposition of intangible assets by network affiliates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674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Founding member integration and other encumbered theater payments (including</w:t>
            </w:r>
          </w:p>
        </w:tc>
        <w:tc>
          <w:tcPr>
            <w:tcW w:w="1780" w:type="dxa"/>
            <w:vAlign w:val="bottom"/>
          </w:tcPr>
          <w:p>
            <w:pPr>
              <w:spacing w:after="0"/>
              <w:rPr>
                <w:sz w:val="13"/>
                <w:szCs w:val="13"/>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from related parties of $0.8 in 2019)</w:t>
            </w:r>
          </w:p>
        </w:tc>
        <w:tc>
          <w:tcPr>
            <w:tcW w:w="17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Receivables, net</w:t>
            </w:r>
          </w:p>
        </w:tc>
        <w:tc>
          <w:tcPr>
            <w:tcW w:w="178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Amounts due to/from founding members, net</w:t>
            </w:r>
          </w:p>
        </w:tc>
        <w:tc>
          <w:tcPr>
            <w:tcW w:w="17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58"/>
        </w:trPr>
        <w:tc>
          <w:tcPr>
            <w:tcW w:w="6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Payment to the founding members under tax receivable agreement (including</w:t>
            </w:r>
          </w:p>
        </w:tc>
        <w:tc>
          <w:tcPr>
            <w:tcW w:w="17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payments to related parties of $9.8 and $17.6, respectively)</w:t>
            </w:r>
          </w:p>
        </w:tc>
        <w:tc>
          <w:tcPr>
            <w:tcW w:w="17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178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net</w:t>
            </w:r>
          </w:p>
        </w:tc>
        <w:tc>
          <w:tcPr>
            <w:tcW w:w="17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7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113.6</w:t>
            </w: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r>
        <w:trPr>
          <w:trHeight w:val="26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7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and maturities of marketable securities</w:t>
            </w:r>
          </w:p>
        </w:tc>
        <w:tc>
          <w:tcPr>
            <w:tcW w:w="178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notes receivable - founding members</w:t>
            </w:r>
          </w:p>
        </w:tc>
        <w:tc>
          <w:tcPr>
            <w:tcW w:w="17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7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6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 of dividends</w:t>
            </w:r>
          </w:p>
        </w:tc>
        <w:tc>
          <w:tcPr>
            <w:tcW w:w="17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139.2</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Repayments of revolving credit facility</w:t>
            </w:r>
          </w:p>
        </w:tc>
        <w:tc>
          <w:tcPr>
            <w:tcW w:w="17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Repayments of Notes due 2026</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term loan facility</w:t>
            </w:r>
          </w:p>
        </w:tc>
        <w:tc>
          <w:tcPr>
            <w:tcW w:w="17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 of term loan facility</w:t>
            </w:r>
          </w:p>
        </w:tc>
        <w:tc>
          <w:tcPr>
            <w:tcW w:w="17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7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58"/>
        </w:trPr>
        <w:tc>
          <w:tcPr>
            <w:tcW w:w="6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Founding member integration and other encumbered theater payments (including</w:t>
            </w:r>
          </w:p>
        </w:tc>
        <w:tc>
          <w:tcPr>
            <w:tcW w:w="178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payments from related parties of $12.1 in 2018)</w:t>
            </w:r>
          </w:p>
        </w:tc>
        <w:tc>
          <w:tcPr>
            <w:tcW w:w="17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7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Repurchase of stock for restricted stock tax withholding</w:t>
            </w:r>
          </w:p>
        </w:tc>
        <w:tc>
          <w:tcPr>
            <w:tcW w:w="17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7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25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17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65"/>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7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780" w:type="dxa"/>
            <w:vAlign w:val="bottom"/>
            <w:tcBorders>
              <w:bottom w:val="single" w:sz="8" w:color="auto"/>
            </w:tcBorders>
            <w:shd w:val="clear" w:color="auto" w:fill="CCEEFF"/>
          </w:tcPr>
          <w:p>
            <w:pPr>
              <w:jc w:val="right"/>
              <w:ind w:right="1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15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420"/>
          </w:cols>
          <w:pgMar w:left="240" w:top="124" w:right="239" w:bottom="1062"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4" w:right="239" w:bottom="1062"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240" w:type="dxa"/>
            <w:vAlign w:val="bottom"/>
          </w:tcPr>
          <w:p>
            <w:pPr>
              <w:spacing w:after="0"/>
              <w:rPr>
                <w:sz w:val="12"/>
                <w:szCs w:val="12"/>
                <w:color w:val="auto"/>
              </w:rPr>
            </w:pPr>
          </w:p>
        </w:tc>
        <w:tc>
          <w:tcPr>
            <w:tcW w:w="14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7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Supplemental disclosure of non-cash financing and investing activity:</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an intangible asset with NCM LLC equity</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Accrued distributions to founding members (including accrued distributions to related parties of $22.4</w:t>
            </w: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8"/>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and $19.1, respectively)</w:t>
            </w:r>
          </w:p>
        </w:tc>
        <w:tc>
          <w:tcPr>
            <w:tcW w:w="26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Accrued integration and other encumbered theater payments due from founding members (including</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3"/>
                <w:szCs w:val="13"/>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3"/>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payments due from related parties of $0.0 and $0.3, respectively)</w:t>
            </w:r>
          </w:p>
        </w:tc>
        <w:tc>
          <w:tcPr>
            <w:tcW w:w="2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purchases of property and equipment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 (decrease) in dividend equivalent accrual not requiring cash in the period</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75"/>
        </w:trPr>
        <w:tc>
          <w:tcPr>
            <w:tcW w:w="7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75"/>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00"/>
          </w:cols>
          <w:pgMar w:left="240" w:top="124"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7"/>
          </w:tcPr>
          <w:p>
            <w:pPr>
              <w:ind w:left="54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(Distribution in</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63"/>
        </w:trPr>
        <w:tc>
          <w:tcPr>
            <w:tcW w:w="4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55"/>
        </w:trPr>
        <w:tc>
          <w:tcPr>
            <w:tcW w:w="45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Balance—June 28,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76,915,532</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286.1</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and other impacts of NCM LLC ownership changes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net of tax</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16,962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expense/capitalized</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dividends declared $0.17 per share</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Balance—September 27, 2018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76,932,494</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281.8</w:t>
            </w: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Balance—June 27,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77,349,628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and other impacts of NCM LLC ownership changes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expense/capitalized</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dividends declared $0.17 per share</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Balance—September 26,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77,362,387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7"/>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 in</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4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5"/>
                <w:szCs w:val="5"/>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5"/>
                <w:szCs w:val="5"/>
                <w:color w:val="auto"/>
              </w:rPr>
            </w:pPr>
          </w:p>
        </w:tc>
        <w:tc>
          <w:tcPr>
            <w:tcW w:w="112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63"/>
        </w:trPr>
        <w:tc>
          <w:tcPr>
            <w:tcW w:w="4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vMerge w:val="restart"/>
          </w:tcPr>
          <w:p>
            <w:pPr>
              <w:spacing w:after="0"/>
              <w:rPr>
                <w:sz w:val="5"/>
                <w:szCs w:val="5"/>
                <w:color w:val="auto"/>
              </w:rPr>
            </w:pPr>
          </w:p>
        </w:tc>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5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Balance—December 28, 2017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76,242,222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Cumulative-effect adjustment for adoption of ASU 2014-09</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NCM LLC equity issued for purchase of intangible asset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and other impacts of NCM LLC ownership changes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net of tax</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690,272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expense/capitalized</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dividends declared $0.51 per share</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Balance—September 27,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76,932,494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281.8</w:t>
            </w:r>
          </w:p>
        </w:tc>
        <w:tc>
          <w:tcPr>
            <w:tcW w:w="0" w:type="dxa"/>
            <w:vAlign w:val="bottom"/>
          </w:tcPr>
          <w:p>
            <w:pPr>
              <w:spacing w:after="0"/>
              <w:rPr>
                <w:sz w:val="1"/>
                <w:szCs w:val="1"/>
                <w:color w:val="auto"/>
              </w:rPr>
            </w:pPr>
          </w:p>
        </w:tc>
      </w:tr>
      <w:tr>
        <w:trPr>
          <w:trHeight w:val="264"/>
        </w:trPr>
        <w:tc>
          <w:tcPr>
            <w:tcW w:w="45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Balance—December 27,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76,976,398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278.8</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NCM LLC equity issued for purchase of intangible asset</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and other impacts of NCM LLC ownership changes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net of tax</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385,989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expense/capitalized</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dividends declared $0.51 per share</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Balance—September 26,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77,362,387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264.6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420"/>
          </w:cols>
          <w:pgMar w:left="240" w:top="12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4" w:right="239" w:bottom="1440" w:gutter="0" w:footer="0" w:header="0"/>
          <w:type w:val="continuous"/>
        </w:sectPr>
      </w:pPr>
    </w:p>
    <w:bookmarkStart w:id="7" w:name="page8"/>
    <w:bookmarkEnd w:id="7"/>
    <w:p>
      <w:pPr>
        <w:jc w:val="center"/>
        <w:ind w:left="260" w:right="27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ind w:right="140" w:firstLine="540"/>
        <w:spacing w:after="0" w:line="256" w:lineRule="auto"/>
        <w:rPr>
          <w:sz w:val="20"/>
          <w:szCs w:val="20"/>
          <w:color w:val="auto"/>
        </w:rPr>
      </w:pPr>
      <w:r>
        <w:rPr>
          <w:rFonts w:ascii="Times New Roman" w:cs="Times New Roman" w:eastAsia="Times New Roman" w:hAnsi="Times New Roman"/>
          <w:sz w:val="18"/>
          <w:szCs w:val="18"/>
          <w:color w:val="auto"/>
        </w:rPr>
        <w:t>National CineMedia, Inc. (“NCM, Inc.”) was incorporated in Delaware as a holding company with the sole purpose of becoming a member and sole manager of National CineMedia, LLC (“NCM LLC”), a limited liability company. NCM LLC is currently owned by NCM, Inc., Regal Cinemas, Inc. and Regal CineMedia Corporation, wholly owned subsidiaries of Cineworld Group plc and Regal Entertainment Group (“Regal”), Cinemark Media, Inc. and Cinemark USA, Inc., wholly owned subsidiaries of Cinemark Holdings, Inc. (“Cinemark”) and American Multi-Cinema, Inc., a wholly owned subsidiary of AMC Entertainment, Inc. (“AMC”). The terms “NCM”, “the Company” or “we” shall, unless the context otherwise requires, be deemed to include the consolidated entity. AMC, Regal, Cinemark and their affiliates are referred to in this document as “founding members”.</w:t>
      </w:r>
    </w:p>
    <w:p>
      <w:pPr>
        <w:spacing w:after="0" w:line="134"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18"/>
          <w:szCs w:val="18"/>
          <w:color w:val="auto"/>
        </w:rPr>
        <w:t>NCM LLC operates the largest cinema advertising network reaching movie audiences in North America, allowing NCM LLC to sell advertising under long-term exhibitor services agreements (“ESAs”) with the founding members and certain third-party theater circuits, referred to in this document as “network affiliates” under long-term network affiliate agreements. 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on attendance) of approximately 20.0 years as of September 26, 2019. The network affiliate agreements expire at various dates between December 2019 and July 2031. The weighted average remaining term (based on attendance) of the ESAs and the network affiliate agreements together is 17.4 years as of September 26, 2019.</w:t>
      </w:r>
    </w:p>
    <w:p>
      <w:pPr>
        <w:spacing w:after="0" w:line="135" w:lineRule="exact"/>
        <w:rPr>
          <w:sz w:val="20"/>
          <w:szCs w:val="20"/>
          <w:color w:val="auto"/>
        </w:rPr>
      </w:pPr>
    </w:p>
    <w:p>
      <w:pPr>
        <w:jc w:val="both"/>
        <w:ind w:right="80" w:firstLine="540"/>
        <w:spacing w:after="0" w:line="266" w:lineRule="auto"/>
        <w:rPr>
          <w:sz w:val="20"/>
          <w:szCs w:val="20"/>
          <w:color w:val="auto"/>
        </w:rPr>
      </w:pPr>
      <w:r>
        <w:rPr>
          <w:rFonts w:ascii="Times New Roman" w:cs="Times New Roman" w:eastAsia="Times New Roman" w:hAnsi="Times New Roman"/>
          <w:sz w:val="18"/>
          <w:szCs w:val="18"/>
          <w:color w:val="auto"/>
        </w:rPr>
        <w:t>As of September 26, 2019, NCM LLC had 159,067,874 common membership units outstanding, of which 77,362,387 (48.6%) were owned by NCM, Inc., 41,770,669 (26.3%) were owned by Regal, 39,737,700 (25.0%) were owned by Cinemark and 197,118 (0.1%) were owned by AMC. The membership units held by the founding members are exchangeable into NCM, Inc. common stock on a one-for-one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20" w:firstLine="540"/>
        <w:spacing w:after="0" w:line="254"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reclassifications have been made to the prior year's financial statements to conform to the current presentation (refer to the Condensed Consolidated Statements of Income and Condensed Consolidated Statement of Cash Flows, whereby the Company presented depreciation expense and amortization expense as two separate lines and refer to the Condensed Consolidated Statements of Income, whereby the Company presented loss (gain) on retirement of debt, net as a separate line). Certain information and footnote disclosures typically included in an annual report have been condensed or omitted for this quarterly report. The balance sheet as of December 27, 2018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27, 2018.</w:t>
      </w:r>
    </w:p>
    <w:p>
      <w:pPr>
        <w:spacing w:after="0" w:line="135" w:lineRule="exact"/>
        <w:rPr>
          <w:sz w:val="20"/>
          <w:szCs w:val="20"/>
          <w:color w:val="auto"/>
        </w:rPr>
      </w:pPr>
    </w:p>
    <w:p>
      <w:pPr>
        <w:ind w:right="80" w:firstLine="540"/>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5—</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26" w:lineRule="exact"/>
        <w:rPr>
          <w:sz w:val="20"/>
          <w:szCs w:val="20"/>
          <w:color w:val="auto"/>
        </w:rPr>
      </w:pPr>
    </w:p>
    <w:p>
      <w:pPr>
        <w:ind w:firstLine="5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7" w:right="25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2" w:lineRule="exact"/>
        <w:rPr>
          <w:sz w:val="20"/>
          <w:szCs w:val="20"/>
          <w:color w:val="auto"/>
        </w:rPr>
      </w:pPr>
    </w:p>
    <w:p>
      <w:pPr>
        <w:ind w:right="780" w:firstLine="540"/>
        <w:spacing w:after="0" w:line="282" w:lineRule="auto"/>
        <w:rPr>
          <w:sz w:val="20"/>
          <w:szCs w:val="20"/>
          <w:color w:val="auto"/>
        </w:rPr>
      </w:pPr>
      <w:r>
        <w:rPr>
          <w:rFonts w:ascii="Times New Roman" w:cs="Times New Roman" w:eastAsia="Times New Roman" w:hAnsi="Times New Roman"/>
          <w:sz w:val="18"/>
          <w:szCs w:val="18"/>
          <w:color w:val="auto"/>
        </w:rPr>
        <w:t>The Company’s annual financial statements included in its Form 10-K filed for the fiscal year ended December 27, 2018 contain a complete discussion of the Company’s significant accounting policies. Following is additional information related to the Company’s accounting policies.</w:t>
      </w:r>
    </w:p>
    <w:p>
      <w:pPr>
        <w:spacing w:after="0" w:line="104" w:lineRule="exact"/>
        <w:rPr>
          <w:sz w:val="20"/>
          <w:szCs w:val="20"/>
          <w:color w:val="auto"/>
        </w:rPr>
      </w:pPr>
    </w:p>
    <w:p>
      <w:pPr>
        <w:ind w:right="5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derives revenue principally from the advertising business, which includes on-screen and lobby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 advertising and lobby promotions and advertising on websites and mobile applications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23" w:lineRule="exact"/>
        <w:rPr>
          <w:sz w:val="20"/>
          <w:szCs w:val="20"/>
          <w:color w:val="auto"/>
        </w:rPr>
      </w:pPr>
    </w:p>
    <w:p>
      <w:pPr>
        <w:ind w:right="80" w:firstLine="5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—Bad debts are provided for using the allowance for doubtful accounts method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that have strong reputations in the advertising industry and clients with stable financial positions. The Company has smaller contracts with thousands of local clients that are not individually significant. As of September 26, 2019 and December 27, 2018, there were no advertising agency groups or individual customers through which the Company sources national advertising revenue representing more than 10% of the Company’s outstanding gross receivable balance. During the three and nine months ended September 26, 2019 and September 27, 2018, the Company had no customers that accounted for more than 10% of revenue.</w:t>
      </w:r>
    </w:p>
    <w:p>
      <w:pPr>
        <w:spacing w:after="0" w:line="128" w:lineRule="exact"/>
        <w:rPr>
          <w:sz w:val="20"/>
          <w:szCs w:val="20"/>
          <w:color w:val="auto"/>
        </w:rPr>
      </w:pPr>
    </w:p>
    <w:p>
      <w:pPr>
        <w:ind w:right="20" w:firstLine="5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Company has issued stock options and restricted stock to certain employees and restricted stock units to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directors. In 2018 and 2019, the restricted stock grants for Company management vest upon the achievement of Company performance measures and/or service conditions, while non-management grants vest only upon the achievement of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 During the three months ended September 26, 2019 and September 27, 2018 and the nine months ended September 26, 2019 and September 27, 2018, 18,889, 21,807, 568,584 and 997,403 shares of restricted stock and restricted stock units vested, respectively.</w:t>
      </w:r>
    </w:p>
    <w:p>
      <w:pPr>
        <w:spacing w:after="0" w:line="132" w:lineRule="exact"/>
        <w:rPr>
          <w:sz w:val="20"/>
          <w:szCs w:val="20"/>
          <w:color w:val="auto"/>
        </w:rPr>
      </w:pPr>
    </w:p>
    <w:p>
      <w:pPr>
        <w:ind w:right="300" w:firstLine="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—NCM, Inc. consolidates the accounts of NCM LLC under the provisions of ASC 810,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810”).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table presents the changes in NCM, Inc.’s equity resulting from net income attributable to NCM, Inc. and transfers to or from noncontrolling interests (in millions):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8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80" w:type="dxa"/>
            <w:vAlign w:val="bottom"/>
          </w:tcPr>
          <w:p>
            <w:pPr>
              <w:spacing w:after="0"/>
              <w:rPr>
                <w:sz w:val="12"/>
                <w:szCs w:val="12"/>
                <w:color w:val="auto"/>
              </w:rPr>
            </w:pPr>
          </w:p>
        </w:tc>
        <w:tc>
          <w:tcPr>
            <w:tcW w:w="120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5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NCM,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NCM LLC equity issued for purchase of intangible asset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Change from net income attributable to NCM, Inc. and transfers from</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18"/>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During the first quarter of 2019, the Company adopted Accounting Standards Update 2016-2 and subsequent amendments, </w:t>
      </w:r>
      <w:r>
        <w:rPr>
          <w:rFonts w:ascii="Times New Roman" w:cs="Times New Roman" w:eastAsia="Times New Roman" w:hAnsi="Times New Roman"/>
          <w:sz w:val="18"/>
          <w:szCs w:val="18"/>
          <w:i w:val="1"/>
          <w:iCs w:val="1"/>
          <w:color w:val="auto"/>
        </w:rPr>
        <w:t>Leases (Topic</w:t>
      </w:r>
    </w:p>
    <w:p>
      <w:pPr>
        <w:spacing w:after="0" w:line="29" w:lineRule="exact"/>
        <w:rPr>
          <w:sz w:val="20"/>
          <w:szCs w:val="20"/>
          <w:color w:val="auto"/>
        </w:rPr>
      </w:pPr>
    </w:p>
    <w:p>
      <w:pPr>
        <w:ind w:firstLine="8"/>
        <w:spacing w:after="0" w:line="252" w:lineRule="auto"/>
        <w:tabs>
          <w:tab w:leader="none" w:pos="37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(together “ASC 842”) utilizing the Comparatives Under 840 option where only the current period financial statements and related disclosures are presented in accordance with the new standard. As of the adoption date of December 28, 2018 the Company recognized the following on the unaudited Condensed Consolidated Balance Sheets: a right-of-use (“ROU”) asset of $21.7 million within 'Other assets', a short-term lease liability of $1.4 million within Other current liabilities', a long-term lease liability of $24.5 million within 'Other liabilities' and reversed the related deferred rent liability balance of $4.2 million for all leases with terms longer than twelve months related to its building operating leases. The Company elected to utilize the following practical expedients: (i) not being required to separate lease and non-lease components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when accounting for the lease for all asset classes; and (ii) not accounting for short-term leases under the new standard. The Company also determined that the ESAs and affiliate agreements are considered leases under ASC 842. However, the identification of the asset and determination of the period of control is dependent upon the scheduling of the showtimes by the exhibitors. As the schedules are typically not determined until one week in advance of the showtime, on average, the leases are considered short term in nature, specifically less than one month. As such, no ROU assets or lease liabilities were recognized for these agreements. The issuance of NCM LLC membership units to the founding members in accordance with NCM LLC’s Common Unit Adjustment Agreement and upfront cash payments to affiliates for the contractual rights to provide services within their theaters will continue to be classified as intangible assets. However, the amortization of these intangible assets is now considered lease expense and has been reclassified within the current period from 'Depreciation and amortization expense' to 'Amortization of intangibles recorded for network theater screen leases' on the unaudited Condensed Consolidated Statement of Income. Additionally, these upfront cash payments to affiliates and receipt of integration payments from the founding members, as defined within Note 4 -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will be considered cash flows from operating activities on the unaudited Condensed Consolidated Statement of Cash Flows when incurred as they are related to operating leases and will be reclassified from cash flows from investing and financing activities, respectively. The Company has also incorporated additional disclosures in Note 8 -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comply with ASC 842.</w:t>
      </w:r>
    </w:p>
    <w:p>
      <w:pPr>
        <w:spacing w:after="0" w:line="81" w:lineRule="exact"/>
        <w:rPr>
          <w:sz w:val="20"/>
          <w:szCs w:val="20"/>
          <w:color w:val="auto"/>
        </w:rPr>
      </w:pPr>
    </w:p>
    <w:p>
      <w:pPr>
        <w:ind w:right="80" w:firstLine="540"/>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2019, the Company adopted Accounting Standards Update 2018-7,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Nonemployee Share-Based Payment Accounting </w:t>
      </w:r>
      <w:r>
        <w:rPr>
          <w:rFonts w:ascii="Times New Roman" w:cs="Times New Roman" w:eastAsia="Times New Roman" w:hAnsi="Times New Roman"/>
          <w:sz w:val="18"/>
          <w:szCs w:val="18"/>
          <w:color w:val="auto"/>
        </w:rPr>
        <w:t>(“ASU 2018-7”), which amends Topic 718 to include share-based payment transactions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goods and services from nonemployees. The adoption of ASU 2018-7 had no impact on the unaudited Condensed Consolidated Financial statements or notes thereto.</w:t>
      </w:r>
    </w:p>
    <w:p>
      <w:pPr>
        <w:spacing w:after="0" w:line="155" w:lineRule="exact"/>
        <w:rPr>
          <w:sz w:val="20"/>
          <w:szCs w:val="20"/>
          <w:color w:val="auto"/>
        </w:rPr>
      </w:pPr>
    </w:p>
    <w:p>
      <w:pPr>
        <w:ind w:right="20" w:firstLine="567"/>
        <w:spacing w:after="0" w:line="255" w:lineRule="auto"/>
        <w:rPr>
          <w:sz w:val="20"/>
          <w:szCs w:val="20"/>
          <w:color w:val="auto"/>
        </w:rPr>
      </w:pPr>
      <w:r>
        <w:rPr>
          <w:rFonts w:ascii="Times New Roman" w:cs="Times New Roman" w:eastAsia="Times New Roman" w:hAnsi="Times New Roman"/>
          <w:sz w:val="18"/>
          <w:szCs w:val="18"/>
          <w:color w:val="auto"/>
        </w:rPr>
        <w:t>During the first quarter of 2019, the Company adopted a final rule issued by the SEC in March 2019 simplifying certain Regulation S-K requirements. The rule eliminated the following requirements in certain circumstances: (1) to disclose discussion of the earliest year of three years of audited financial statements presented within Item 7. Management's Discussion and Analysis of Financial Condition and Results of Operations section of the Form 10-K, (2) to request permission from the SEC to redact confidential information from exhibits in the event the information is not material to the agreement and would cause competitive harm, (3) to disclose immaterial physical property and (4) to disclose schedules and attachments to exhibits which do not contain material information. The rule also adds the requirement to disclose the registrant's trading symbol on the cover page of certain SEC forms. The applicable amended disclosure requirements have been incorporated within this Quarterly Report on Form 10-Q.</w:t>
      </w:r>
    </w:p>
    <w:p>
      <w:pPr>
        <w:spacing w:after="0" w:line="54" w:lineRule="exact"/>
        <w:rPr>
          <w:sz w:val="20"/>
          <w:szCs w:val="20"/>
          <w:color w:val="auto"/>
        </w:rPr>
      </w:pPr>
    </w:p>
    <w:p>
      <w:pPr>
        <w:ind w:right="300" w:firstLine="648"/>
        <w:spacing w:after="0" w:line="273" w:lineRule="auto"/>
        <w:rPr>
          <w:sz w:val="20"/>
          <w:szCs w:val="20"/>
          <w:color w:val="auto"/>
        </w:rPr>
      </w:pPr>
      <w:r>
        <w:rPr>
          <w:rFonts w:ascii="Times New Roman" w:cs="Times New Roman" w:eastAsia="Times New Roman" w:hAnsi="Times New Roman"/>
          <w:sz w:val="17"/>
          <w:szCs w:val="17"/>
          <w:color w:val="auto"/>
        </w:rPr>
        <w:t>During the fourth quarter of 2018, the Company adopted a final rule issued by the SEC amending certain disclosure requirements deemed by the SEC to be redundant, duplicative, overlapping, outdated or superseded. The rule also added requirements to disclose (1) the changes in each caption of stockholders’ equity and non-controlling interests for the current and comparative year-to-date periods, with subtotals for each interim period and (2) the amount of dividends per share for each class of shares. The Company's adoption of the guidance resulted in changes to the presentation of the unaudited Consolidated Statement of Equity as a quarter to date equity rollforward is now also required for the current and comparable period. The Company implemented the amended disclosure requirements in the first quarter of 2019. The codification was updated to reflect the aforementioned SEC changes within Accounting Standards Update 2019-7, Codification Updates to SEC Sections ("ASU 2019-7") issued and effective during the third quarter of 2019.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2016-13, </w:t>
      </w:r>
      <w:r>
        <w:rPr>
          <w:rFonts w:ascii="Times New Roman" w:cs="Times New Roman" w:eastAsia="Times New Roman" w:hAnsi="Times New Roman"/>
          <w:sz w:val="18"/>
          <w:szCs w:val="18"/>
          <w:i w:val="1"/>
          <w:iCs w:val="1"/>
          <w:color w:val="auto"/>
        </w:rPr>
        <w:t>Financial Instruments – 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Statements </w:t>
      </w:r>
      <w:r>
        <w:rPr>
          <w:rFonts w:ascii="Times New Roman" w:cs="Times New Roman" w:eastAsia="Times New Roman" w:hAnsi="Times New Roman"/>
          <w:sz w:val="18"/>
          <w:szCs w:val="18"/>
          <w:color w:val="auto"/>
        </w:rPr>
        <w:t>(“ASU 2016-13”), which requires a financial asset (or group of financial assets) measured at amortized cost basis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Consolidated Financial Statements or notes thereto.</w:t>
      </w:r>
    </w:p>
    <w:p>
      <w:pPr>
        <w:spacing w:after="0" w:line="129" w:lineRule="exact"/>
        <w:rPr>
          <w:sz w:val="20"/>
          <w:szCs w:val="20"/>
          <w:color w:val="auto"/>
        </w:rPr>
      </w:pPr>
    </w:p>
    <w:p>
      <w:pPr>
        <w:ind w:right="100" w:firstLine="54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Accounting Standards Update 2018-13, Fair Value Measurement (Topic 820): </w:t>
      </w:r>
      <w:r>
        <w:rPr>
          <w:rFonts w:ascii="Times New Roman" w:cs="Times New Roman" w:eastAsia="Times New Roman" w:hAnsi="Times New Roman"/>
          <w:sz w:val="18"/>
          <w:szCs w:val="18"/>
          <w:i w:val="1"/>
          <w:iCs w:val="1"/>
          <w:color w:val="auto"/>
        </w:rPr>
        <w:t>Disclosure Framework - Changes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Disclosure Requirements for Fair Value Measurement </w:t>
      </w:r>
      <w:r>
        <w:rPr>
          <w:rFonts w:ascii="Times New Roman" w:cs="Times New Roman" w:eastAsia="Times New Roman" w:hAnsi="Times New Roman"/>
          <w:sz w:val="18"/>
          <w:szCs w:val="18"/>
          <w:color w:val="auto"/>
        </w:rPr>
        <w:t>(“ASU 2018-13”), which modifies the disclosure requirements on fair value measurements.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2018-13 is effective for fiscal years beginning after December 15, 2019, including interim periods within those fiscal years, with partial early adoption permitted for eliminated disclosures. The method of adoption varies by the disclosure. The Company does not expect the adoption of ASU 2018-13 to have a material impact on the unaudited Condensed Consolidated Financial Statements or notes thereto.</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2" w:lineRule="exact"/>
        <w:rPr>
          <w:sz w:val="20"/>
          <w:szCs w:val="20"/>
          <w:color w:val="auto"/>
        </w:rPr>
      </w:pPr>
    </w:p>
    <w:p>
      <w:pPr>
        <w:ind w:right="320" w:firstLine="540"/>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20" w:firstLine="540"/>
        <w:spacing w:after="0" w:line="257"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the Company’s cinema advertising and entertainment pre-show. The Company also sells advertising through the LEN, a series of strategically-placed screens located in movie theater lobbies, as well as other forms of advertising and promotions in theater lobbies. In addition, the Company sells online and mobile advertising through </w:t>
      </w:r>
      <w:r>
        <w:rPr>
          <w:rFonts w:ascii="Times New Roman" w:cs="Times New Roman" w:eastAsia="Times New Roman" w:hAnsi="Times New Roman"/>
          <w:sz w:val="18"/>
          <w:szCs w:val="18"/>
          <w:i w:val="1"/>
          <w:iCs w:val="1"/>
          <w:color w:val="auto"/>
        </w:rPr>
        <w:t>Cinema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Accelerator </w:t>
      </w:r>
      <w:r>
        <w:rPr>
          <w:rFonts w:ascii="Times New Roman" w:cs="Times New Roman" w:eastAsia="Times New Roman" w:hAnsi="Times New Roman"/>
          <w:sz w:val="18"/>
          <w:szCs w:val="18"/>
          <w:color w:val="auto"/>
        </w:rPr>
        <w:t>and NCM's digital gaming products including</w:t>
      </w:r>
      <w:r>
        <w:rPr>
          <w:rFonts w:ascii="Times New Roman" w:cs="Times New Roman" w:eastAsia="Times New Roman" w:hAnsi="Times New Roman"/>
          <w:sz w:val="18"/>
          <w:szCs w:val="18"/>
          <w:i w:val="1"/>
          <w:iCs w:val="1"/>
          <w:color w:val="auto"/>
        </w:rPr>
        <w:t xml:space="preserve"> Noovie ARcade, Fantasy Movie League, Name That Movie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Noovie Shuffle, </w:t>
      </w:r>
      <w:r>
        <w:rPr>
          <w:rFonts w:ascii="Times New Roman" w:cs="Times New Roman" w:eastAsia="Times New Roman" w:hAnsi="Times New Roman"/>
          <w:sz w:val="18"/>
          <w:szCs w:val="18"/>
          <w:color w:val="auto"/>
        </w:rPr>
        <w:t>which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played on the mobile apps or at </w:t>
      </w:r>
      <w:r>
        <w:rPr>
          <w:rFonts w:ascii="Times New Roman" w:cs="Times New Roman" w:eastAsia="Times New Roman" w:hAnsi="Times New Roman"/>
          <w:sz w:val="18"/>
          <w:szCs w:val="18"/>
          <w:i w:val="1"/>
          <w:iCs w:val="1"/>
          <w:color w:val="auto"/>
        </w:rPr>
        <w:t>Noovie.com</w:t>
      </w:r>
      <w:r>
        <w:rPr>
          <w:rFonts w:ascii="Times New Roman" w:cs="Times New Roman" w:eastAsia="Times New Roman" w:hAnsi="Times New Roman"/>
          <w:sz w:val="18"/>
          <w:szCs w:val="18"/>
          <w:color w:val="auto"/>
        </w:rPr>
        <w:t>. The Company also has a long-term agreement to exhibit the advertising of the founding members’ beverage suppliers.</w:t>
      </w:r>
    </w:p>
    <w:p>
      <w:pPr>
        <w:spacing w:after="0" w:line="77"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theater attendance specified in the advertising contract. The make-good provision is recorded within accrued expenses in the Condensed Consolidated Balance Sheet. As of September 26, 2019 and December 27, 2018, the Company had a make-good provision of $4.8 million and $8.0 million, respectively.</w:t>
      </w:r>
    </w:p>
    <w:p>
      <w:pPr>
        <w:spacing w:after="0" w:line="80" w:lineRule="exact"/>
        <w:rPr>
          <w:sz w:val="20"/>
          <w:szCs w:val="20"/>
          <w:color w:val="auto"/>
        </w:rPr>
      </w:pPr>
    </w:p>
    <w:p>
      <w:pPr>
        <w:ind w:right="220" w:firstLine="540"/>
        <w:spacing w:after="0" w:line="261" w:lineRule="auto"/>
        <w:rPr>
          <w:sz w:val="20"/>
          <w:szCs w:val="20"/>
          <w:color w:val="auto"/>
        </w:rPr>
      </w:pPr>
      <w:r>
        <w:rPr>
          <w:rFonts w:ascii="Times New Roman" w:cs="Times New Roman" w:eastAsia="Times New Roman" w:hAnsi="Times New Roman"/>
          <w:sz w:val="18"/>
          <w:szCs w:val="18"/>
          <w:color w:val="auto"/>
        </w:rPr>
        <w:t>The Company has certain contracts with two-year terms that are noncancelable following a specified date within the contract period. The estimated revenue expected to be recognized in the future related to these contracted performance obligations that are unsatisfied (or partially unsatisfied) as</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of September 26, 2019, was $25.5 million, which is expected to be recognized in 2019.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740" w:firstLine="54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upon the type of customer: national, local, regional and beverage concessionaire. This method of disaggregation is in alignment with how revenue is reviewed by management and discussed with and historically disclosed to investors.</w:t>
      </w:r>
    </w:p>
    <w:p>
      <w:pPr>
        <w:spacing w:after="0" w:line="54" w:lineRule="exact"/>
        <w:rPr>
          <w:sz w:val="20"/>
          <w:szCs w:val="20"/>
          <w:color w:val="auto"/>
        </w:rPr>
      </w:pPr>
    </w:p>
    <w:p>
      <w:pPr>
        <w:ind w:right="200" w:firstLine="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and nine months ended September 26, 2019 and September 27, 2018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Pr>
          <w:p>
            <w:pPr>
              <w:spacing w:after="0"/>
              <w:rPr>
                <w:sz w:val="12"/>
                <w:szCs w:val="12"/>
                <w:color w:val="auto"/>
              </w:rPr>
            </w:pPr>
          </w:p>
        </w:tc>
        <w:tc>
          <w:tcPr>
            <w:tcW w:w="120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214.4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advertising revenue</w:t>
            </w:r>
          </w:p>
        </w:tc>
        <w:tc>
          <w:tcPr>
            <w:tcW w:w="1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Regional advertising revenue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16.6</w:t>
            </w: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Founding member advertising revenue from beverage concessionaire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agreements</w:t>
            </w:r>
          </w:p>
        </w:tc>
        <w:tc>
          <w:tcPr>
            <w:tcW w:w="180" w:type="dxa"/>
            <w:vAlign w:val="bottom"/>
          </w:tcPr>
          <w:p>
            <w:pPr>
              <w:spacing w:after="0"/>
              <w:rPr>
                <w:sz w:val="20"/>
                <w:szCs w:val="20"/>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304.0</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61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NATIONAL CINEMEDIA, INC. AND SUBSIDIARY</w:t>
            </w:r>
          </w:p>
        </w:tc>
        <w:tc>
          <w:tcPr>
            <w:tcW w:w="19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61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1900" w:type="dxa"/>
            <w:vAlign w:val="bottom"/>
          </w:tcPr>
          <w:p>
            <w:pPr>
              <w:spacing w:after="0"/>
              <w:rPr>
                <w:sz w:val="18"/>
                <w:szCs w:val="18"/>
                <w:color w:val="auto"/>
              </w:rPr>
            </w:pPr>
          </w:p>
        </w:tc>
      </w:tr>
      <w:tr>
        <w:trPr>
          <w:trHeight w:val="238"/>
        </w:trPr>
        <w:tc>
          <w:tcPr>
            <w:tcW w:w="2720" w:type="dxa"/>
            <w:vAlign w:val="bottom"/>
          </w:tcPr>
          <w:p>
            <w:pPr>
              <w:spacing w:after="0"/>
              <w:rPr>
                <w:sz w:val="20"/>
                <w:szCs w:val="20"/>
                <w:color w:val="auto"/>
              </w:rPr>
            </w:pPr>
          </w:p>
        </w:tc>
        <w:tc>
          <w:tcPr>
            <w:tcW w:w="61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900" w:type="dxa"/>
            <w:vAlign w:val="bottom"/>
          </w:tcPr>
          <w:p>
            <w:pPr>
              <w:spacing w:after="0"/>
              <w:rPr>
                <w:sz w:val="20"/>
                <w:szCs w:val="20"/>
                <w:color w:val="auto"/>
              </w:rPr>
            </w:pPr>
          </w:p>
        </w:tc>
      </w:tr>
      <w:tr>
        <w:trPr>
          <w:trHeight w:val="459"/>
        </w:trPr>
        <w:tc>
          <w:tcPr>
            <w:tcW w:w="8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The changes in deferred revenue for the nine months ended September 26, 2019 were as follows (in millions):</w:t>
            </w:r>
          </w:p>
        </w:tc>
        <w:tc>
          <w:tcPr>
            <w:tcW w:w="1900" w:type="dxa"/>
            <w:vAlign w:val="bottom"/>
          </w:tcPr>
          <w:p>
            <w:pPr>
              <w:spacing w:after="0"/>
              <w:rPr>
                <w:sz w:val="24"/>
                <w:szCs w:val="24"/>
                <w:color w:val="auto"/>
              </w:rPr>
            </w:pPr>
          </w:p>
        </w:tc>
      </w:tr>
      <w:tr>
        <w:trPr>
          <w:trHeight w:val="400"/>
        </w:trPr>
        <w:tc>
          <w:tcPr>
            <w:tcW w:w="27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27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95"/>
        </w:trPr>
        <w:tc>
          <w:tcPr>
            <w:tcW w:w="2720" w:type="dxa"/>
            <w:vAlign w:val="bottom"/>
            <w:tcBorders>
              <w:bottom w:val="single" w:sz="8" w:color="CCEEFF"/>
            </w:tcBorders>
          </w:tcPr>
          <w:p>
            <w:pPr>
              <w:spacing w:after="0"/>
              <w:rPr>
                <w:sz w:val="16"/>
                <w:szCs w:val="16"/>
                <w:color w:val="auto"/>
              </w:rPr>
            </w:pPr>
          </w:p>
        </w:tc>
        <w:tc>
          <w:tcPr>
            <w:tcW w:w="57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49"/>
        </w:trPr>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Performance obligations satisfied</w:t>
            </w:r>
          </w:p>
        </w:tc>
        <w:tc>
          <w:tcPr>
            <w:tcW w:w="5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2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New contract liabilities</w:t>
            </w:r>
          </w:p>
        </w:tc>
        <w:tc>
          <w:tcPr>
            <w:tcW w:w="5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7"/>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7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27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September 26, 2019 and December 27, 2018, the Company had $11.6 million and $6.0 million in unbilled accounts receivable, respectively.</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right="100" w:firstLine="54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restricted stock and restricted stock units using the treasury stock method. The components of basic and diluted income per NCM, Inc. share are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Pr>
          <w:p>
            <w:pPr>
              <w:spacing w:after="0"/>
              <w:rPr>
                <w:sz w:val="12"/>
                <w:szCs w:val="12"/>
                <w:color w:val="auto"/>
              </w:rPr>
            </w:pPr>
          </w:p>
        </w:tc>
        <w:tc>
          <w:tcPr>
            <w:tcW w:w="120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NCM, Inc. (in millions)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attributable to NCM, Inc. following conversion of dilutive</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membership units (net of estimated taxes of $0.0, $0.0, $0.0 and $14.7)(in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81"/>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77,356,833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76,924,983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77,293,234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76,825,828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 Dilutive effect of stock options, restricted stock and exchangeable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membership units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526,738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560,578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394,159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80,161,908</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77,883,571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77,485,561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77,687,393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156,987,736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NCM, Inc. share: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540"/>
        <w:spacing w:after="0" w:line="253" w:lineRule="auto"/>
        <w:rPr>
          <w:sz w:val="20"/>
          <w:szCs w:val="20"/>
          <w:color w:val="auto"/>
        </w:rPr>
      </w:pPr>
      <w:r>
        <w:rPr>
          <w:rFonts w:ascii="Times New Roman" w:cs="Times New Roman" w:eastAsia="Times New Roman" w:hAnsi="Times New Roman"/>
          <w:sz w:val="18"/>
          <w:szCs w:val="18"/>
          <w:color w:val="auto"/>
        </w:rPr>
        <w:t>The effect of 81,705,487, 80,660,822 and 81,410,838 weighted average exchangeable NCM LLC common units held by the founding members for the three months ended September 26, 2019 and September 27, 2018 and the nine months ended September 26, 2019, respectively, have been excluded from the calculation of diluted weighted average shares and loss per NCM, Inc. share as they were anti-dilutive. The diluted weighted average shares outstanding for the nine months ended September 27, 2018 assumes the conversion of all founding member common units to NCM, Inc. shares as they were dilutive. Upon the conversion of all common units, all of the consolidated NCM LLC net income would be attributable to NCM, Inc. and thus has been utilized as the numerator of the diluted earnings per share calculation for the nine months ended September 27, 2018. Consolidated NCM LLC net income for the nine months ended September 27, 2018 has been tax effected utilizing NCM, Inc.’s effective tax rate of 55.3% for the respective period. NCM LLC common units do not participate in dividends paid on NCM, Inc.’s common stock. In addition, there were 2,553,449, 2,016,709, 2,593,231 and 2,223,440 stock options and non-vested (restricted) shares for the three months ended September 26, 2019 and September 27, 2018 and the nine months ended September 26, 2019 and September 27, 2018, respectively, excluded from the calculation as they were anti-dilutive. The Company’s non-vested (restricted) shares do not meet the definition of a participating security as the dividends will not be paid if the shares do not vest.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21" w:lineRule="exact"/>
        <w:rPr>
          <w:sz w:val="20"/>
          <w:szCs w:val="20"/>
          <w:color w:val="auto"/>
        </w:rPr>
      </w:pPr>
    </w:p>
    <w:p>
      <w:pPr>
        <w:ind w:right="260" w:firstLine="540"/>
        <w:spacing w:after="0" w:line="266" w:lineRule="auto"/>
        <w:rPr>
          <w:sz w:val="20"/>
          <w:szCs w:val="20"/>
          <w:color w:val="auto"/>
        </w:rPr>
      </w:pPr>
      <w:r>
        <w:rPr>
          <w:rFonts w:ascii="Times New Roman" w:cs="Times New Roman" w:eastAsia="Times New Roman" w:hAnsi="Times New Roman"/>
          <w:sz w:val="18"/>
          <w:szCs w:val="18"/>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2" w:name="page13"/>
    <w:bookmarkEnd w:id="12"/>
    <w:p>
      <w:pPr>
        <w:jc w:val="center"/>
        <w:ind w:left="260" w:right="27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The Company extended the useful life of the intangible asset for Cinemark and Regal following the extension of the ESA term in conjunction with the 2019 ESA Amendments. The Company has adopted an accounting policy to capitalize extension costs on its intangible assets and thus capitalized the legal and professional costs incurred in conjunction with the ESA amendments. During the three months ended September 26, 2019 and September 27, 2018 and the nine months ended September 26, 2019 and September 27, 2018, the Company capitalized $1.1 million, $0.0 million, $1.1 million, and $0.0 million within the intangible asset balance. There was no impact to the Payable to founding members under tax receivable agreement as the useful life of the intangible assets were not deemed to be extended for tax purposes and there were no changes made to the tax receivable agreements.</w:t>
      </w:r>
    </w:p>
    <w:p>
      <w:pPr>
        <w:spacing w:after="0" w:line="131" w:lineRule="exact"/>
        <w:rPr>
          <w:sz w:val="20"/>
          <w:szCs w:val="20"/>
          <w:color w:val="auto"/>
        </w:rPr>
      </w:pPr>
    </w:p>
    <w:p>
      <w:pPr>
        <w:ind w:right="60" w:firstLine="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—In accordance with NCM LLC’s Common Unit Adjustment Agreement with its founding members, on an annual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30" w:lineRule="exact"/>
        <w:rPr>
          <w:sz w:val="20"/>
          <w:szCs w:val="20"/>
          <w:color w:val="auto"/>
        </w:rPr>
      </w:pPr>
    </w:p>
    <w:p>
      <w:pPr>
        <w:ind w:right="60" w:firstLine="540"/>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NCM LLC issued 1,044,665 common membership units to its founding members for the rights to exclusive access to the theater screens and attendees added, net of dispositions by the founding members to NCM LLC’s network during the 2018 fiscal year and NCM LLC recorded a net intangible asset of $7.6 million during the first quarter of 2019 as a result of the Common Unit Adjustment.</w:t>
      </w:r>
    </w:p>
    <w:p>
      <w:pPr>
        <w:spacing w:after="0" w:line="122" w:lineRule="exact"/>
        <w:rPr>
          <w:sz w:val="20"/>
          <w:szCs w:val="20"/>
          <w:color w:val="auto"/>
        </w:rPr>
      </w:pPr>
    </w:p>
    <w:p>
      <w:pPr>
        <w:ind w:right="180" w:firstLine="540"/>
        <w:spacing w:after="0" w:line="261" w:lineRule="auto"/>
        <w:rPr>
          <w:sz w:val="20"/>
          <w:szCs w:val="20"/>
          <w:color w:val="auto"/>
        </w:rPr>
      </w:pPr>
      <w:r>
        <w:rPr>
          <w:rFonts w:ascii="Times New Roman" w:cs="Times New Roman" w:eastAsia="Times New Roman" w:hAnsi="Times New Roman"/>
          <w:sz w:val="18"/>
          <w:szCs w:val="18"/>
          <w:color w:val="auto"/>
        </w:rPr>
        <w:t>During the first quarter of 2018, NCM LLC issued 2,821,710 (3,736,860 issued, net of 915,150 returned) common membership units to its founding members for the rights to exclusive access to the theater screens and attendees added, net of dispositions by the founding members to NCM LLC’s network during the 2017 fiscal year and NCM LLC recorded a net intangible asset of $15.9 million during the first quarter of 2018 as a result of the Common Unit Adjustment.</w:t>
      </w:r>
    </w:p>
    <w:p>
      <w:pPr>
        <w:spacing w:after="0" w:line="122"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 During the three months ended September 26, 2019 and September 27, 2018 and the nine months ended September 26, 2019 and September 27, 2018, the Company recorded a reduction to net intangible assets of $5.6 million, $5.5 million, $13.7 million and $13.3 million, respectively, related to integration and other encumbered theater payments. These payments received from AMC related to its acquisitions of theaters from Carmike and Rave Cinemas and from Cinemark related primarily to its acquisition of theaters from Rave Cinemas. During the three months ended September 26, 2019 and September 27, 2018 and the nine months ended September 26, 2019 and September 27, 2018, AMC and Cinemark paid a total of $5.7 million, $5.6 million, $16.3 million and $17.2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17" w:lineRule="exact"/>
        <w:rPr>
          <w:sz w:val="20"/>
          <w:szCs w:val="20"/>
          <w:color w:val="auto"/>
        </w:rPr>
      </w:pPr>
    </w:p>
    <w:p>
      <w:pPr>
        <w:ind w:right="380" w:firstLine="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Founding Member Transactions</w:t>
      </w:r>
      <w:r>
        <w:rPr>
          <w:rFonts w:ascii="Times New Roman" w:cs="Times New Roman" w:eastAsia="Times New Roman" w:hAnsi="Times New Roman"/>
          <w:sz w:val="18"/>
          <w:szCs w:val="18"/>
          <w:color w:val="auto"/>
        </w:rPr>
        <w:t>—In connection with NCM, Inc.’s IPO, the Company entered into several agreements to define and regulate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relationships among NCM, Inc., NCM LLC and the founding members which are outlined below. As AMC owns less than 5% of NCM LLC as of September 26, 2019, AMC is no longer a related party. AMC remains a party to</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7" w:right="259" w:bottom="1440" w:gutter="0" w:footer="0" w:header="0"/>
        </w:sectPr>
      </w:pPr>
    </w:p>
    <w:bookmarkStart w:id="13" w:name="page14"/>
    <w:bookmarkEnd w:id="13"/>
    <w:p>
      <w:pPr>
        <w:jc w:val="center"/>
        <w:ind w:left="260" w:right="27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 AMC is considered a related party through the date its ownership fell below the 5% threshold (July 5, 2018) and related party transactions with AMC through this period are included within the disclosures below (specifically the first quarter and first six months of 2018).</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material agreements with the founding members are as follows:</w:t>
      </w:r>
    </w:p>
    <w:p>
      <w:pPr>
        <w:spacing w:after="0" w:line="167" w:lineRule="exact"/>
        <w:rPr>
          <w:sz w:val="20"/>
          <w:szCs w:val="20"/>
          <w:color w:val="auto"/>
        </w:rPr>
      </w:pPr>
    </w:p>
    <w:p>
      <w:pPr>
        <w:ind w:left="1080" w:hanging="329"/>
        <w:spacing w:after="0" w:line="253"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ESAs. </w:t>
      </w:r>
      <w:r>
        <w:rPr>
          <w:rFonts w:ascii="Times New Roman" w:cs="Times New Roman" w:eastAsia="Times New Roman" w:hAnsi="Times New Roman"/>
          <w:sz w:val="18"/>
          <w:szCs w:val="18"/>
          <w:color w:val="auto"/>
        </w:rPr>
        <w:t>Under the ESAs, NCM LLC is the exclusive provider within the United States of advertising services in the founding members’ theaters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use of the LEN and rights to sell and display certain lobby promotions. Further, 30 to 60 seconds of advertising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is sold to NCM LLC’s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36" w:lineRule="exact"/>
        <w:rPr>
          <w:rFonts w:ascii="Times New Roman" w:cs="Times New Roman" w:eastAsia="Times New Roman" w:hAnsi="Times New Roman"/>
          <w:sz w:val="18"/>
          <w:szCs w:val="18"/>
          <w:color w:val="auto"/>
        </w:rPr>
      </w:pPr>
    </w:p>
    <w:p>
      <w:pPr>
        <w:ind w:left="1080" w:right="80" w:hanging="329"/>
        <w:spacing w:after="0" w:line="26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Common Unit Adjustment Agreement. </w:t>
      </w:r>
      <w:r>
        <w:rPr>
          <w:rFonts w:ascii="Times New Roman" w:cs="Times New Roman" w:eastAsia="Times New Roman" w:hAnsi="Times New Roman"/>
          <w:sz w:val="18"/>
          <w:szCs w:val="18"/>
          <w:color w:val="auto"/>
        </w:rPr>
        <w:t>The Common Unit Adjustment Agreement provides a mechanism for increasing or decreasing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16" w:lineRule="exact"/>
        <w:rPr>
          <w:rFonts w:ascii="Times New Roman" w:cs="Times New Roman" w:eastAsia="Times New Roman" w:hAnsi="Times New Roman"/>
          <w:sz w:val="18"/>
          <w:szCs w:val="18"/>
          <w:color w:val="auto"/>
        </w:rPr>
      </w:pPr>
    </w:p>
    <w:p>
      <w:pPr>
        <w:ind w:left="1080" w:right="80" w:hanging="329"/>
        <w:spacing w:after="0" w:line="26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Receivable Agreement. </w:t>
      </w:r>
      <w:r>
        <w:rPr>
          <w:rFonts w:ascii="Times New Roman" w:cs="Times New Roman" w:eastAsia="Times New Roman" w:hAnsi="Times New Roman"/>
          <w:sz w:val="18"/>
          <w:szCs w:val="18"/>
          <w:color w:val="auto"/>
        </w:rPr>
        <w:t>The TRA provides for the effective payment by NCM, Inc. to the founding members of 90% of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116" w:lineRule="exact"/>
        <w:rPr>
          <w:rFonts w:ascii="Times New Roman" w:cs="Times New Roman" w:eastAsia="Times New Roman" w:hAnsi="Times New Roman"/>
          <w:sz w:val="18"/>
          <w:szCs w:val="18"/>
          <w:color w:val="auto"/>
        </w:rPr>
      </w:pPr>
    </w:p>
    <w:p>
      <w:pPr>
        <w:ind w:left="1080" w:right="100" w:hanging="329"/>
        <w:spacing w:after="0" w:line="26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 License Agreement. </w:t>
      </w:r>
      <w:r>
        <w:rPr>
          <w:rFonts w:ascii="Times New Roman" w:cs="Times New Roman" w:eastAsia="Times New Roman" w:hAnsi="Times New Roman"/>
          <w:sz w:val="18"/>
          <w:szCs w:val="18"/>
          <w:color w:val="auto"/>
        </w:rPr>
        <w:t>At the date of the Company’s IPO, NCM LLC was granted a perpetual, royalty-free license from NCM LLC’s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tables provide summaries of the transactions between the Company and the founding members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0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Included in the unaudited Condensed Consolidated Statements of Income: </w:t>
            </w:r>
            <w:r>
              <w:rPr>
                <w:rFonts w:ascii="Times New Roman" w:cs="Times New Roman" w:eastAsia="Times New Roman" w:hAnsi="Times New Roman"/>
                <w:sz w:val="14"/>
                <w:szCs w:val="14"/>
                <w:i w:val="1"/>
                <w:iCs w:val="1"/>
                <w:color w:val="auto"/>
              </w:rPr>
              <w:t>(1)</w:t>
            </w:r>
          </w:p>
        </w:tc>
        <w:tc>
          <w:tcPr>
            <w:tcW w:w="140" w:type="dxa"/>
            <w:vAlign w:val="bottom"/>
          </w:tcPr>
          <w:p>
            <w:pPr>
              <w:spacing w:after="0"/>
              <w:rPr>
                <w:sz w:val="12"/>
                <w:szCs w:val="12"/>
                <w:color w:val="auto"/>
              </w:rPr>
            </w:pPr>
          </w:p>
        </w:tc>
        <w:tc>
          <w:tcPr>
            <w:tcW w:w="12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2"/>
                <w:szCs w:val="12"/>
                <w:color w:val="auto"/>
              </w:rPr>
            </w:pPr>
          </w:p>
        </w:tc>
        <w:tc>
          <w:tcPr>
            <w:tcW w:w="1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2"/>
                <w:szCs w:val="12"/>
                <w:color w:val="auto"/>
              </w:rPr>
            </w:pPr>
          </w:p>
        </w:tc>
        <w:tc>
          <w:tcPr>
            <w:tcW w:w="112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7"/>
              </w:rPr>
              <w:t>Revenue:</w:t>
            </w:r>
          </w:p>
        </w:tc>
        <w:tc>
          <w:tcPr>
            <w:tcW w:w="510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57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xml:space="preserve">Beverage concessionaire revenue (included in advertising revenue) </w:t>
            </w:r>
            <w:r>
              <w:rPr>
                <w:rFonts w:ascii="Times New Roman" w:cs="Times New Roman" w:eastAsia="Times New Roman" w:hAnsi="Times New Roman"/>
                <w:sz w:val="18"/>
                <w:szCs w:val="18"/>
                <w:i w:val="1"/>
                <w:iCs w:val="1"/>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57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57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xml:space="preserve">Theater access fee </w:t>
            </w:r>
            <w:r>
              <w:rPr>
                <w:rFonts w:ascii="Times New Roman" w:cs="Times New Roman" w:eastAsia="Times New Roman" w:hAnsi="Times New Roman"/>
                <w:sz w:val="18"/>
                <w:szCs w:val="18"/>
                <w:i w:val="1"/>
                <w:iCs w:val="1"/>
                <w:color w:val="auto"/>
              </w:rPr>
              <w:t>(3)</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shd w:val="clear" w:color="auto" w:fill="CCEEFF"/>
          </w:tcPr>
          <w:p>
            <w:pPr>
              <w:spacing w:after="0"/>
              <w:rPr>
                <w:sz w:val="19"/>
                <w:szCs w:val="19"/>
                <w:color w:val="auto"/>
              </w:rPr>
            </w:pPr>
          </w:p>
        </w:tc>
        <w:tc>
          <w:tcPr>
            <w:tcW w:w="57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movie tickets and concession products and rental of theater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space (included in selling and marketing costs) </w:t>
            </w:r>
            <w:r>
              <w:rPr>
                <w:rFonts w:ascii="Times New Roman" w:cs="Times New Roman" w:eastAsia="Times New Roman" w:hAnsi="Times New Roman"/>
                <w:sz w:val="18"/>
                <w:szCs w:val="18"/>
                <w:i w:val="1"/>
                <w:iCs w:val="1"/>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7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Purchase of movie tickets and concession products and rental of theater</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57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xml:space="preserve">space (included in advertising operating costs) </w:t>
            </w:r>
            <w:r>
              <w:rPr>
                <w:rFonts w:ascii="Times New Roman" w:cs="Times New Roman" w:eastAsia="Times New Roman" w:hAnsi="Times New Roman"/>
                <w:sz w:val="18"/>
                <w:szCs w:val="18"/>
                <w:i w:val="1"/>
                <w:iCs w:val="1"/>
                <w:color w:val="auto"/>
              </w:rPr>
              <w:t>(4)</w:t>
            </w:r>
          </w:p>
        </w:tc>
        <w:tc>
          <w:tcPr>
            <w:tcW w:w="140" w:type="dxa"/>
            <w:vAlign w:val="bottom"/>
          </w:tcPr>
          <w:p>
            <w:pPr>
              <w:spacing w:after="0"/>
              <w:rPr>
                <w:sz w:val="20"/>
                <w:szCs w:val="20"/>
                <w:color w:val="auto"/>
              </w:rPr>
            </w:pPr>
          </w:p>
        </w:tc>
        <w:tc>
          <w:tcPr>
            <w:tcW w:w="112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Non-operating expenses:</w:t>
            </w:r>
          </w:p>
        </w:tc>
        <w:tc>
          <w:tcPr>
            <w:tcW w:w="3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7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Interest income from notes receivable (included in interest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5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xml:space="preserve">income) </w:t>
            </w:r>
            <w:r>
              <w:rPr>
                <w:rFonts w:ascii="Times New Roman" w:cs="Times New Roman" w:eastAsia="Times New Roman" w:hAnsi="Times New Roman"/>
                <w:sz w:val="18"/>
                <w:szCs w:val="18"/>
                <w:i w:val="1"/>
                <w:iCs w:val="1"/>
                <w:color w:val="auto"/>
              </w:rPr>
              <w:t>(5)</w:t>
            </w:r>
          </w:p>
        </w:tc>
        <w:tc>
          <w:tcPr>
            <w:tcW w:w="14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480" w:hanging="332"/>
        <w:spacing w:after="0" w:line="250" w:lineRule="auto"/>
        <w:tabs>
          <w:tab w:leader="none" w:pos="3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AMC is no longer considered a related party as of July 5, 2018, as described further above. As such, the figures within the table above only include related party activity with AMC for the six months ended June 28, 2018.</w:t>
      </w:r>
    </w:p>
    <w:p>
      <w:pPr>
        <w:ind w:left="340" w:right="300" w:hanging="332"/>
        <w:spacing w:after="0" w:line="265" w:lineRule="auto"/>
        <w:tabs>
          <w:tab w:leader="none" w:pos="34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For the three and nine months ended September 26, 2019 and September 27, 2018,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seconds equivalent CPM rate specified by the ESA.</w:t>
      </w:r>
    </w:p>
    <w:p>
      <w:pPr>
        <w:ind w:left="340" w:right="300" w:hanging="332"/>
        <w:spacing w:after="0" w:line="250" w:lineRule="auto"/>
        <w:tabs>
          <w:tab w:leader="none" w:pos="3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340" w:hanging="332"/>
        <w:spacing w:after="0"/>
        <w:tabs>
          <w:tab w:leader="none" w:pos="3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Used primarily for marketing to NCM LLC’s advertising clients.</w:t>
      </w:r>
    </w:p>
    <w:p>
      <w:pPr>
        <w:spacing w:after="0" w:line="9" w:lineRule="exact"/>
        <w:rPr>
          <w:sz w:val="20"/>
          <w:szCs w:val="20"/>
          <w:color w:val="auto"/>
        </w:rPr>
      </w:pPr>
    </w:p>
    <w:p>
      <w:pPr>
        <w:ind w:left="340" w:right="40" w:hanging="323"/>
        <w:spacing w:after="0" w:line="254" w:lineRule="auto"/>
        <w:rPr>
          <w:sz w:val="20"/>
          <w:szCs w:val="20"/>
          <w:color w:val="auto"/>
        </w:rPr>
      </w:pPr>
      <w:r>
        <w:rPr>
          <w:rFonts w:ascii="Times New Roman" w:cs="Times New Roman" w:eastAsia="Times New Roman" w:hAnsi="Times New Roman"/>
          <w:sz w:val="18"/>
          <w:szCs w:val="18"/>
          <w:i w:val="1"/>
          <w:iCs w:val="1"/>
          <w:color w:val="auto"/>
        </w:rPr>
        <w:t>(5)</w:t>
      </w:r>
      <w:r>
        <w:rPr>
          <w:rFonts w:ascii="Times New Roman" w:cs="Times New Roman" w:eastAsia="Times New Roman" w:hAnsi="Times New Roman"/>
          <w:sz w:val="18"/>
          <w:szCs w:val="18"/>
          <w:color w:val="auto"/>
        </w:rPr>
        <w:t>On December 26, 2013, NCM LLC sold its Fathom Events business to a newly formed limited liability company (AC JV, LLC) owned 32% by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Balance Sheets:</w:t>
            </w:r>
          </w:p>
        </w:tc>
        <w:tc>
          <w:tcPr>
            <w:tcW w:w="134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95"/>
        </w:trPr>
        <w:tc>
          <w:tcPr>
            <w:tcW w:w="8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Current portion of notes receivable - related parties </w:t>
            </w:r>
            <w:r>
              <w:rPr>
                <w:rFonts w:ascii="Times New Roman" w:cs="Times New Roman" w:eastAsia="Times New Roman" w:hAnsi="Times New Roman"/>
                <w:sz w:val="18"/>
                <w:szCs w:val="18"/>
                <w:i w:val="1"/>
                <w:iCs w:val="1"/>
                <w:color w:val="auto"/>
              </w:rPr>
              <w:t>(1) (2)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Interest receivable on notes receivable (included in other current assets) </w:t>
            </w:r>
            <w:r>
              <w:rPr>
                <w:rFonts w:ascii="Times New Roman" w:cs="Times New Roman" w:eastAsia="Times New Roman" w:hAnsi="Times New Roman"/>
                <w:sz w:val="18"/>
                <w:szCs w:val="18"/>
                <w:i w:val="1"/>
                <w:iCs w:val="1"/>
                <w:color w:val="auto"/>
              </w:rPr>
              <w:t>(1) (2)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Common unit adjustments, net of amortization and integration payments (included in intangible assets) </w:t>
            </w:r>
            <w:r>
              <w:rPr>
                <w:rFonts w:ascii="Times New Roman" w:cs="Times New Roman" w:eastAsia="Times New Roman" w:hAnsi="Times New Roman"/>
                <w:sz w:val="18"/>
                <w:szCs w:val="18"/>
                <w:i w:val="1"/>
                <w:iCs w:val="1"/>
                <w:color w:val="auto"/>
              </w:rPr>
              <w:t>(3)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6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43"/>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Current payable to founding members under tax receivable agreement </w:t>
            </w:r>
            <w:r>
              <w:rPr>
                <w:rFonts w:ascii="Times New Roman" w:cs="Times New Roman" w:eastAsia="Times New Roman" w:hAnsi="Times New Roman"/>
                <w:sz w:val="18"/>
                <w:szCs w:val="18"/>
                <w:i w:val="1"/>
                <w:iCs w:val="1"/>
                <w:color w:val="auto"/>
              </w:rPr>
              <w:t>(1)(4)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Long-term payable to founding members under tax receivable agreement </w:t>
            </w:r>
            <w:r>
              <w:rPr>
                <w:rFonts w:ascii="Times New Roman" w:cs="Times New Roman" w:eastAsia="Times New Roman" w:hAnsi="Times New Roman"/>
                <w:sz w:val="18"/>
                <w:szCs w:val="18"/>
                <w:i w:val="1"/>
                <w:iCs w:val="1"/>
                <w:color w:val="auto"/>
              </w:rPr>
              <w:t>(1)(4)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6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60" w:right="240" w:hanging="317"/>
        <w:spacing w:after="0" w:line="269"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AMC is no longer considered a related party as of July 5, 2018, as described further above. As such, the figures as of September 26, 2019 and December 27, 2018 do not include AMC.</w:t>
      </w:r>
    </w:p>
    <w:p>
      <w:pPr>
        <w:ind w:left="960" w:hanging="317"/>
        <w:spacing w:after="0"/>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the discussion of notes receivable from the founding members above.</w:t>
      </w:r>
    </w:p>
    <w:p>
      <w:pPr>
        <w:spacing w:after="0" w:line="9" w:lineRule="exact"/>
        <w:rPr>
          <w:rFonts w:ascii="Times New Roman" w:cs="Times New Roman" w:eastAsia="Times New Roman" w:hAnsi="Times New Roman"/>
          <w:sz w:val="18"/>
          <w:szCs w:val="18"/>
          <w:i w:val="1"/>
          <w:iCs w:val="1"/>
          <w:color w:val="auto"/>
        </w:rPr>
      </w:pPr>
    </w:p>
    <w:p>
      <w:pPr>
        <w:ind w:left="960" w:right="180" w:hanging="317"/>
        <w:spacing w:after="0" w:line="250"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4—</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1" w:lineRule="exact"/>
        <w:rPr>
          <w:rFonts w:ascii="Times New Roman" w:cs="Times New Roman" w:eastAsia="Times New Roman" w:hAnsi="Times New Roman"/>
          <w:sz w:val="18"/>
          <w:szCs w:val="18"/>
          <w:i w:val="1"/>
          <w:iCs w:val="1"/>
          <w:color w:val="auto"/>
        </w:rPr>
      </w:pPr>
    </w:p>
    <w:p>
      <w:pPr>
        <w:ind w:left="960" w:right="80" w:hanging="317"/>
        <w:spacing w:after="0" w:line="254"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paid Cinemark and Regal $3.5 million and $6.3 million, respectively, in payments pursuant to the TRA during 2019 which was for the 2018 tax year. The Company paid AMC, Cinemark and Regal $5.4 million, $4.6 million and $8.4 million, respectively, in payments pursuant to the TRA during 2018 which was for the 2017 tax year. As AMC is no longer considered a related party as of July 5, 2018, the AMC TRA payment includes only related party activity with AMC for the six months ended June 28, 2018.</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2" w:lineRule="exact"/>
        <w:rPr>
          <w:sz w:val="20"/>
          <w:szCs w:val="20"/>
          <w:color w:val="auto"/>
        </w:rPr>
      </w:pPr>
    </w:p>
    <w:p>
      <w:pPr>
        <w:ind w:right="160" w:firstLine="540"/>
        <w:spacing w:after="0" w:line="261" w:lineRule="auto"/>
        <w:rPr>
          <w:sz w:val="20"/>
          <w:szCs w:val="20"/>
          <w:color w:val="auto"/>
        </w:rPr>
      </w:pPr>
      <w:r>
        <w:rPr>
          <w:rFonts w:ascii="Times New Roman" w:cs="Times New Roman" w:eastAsia="Times New Roman" w:hAnsi="Times New Roman"/>
          <w:sz w:val="18"/>
          <w:szCs w:val="18"/>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Mandatory distributions of available cash for the three and nine months ended September 26, 2019 and September 27, 2018 were as follows (in millions):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80" w:type="dxa"/>
            <w:vAlign w:val="bottom"/>
          </w:tcPr>
          <w:p>
            <w:pPr>
              <w:spacing w:after="0"/>
              <w:rPr>
                <w:sz w:val="12"/>
                <w:szCs w:val="12"/>
                <w:color w:val="auto"/>
              </w:rPr>
            </w:pPr>
          </w:p>
        </w:tc>
        <w:tc>
          <w:tcPr>
            <w:tcW w:w="120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5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Cinemark</w:t>
            </w:r>
          </w:p>
        </w:tc>
        <w:tc>
          <w:tcPr>
            <w:tcW w:w="1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Regal</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r>
      <w:tr>
        <w:trPr>
          <w:trHeight w:val="237"/>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distributions to related parties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44.4</w:t>
            </w: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NCM, Inc.</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42.5</w:t>
            </w:r>
          </w:p>
        </w:tc>
      </w:tr>
      <w:tr>
        <w:trPr>
          <w:trHeight w:val="257"/>
        </w:trPr>
        <w:tc>
          <w:tcPr>
            <w:tcW w:w="5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86.9</w:t>
            </w: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 mandatory distributions of available cash by NCM LLC to Regal and Cinemark for the three months ended September 26, 2019 of $22.4 million are included in amounts due to founding members, net on the unaudited Condensed Consolidated Balance Sheets as of September 26, 2019 and will be made in the fourth quarter of 2019. AMC’s distribution for the three months ended June 28, 2018 was split equally between Cinemark and Regal because NCM LLC used a record date of July 6, 2018 (following the sale of AMC's membership units to Cinemark and Regal) to accommodate an agreement between each of AMC and Cinemark and AMC and Regal. These agreements entitled AMC to half of the second quarter of 2018 available cash distribution, or approximately $2.2 million, of which Cinemark and Regal each independently paid AMC approximately $1.1 million. The mandatory distributions to NCM, Inc. are eliminated in consolidation.</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due to founding members, net as of September 26, 2019 were comprised of the following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Theater access fees, net of beverage revenues and other encumbered theater</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41"/>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payable to founding members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due to founding members, net as of December 27, 2018 were comprised of the following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Theater access fees, net of beverage revenues and other encumbered theater</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41"/>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payable to founding members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Integration payments due from founding members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Amounts due from founding members, net balance as of September 26, 2019 and December 27, 2018 per the Condensed Consolidated Balance Sheets relates to payments due from AMC to NCM LLC. Given that AMC ceased being a related party as of July 5, 2018, the detail of that balance has not been included within the tables above.</w:t>
      </w:r>
    </w:p>
    <w:p>
      <w:pPr>
        <w:spacing w:after="0" w:line="23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27, 2018, AMC received cash dividends of approximately $0.1 million and $0.4 million, respectively, on its shares of NCM, Inc. common stock held at that time.</w:t>
      </w:r>
    </w:p>
    <w:p>
      <w:pPr>
        <w:spacing w:after="0" w:line="50" w:lineRule="exact"/>
        <w:rPr>
          <w:sz w:val="20"/>
          <w:szCs w:val="20"/>
          <w:color w:val="auto"/>
        </w:rPr>
      </w:pPr>
    </w:p>
    <w:p>
      <w:pPr>
        <w:ind w:right="300" w:firstLine="5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AC JV, LLC Transactions</w:t>
      </w:r>
      <w:r>
        <w:rPr>
          <w:rFonts w:ascii="Times New Roman" w:cs="Times New Roman" w:eastAsia="Times New Roman" w:hAnsi="Times New Roman"/>
          <w:sz w:val="18"/>
          <w:szCs w:val="18"/>
          <w:color w:val="auto"/>
        </w:rPr>
        <w:t>—In December 2013, NCM LLC sold its Fathom Events business to a newly formed limited liability company, AC JV,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owned 32% by each of the founding members and 4% by NCM LLC. The Company accounts for its investment in AC JV, LLC under the equity method of accounting in accordance with ASC 323-30,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w:t>
      </w:r>
    </w:p>
    <w:p>
      <w:pPr>
        <w:sectPr>
          <w:pgSz w:w="11900" w:h="16838" w:orient="portrait"/>
          <w:cols w:equalWidth="0" w:num="1">
            <w:col w:w="11420"/>
          </w:cols>
          <w:pgMar w:left="240" w:top="117"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type w:val="continuous"/>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31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operations of AC JV, LLC, the Company concluded that its interest was more than minor under the accounting guidance. The Company’s investment in AC JV, LLC was $1.0 million and $0.9 million as of September 26, 2019 and December 27, 2018, respectively. During the three months ended September 26, 2019 and September 27, 2018 and the nine months ended September 26, 2019 and September 27, 2018, NCM LLC received cash distributions from AC JV, LLC of $0.1 million, $0.0 million, $0.2 million and $0.0 million, respectively. Equity in earnings from AC JV, LLC for the three months ended September 26, 2019 and September 27, 2018 and the nine months ended September 26, 2019 and September 27, 2018, were $0.0 million, $0.0 million, $0.3 million and $0.1 million, respectively, and is included in non-operating expenses in the unaudited Condensed Consolidated Statements of Income. NCM LLC also received fees from AC JV, LLC of $0.1 million, $0.1 million, $0.1 million, and $0.2 million in the three months ended September 26, 2019 and September 27,</w:t>
      </w:r>
    </w:p>
    <w:p>
      <w:pPr>
        <w:spacing w:after="0" w:line="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2018 and the nine months ended September 26, 2019 and September 27, 2018, respectively, related to the transition services agreement with AC JV, LLC whereby the Company provides certain corporate overhead or creative services or use of facilities in exchange for a fee. These fees received by NCM LLC are included as an offset to network costs in the unaudited Condensed Consolidated Statements of Income.</w:t>
      </w:r>
    </w:p>
    <w:p>
      <w:pPr>
        <w:spacing w:after="0" w:line="2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121" w:lineRule="exact"/>
        <w:rPr>
          <w:sz w:val="20"/>
          <w:szCs w:val="20"/>
          <w:color w:val="auto"/>
        </w:rPr>
      </w:pPr>
    </w:p>
    <w:p>
      <w:pPr>
        <w:ind w:right="100" w:firstLine="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NCM LLC’s total outstanding debt as of September 26, 2019 and December 27, 2018 and the significant terms of its borrowing arrangements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80" w:type="dxa"/>
            <w:vAlign w:val="bottom"/>
          </w:tcPr>
          <w:p>
            <w:pPr>
              <w:spacing w:after="0"/>
              <w:rPr>
                <w:sz w:val="13"/>
                <w:szCs w:val="13"/>
                <w:color w:val="auto"/>
              </w:rPr>
            </w:pPr>
          </w:p>
        </w:tc>
        <w:tc>
          <w:tcPr>
            <w:tcW w:w="1180" w:type="dxa"/>
            <w:vAlign w:val="bottom"/>
          </w:tcPr>
          <w:p>
            <w:pPr>
              <w:jc w:val="right"/>
              <w:ind w:right="193"/>
              <w:spacing w:after="0" w:line="15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3"/>
                <w:szCs w:val="13"/>
                <w:color w:val="auto"/>
              </w:rPr>
            </w:pPr>
          </w:p>
        </w:tc>
        <w:tc>
          <w:tcPr>
            <w:tcW w:w="204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1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notes due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15, 2022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 2025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unsecured notes due 2026</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15, 2026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debt issuance costs related to term loan and senior notes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borrowings,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920.9</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20" w:hanging="315"/>
        <w:spacing w:after="0"/>
        <w:tabs>
          <w:tab w:leader="none" w:pos="6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facility and term loan are described below.</w:t>
      </w:r>
    </w:p>
    <w:p>
      <w:pPr>
        <w:spacing w:after="0" w:line="311" w:lineRule="exact"/>
        <w:rPr>
          <w:sz w:val="20"/>
          <w:szCs w:val="20"/>
          <w:color w:val="auto"/>
        </w:rPr>
      </w:pPr>
    </w:p>
    <w:p>
      <w:pPr>
        <w:ind w:right="120" w:firstLine="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r>
        <w:rPr>
          <w:rFonts w:ascii="Times New Roman" w:cs="Times New Roman" w:eastAsia="Times New Roman" w:hAnsi="Times New Roman"/>
          <w:sz w:val="18"/>
          <w:szCs w:val="18"/>
          <w:color w:val="auto"/>
        </w:rPr>
        <w:t>—On June 20, 2018, NCM LLC entered into a credit agreement to replace NCM LLC's senior secured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dated as of February 13, 2007, as amended (the “previous facility”). Consistent with the structure of the previous facility, the agreement consists of a term loan facility and a revolving credit facility. As of September 26, 2019, NCM LLC’s senior secured credit facility consisted of a $175.0 million revolving credit facility and a $267.3 million term loan. The obligations under the senior secured credit facility are secured by a lien on substantially all of the assets of NCM LLC.</w:t>
      </w:r>
    </w:p>
    <w:p>
      <w:pPr>
        <w:spacing w:after="0" w:line="128" w:lineRule="exact"/>
        <w:rPr>
          <w:sz w:val="20"/>
          <w:szCs w:val="20"/>
          <w:color w:val="auto"/>
        </w:rPr>
      </w:pPr>
    </w:p>
    <w:p>
      <w:pPr>
        <w:ind w:right="40" w:firstLine="540"/>
        <w:spacing w:after="0" w:line="253"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—The revolving credit facility portion of NCM LLC’s total borrowings is available, subject to certain conditions, for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purposes of NCM LLC in the ordinary course of business and for other transactions permitted under the senior secured credit facility, and a portion is available for letters of credit. As of September 26, 2019, NCM LLC’s total availability under the $175.0 million revolving credit facility was $164.2 million, net of $6.0 million outstanding and $4.8 million in letters of credit. The unused line fee is 0.50% per annum which is consistent with the previous facility. Borrowings under the revolving credit facility bear interest at NCM LLC’s option of either the LIBOR index plus an applicable margin ranging from 1.75% to 2.25% or the base rate plus an applicable margin ranging from 0.75% to 1.25%.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revolving credit facility will mature on June 20, 2023. The weighted-average interest rate on the revolving credit facility as of September 26, 2019 was 6.00%.</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—The interest rate on the term loan is a rate chosen at NCM LLC’s option of either the LIBOR index plus 3.00% or the base rate plus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The interest rate on the term loan as of September 26, 2019 was 5.19%. The term loan amortizes at a rate equal to 1.00% annually, to be paid in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installments. As of September 26, 2019, NCM LLC has paid principal of $2.7 million, reducing the outstanding balance to $267.3 million.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will mature on June 20, 2025.</w:t>
      </w:r>
    </w:p>
    <w:p>
      <w:pPr>
        <w:spacing w:after="0" w:line="153"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18"/>
          <w:szCs w:val="18"/>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September 26, 2019, NCM LLC’s consolidated net senior secured leverage ratio was 3.11 times (versus the dividend payment restriction of 5.50 times and the covenant of 4.50 times) and NCM LLC's consolidated net total leverage ratio was 4.17 times (versus the covenant of 6.25 times).</w:t>
      </w:r>
    </w:p>
    <w:p>
      <w:pPr>
        <w:spacing w:after="0" w:line="127" w:lineRule="exact"/>
        <w:rPr>
          <w:sz w:val="20"/>
          <w:szCs w:val="20"/>
          <w:color w:val="auto"/>
        </w:rPr>
      </w:pPr>
    </w:p>
    <w:p>
      <w:pPr>
        <w:ind w:right="20" w:firstLine="5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Senior Secured Notes due 2022</w:t>
      </w:r>
      <w:r>
        <w:rPr>
          <w:rFonts w:ascii="Times New Roman" w:cs="Times New Roman" w:eastAsia="Times New Roman" w:hAnsi="Times New Roman"/>
          <w:sz w:val="18"/>
          <w:szCs w:val="18"/>
          <w:color w:val="auto"/>
        </w:rPr>
        <w:t>—On April 27, 2012, NCM LLC completed a private placement of $400.0 million in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share in the same collateral that secures NCM LLC's obligations under the senior secured credit facility.</w:t>
      </w:r>
    </w:p>
    <w:p>
      <w:pPr>
        <w:spacing w:after="0" w:line="123" w:lineRule="exact"/>
        <w:rPr>
          <w:sz w:val="20"/>
          <w:szCs w:val="20"/>
          <w:color w:val="auto"/>
        </w:rPr>
      </w:pPr>
    </w:p>
    <w:p>
      <w:pPr>
        <w:ind w:firstLine="5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Senior Unsecured Notes due 2026</w:t>
      </w:r>
      <w:r>
        <w:rPr>
          <w:rFonts w:ascii="Times New Roman" w:cs="Times New Roman" w:eastAsia="Times New Roman" w:hAnsi="Times New Roman"/>
          <w:sz w:val="18"/>
          <w:szCs w:val="18"/>
          <w:color w:val="auto"/>
        </w:rPr>
        <w:t>—On August 19, 2016, NCM LLC completed a private placement of $250.0 million in aggregate principal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$5.0 million and $15.0 million of the Notes due 2026 during 2019 and 2018, respectively, reducing the principal amount to $230.0 million as of September 26, 2019. These repurchases were treated as partial debt extinguishments and resulted in the realization of a non-operating gain, net of written off debt issuance costs, of $0.3 million and $0.3 million during the nine months ended September 26, 2019 and September 27, 2018, respectively.</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17"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in the Company’s Effective Tax Rate</w:t>
      </w:r>
      <w:r>
        <w:rPr>
          <w:rFonts w:ascii="Times New Roman" w:cs="Times New Roman" w:eastAsia="Times New Roman" w:hAnsi="Times New Roman"/>
          <w:sz w:val="18"/>
          <w:szCs w:val="18"/>
          <w:color w:val="auto"/>
        </w:rPr>
        <w:t>—The Company’s effective tax rate increased from (2.8)% for the three months ended September 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to 33.4% for the three months ended September 26, 2019 primarily due to lower deferred tax expense for the three months ended September 27, 2018 from the Company's remeasurement of its deferred tax assets as a result of revised state tax apportionment rates. The Company’s effective tax rate decreased from 55.3% for the nine months ended September 27, 2018 to 26.9% for the nine months ended September 26, 2019 primarily due to a decrease in tax expense recorded for the change in the state effective tax rate. The decrease in income tax expense was primarily due to a decrease in deferred tax expense for the nine months ended September 26, 2019, compared to the nine months ended September 27, 2018 related to the Company's remeasurement of its deferred taxes as a result of a 2018 state tax law change. The Company's current blended state and federal rate is 24.3% as of September 26, 2019 as compared to 25.6% as of September 27, 2018.</w:t>
      </w: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ind w:right="220" w:firstLine="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effect individually or in the aggregate on its financial position, results of operations or cash flows.</w:t>
      </w:r>
    </w:p>
    <w:p>
      <w:pPr>
        <w:spacing w:after="0" w:line="47" w:lineRule="exact"/>
        <w:rPr>
          <w:sz w:val="20"/>
          <w:szCs w:val="20"/>
          <w:color w:val="auto"/>
        </w:rPr>
      </w:pPr>
    </w:p>
    <w:p>
      <w:pPr>
        <w:ind w:right="100" w:firstLine="5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Commitments - Facilities </w:t>
      </w:r>
      <w:r>
        <w:rPr>
          <w:rFonts w:ascii="Times New Roman" w:cs="Times New Roman" w:eastAsia="Times New Roman" w:hAnsi="Times New Roman"/>
          <w:sz w:val="18"/>
          <w:szCs w:val="18"/>
          <w:color w:val="auto"/>
        </w:rPr>
        <w:t>- 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right-of-use (“ROU”) assets of $21.9 million and short-term and long-term lease liabilities of $1.5 million and $24.5 million, respectively, on the balance sheet as of September 26, 2019 for all material leases with terms longer than twelve months. These balances are included within 'Other assets', 'Other current liabilities' and 'Other liabilities', respectively, on the unaudited Condensed Consolidated Balance Sheets. The Company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ROU assets and lease liabilities. As of September 26, 2019, the Company had a weighted average remaining lease term of 10.25 years on these leases.</w:t>
      </w:r>
    </w:p>
    <w:p>
      <w:pPr>
        <w:spacing w:after="0" w:line="117" w:lineRule="exact"/>
        <w:rPr>
          <w:sz w:val="20"/>
          <w:szCs w:val="20"/>
          <w:color w:val="auto"/>
        </w:rPr>
      </w:pPr>
    </w:p>
    <w:p>
      <w:pPr>
        <w:ind w:right="300" w:firstLine="540"/>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26, 2019,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96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6640" w:type="dxa"/>
            <w:vAlign w:val="bottom"/>
          </w:tcPr>
          <w:p>
            <w:pPr>
              <w:spacing w:after="0"/>
              <w:rPr>
                <w:sz w:val="12"/>
                <w:szCs w:val="12"/>
                <w:color w:val="auto"/>
              </w:rPr>
            </w:pPr>
          </w:p>
        </w:tc>
        <w:tc>
          <w:tcPr>
            <w:tcW w:w="196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95"/>
        </w:trPr>
        <w:tc>
          <w:tcPr>
            <w:tcW w:w="664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1960" w:type="dxa"/>
            <w:vAlign w:val="bottom"/>
            <w:tcBorders>
              <w:bottom w:val="single" w:sz="8" w:color="CCEEFF"/>
            </w:tcBorders>
            <w:shd w:val="clear" w:color="auto" w:fill="CCEEFF"/>
          </w:tcPr>
          <w:p>
            <w:pPr>
              <w:jc w:val="right"/>
              <w:ind w:right="17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1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cost</w:t>
            </w:r>
          </w:p>
        </w:tc>
        <w:tc>
          <w:tcPr>
            <w:tcW w:w="1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0.4</w:t>
            </w:r>
          </w:p>
        </w:tc>
      </w:tr>
      <w:tr>
        <w:trPr>
          <w:trHeight w:val="25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1960" w:type="dxa"/>
            <w:vAlign w:val="bottom"/>
            <w:tcBorders>
              <w:top w:val="single" w:sz="8" w:color="auto"/>
              <w:bottom w:val="single" w:sz="8" w:color="auto"/>
            </w:tcBorders>
          </w:tcPr>
          <w:p>
            <w:pPr>
              <w:jc w:val="right"/>
              <w:ind w:right="17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6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made total lease payments of $0.9 million and $2.5 million during the three and nine months ended September 26, 2019. These payments are included within cash flows from operating activities within the unaudited Condensed Consolidated Statement of Cash Flows. The minimum lease payments under noncancelable operating leases as of December 27, 2018 were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gridSpan w:val="2"/>
          </w:tcPr>
          <w:p>
            <w:pPr>
              <w:ind w:left="35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tcPr>
          <w:p>
            <w:pPr>
              <w:spacing w:after="0"/>
              <w:rPr>
                <w:sz w:val="16"/>
                <w:szCs w:val="16"/>
                <w:color w:val="auto"/>
              </w:rPr>
            </w:pPr>
          </w:p>
        </w:tc>
        <w:tc>
          <w:tcPr>
            <w:tcW w:w="3260" w:type="dxa"/>
            <w:vAlign w:val="bottom"/>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Minimum Lease Payments</w:t>
            </w:r>
          </w:p>
        </w:tc>
      </w:tr>
      <w:tr>
        <w:trPr>
          <w:trHeight w:val="249"/>
        </w:trPr>
        <w:tc>
          <w:tcPr>
            <w:tcW w:w="7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21"/>
                <w:szCs w:val="21"/>
                <w:color w:val="auto"/>
              </w:rPr>
            </w:pPr>
          </w:p>
        </w:tc>
        <w:tc>
          <w:tcPr>
            <w:tcW w:w="3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7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future lease payments under noncancelable operating leases as of September 26, 2019 were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BFE4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Future Lease Payments</w:t>
            </w:r>
          </w:p>
        </w:tc>
      </w:tr>
      <w:tr>
        <w:trPr>
          <w:trHeight w:val="249"/>
        </w:trPr>
        <w:tc>
          <w:tcPr>
            <w:tcW w:w="754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2019 (September 27, 2019 - December 26, 2019)</w:t>
            </w:r>
          </w:p>
        </w:tc>
        <w:tc>
          <w:tcPr>
            <w:tcW w:w="680" w:type="dxa"/>
            <w:vAlign w:val="bottom"/>
            <w:tcBorders>
              <w:bottom w:val="single" w:sz="8" w:color="BFE4FF"/>
            </w:tcBorders>
            <w:shd w:val="clear" w:color="auto" w:fill="BFE4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50"/>
        </w:trPr>
        <w:tc>
          <w:tcPr>
            <w:tcW w:w="744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32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50"/>
        </w:trPr>
        <w:tc>
          <w:tcPr>
            <w:tcW w:w="744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32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70"/>
        </w:trPr>
        <w:tc>
          <w:tcPr>
            <w:tcW w:w="754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Borders>
              <w:bottom w:val="single" w:sz="8" w:color="BFE4FF"/>
            </w:tcBorders>
            <w:shd w:val="clear" w:color="auto" w:fill="BFE4FF"/>
          </w:tcPr>
          <w:p>
            <w:pPr>
              <w:spacing w:after="0"/>
              <w:rPr>
                <w:sz w:val="23"/>
                <w:szCs w:val="23"/>
                <w:color w:val="auto"/>
              </w:rPr>
            </w:pPr>
          </w:p>
        </w:tc>
        <w:tc>
          <w:tcPr>
            <w:tcW w:w="32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r>
      <w:tr>
        <w:trPr>
          <w:trHeight w:val="237"/>
        </w:trPr>
        <w:tc>
          <w:tcPr>
            <w:tcW w:w="7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tcBorders>
          </w:tcPr>
          <w:p>
            <w:pPr>
              <w:spacing w:after="0"/>
              <w:rPr>
                <w:sz w:val="20"/>
                <w:szCs w:val="20"/>
                <w:color w:val="auto"/>
              </w:rPr>
            </w:pPr>
          </w:p>
        </w:tc>
        <w:tc>
          <w:tcPr>
            <w:tcW w:w="3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70"/>
        </w:trPr>
        <w:tc>
          <w:tcPr>
            <w:tcW w:w="7540" w:type="dxa"/>
            <w:vAlign w:val="bottom"/>
            <w:tcBorders>
              <w:bottom w:val="single" w:sz="8" w:color="BFE4FF"/>
            </w:tcBorders>
            <w:gridSpan w:val="2"/>
            <w:shd w:val="clear" w:color="auto" w:fill="BFE4FF"/>
          </w:tcPr>
          <w:p>
            <w:pPr>
              <w:ind w:left="280"/>
              <w:spacing w:after="0"/>
              <w:rPr>
                <w:sz w:val="20"/>
                <w:szCs w:val="20"/>
                <w:color w:val="auto"/>
              </w:rPr>
            </w:pPr>
            <w:r>
              <w:rPr>
                <w:rFonts w:ascii="Times New Roman" w:cs="Times New Roman" w:eastAsia="Times New Roman" w:hAnsi="Times New Roman"/>
                <w:sz w:val="18"/>
                <w:szCs w:val="18"/>
                <w:color w:val="auto"/>
              </w:rPr>
              <w:t>Less: Imputed interest on future lease payments</w:t>
            </w:r>
          </w:p>
        </w:tc>
        <w:tc>
          <w:tcPr>
            <w:tcW w:w="680" w:type="dxa"/>
            <w:vAlign w:val="bottom"/>
            <w:tcBorders>
              <w:bottom w:val="single" w:sz="8" w:color="BFE4FF"/>
            </w:tcBorders>
            <w:shd w:val="clear" w:color="auto" w:fill="BFE4FF"/>
          </w:tcPr>
          <w:p>
            <w:pPr>
              <w:spacing w:after="0"/>
              <w:rPr>
                <w:sz w:val="23"/>
                <w:szCs w:val="23"/>
                <w:color w:val="auto"/>
              </w:rPr>
            </w:pPr>
          </w:p>
        </w:tc>
        <w:tc>
          <w:tcPr>
            <w:tcW w:w="3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7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lease liability as of September 26, 2019 per the Condensed Consolidated Balance Sheet</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40" w:firstLine="540"/>
        <w:spacing w:after="0" w:line="261" w:lineRule="auto"/>
        <w:rPr>
          <w:sz w:val="20"/>
          <w:szCs w:val="20"/>
          <w:color w:val="auto"/>
        </w:rPr>
      </w:pPr>
      <w:r>
        <w:rPr>
          <w:rFonts w:ascii="Times New Roman" w:cs="Times New Roman" w:eastAsia="Times New Roman" w:hAnsi="Times New Roman"/>
          <w:sz w:val="18"/>
          <w:szCs w:val="18"/>
          <w:color w:val="auto"/>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September 26, 2019, the Company’s weighted average annual discount rate used to establish the ROU assets and lease liabilities was 7.35%.</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98" w:lineRule="exact"/>
        <w:rPr>
          <w:sz w:val="20"/>
          <w:szCs w:val="20"/>
          <w:color w:val="auto"/>
        </w:rPr>
      </w:pPr>
    </w:p>
    <w:p>
      <w:pPr>
        <w:ind w:right="20" w:firstLine="5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Commitments - ESAs and Affiliate Agreements </w:t>
      </w:r>
      <w:r>
        <w:rPr>
          <w:rFonts w:ascii="Times New Roman" w:cs="Times New Roman" w:eastAsia="Times New Roman" w:hAnsi="Times New Roman"/>
          <w:sz w:val="18"/>
          <w:szCs w:val="18"/>
          <w:color w:val="auto"/>
        </w:rPr>
        <w:t xml:space="preserve">- 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was therefore, reclassified in the current period from 'Depreciation and amortization expense' to 'Amortization of intangibles recorded for network theater screen leases' within the unaudited Condensed Consolidated Statement of Income.</w:t>
      </w:r>
    </w:p>
    <w:p>
      <w:pPr>
        <w:spacing w:after="0" w:line="141"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next increase occurring in fiscal year 2022,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September 26, 2019 and December 27, 2018, the Company had no liabilities recorded for the minimum payment, as the theater access fee was in excess of the minimum.</w:t>
      </w:r>
    </w:p>
    <w:p>
      <w:pPr>
        <w:spacing w:after="0" w:line="131" w:lineRule="exact"/>
        <w:rPr>
          <w:sz w:val="20"/>
          <w:szCs w:val="20"/>
          <w:color w:val="auto"/>
        </w:rPr>
      </w:pPr>
    </w:p>
    <w:p>
      <w:pPr>
        <w:ind w:firstLine="540"/>
        <w:spacing w:after="0" w:line="253" w:lineRule="auto"/>
        <w:rPr>
          <w:sz w:val="20"/>
          <w:szCs w:val="20"/>
          <w:color w:val="auto"/>
        </w:rPr>
      </w:pPr>
      <w:r>
        <w:rPr>
          <w:rFonts w:ascii="Times New Roman" w:cs="Times New Roman" w:eastAsia="Times New Roman" w:hAnsi="Times New Roman"/>
          <w:sz w:val="18"/>
          <w:szCs w:val="18"/>
          <w:color w:val="auto"/>
        </w:rPr>
        <w:t xml:space="preserve">Following the 2019 ESA Amendments, Cinemark and Regal will receive an additional monthly theater access fee beginning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will be entitled to display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“Platinum Spot”). The “attached” trailers are those provided by studios to Cinemark and Regal that are with the feature film, which is at least one trailer, but sometimes two trailers. In consideration for the utilization of the theaters for the Platinum Spots, Cinemark and Regal will be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3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September 26, 2019, the maximum potential amount of future payments the Company could be required to make pursuant to the minimum revenue guarantees is $83.6 million over the remaining terms of the network affiliate agreements. These minimum guarantees relate to various affiliate agreements ranging in term from one to twenty years, prior to any renewal periods of which some are at the option of the Company. During the three months ended September 26, 2019 and September 27, 2018 and the nine months ended September 26, 2019 and September 27, 2018,</w:t>
      </w:r>
    </w:p>
    <w:p>
      <w:pPr>
        <w:spacing w:after="0" w:line="6"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the Company paid $0.3 million, $0.7 million, $0.3 million and $0.7 million related to these minimum guarantees. Additionally, the Company accrued $0.4 million and $0.1 million related to affiliate agreements with guaranteed minimums in excess of the revenue share agreement as of September 26, 2019 and December 27, 2018, respectively.</w:t>
      </w: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2" w:lineRule="exact"/>
        <w:rPr>
          <w:sz w:val="20"/>
          <w:szCs w:val="20"/>
          <w:color w:val="auto"/>
        </w:rPr>
      </w:pPr>
    </w:p>
    <w:p>
      <w:pPr>
        <w:jc w:val="both"/>
        <w:ind w:right="140" w:firstLine="54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71" w:lineRule="exact"/>
        <w:rPr>
          <w:sz w:val="20"/>
          <w:szCs w:val="20"/>
          <w:color w:val="auto"/>
        </w:rPr>
      </w:pPr>
    </w:p>
    <w:p>
      <w:pPr>
        <w:jc w:val="both"/>
        <w:ind w:right="40"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inactive markets, or other inputs that are observable or can be corroborated by observable market data for substantially the full term of the assets or liabilities.</w:t>
      </w:r>
    </w:p>
    <w:p>
      <w:pPr>
        <w:spacing w:after="0" w:line="120" w:lineRule="exact"/>
        <w:rPr>
          <w:sz w:val="20"/>
          <w:szCs w:val="20"/>
          <w:color w:val="auto"/>
        </w:rPr>
      </w:pPr>
    </w:p>
    <w:p>
      <w:pPr>
        <w:ind w:right="360" w:firstLine="54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102" w:lineRule="exact"/>
        <w:rPr>
          <w:sz w:val="20"/>
          <w:szCs w:val="20"/>
          <w:color w:val="auto"/>
        </w:rPr>
      </w:pPr>
    </w:p>
    <w:p>
      <w:pPr>
        <w:ind w:right="120" w:firstLine="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color w:val="auto"/>
        </w:rPr>
        <w:t>—Certain assets are measured at fair value on a non-recurring basis. These assets are not measured at fair value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ongoing basis but are subject to fair value adjustments in certain circumstances. These assets include long-lived assets, intangible assets, other investments, notes receivable and borrowings.</w:t>
      </w:r>
    </w:p>
    <w:p>
      <w:pPr>
        <w:spacing w:after="0" w:line="119" w:lineRule="exact"/>
        <w:rPr>
          <w:sz w:val="20"/>
          <w:szCs w:val="20"/>
          <w:color w:val="auto"/>
        </w:rPr>
      </w:pPr>
    </w:p>
    <w:p>
      <w:pPr>
        <w:ind w:right="220" w:firstLine="540"/>
        <w:spacing w:after="0" w:line="259" w:lineRule="auto"/>
        <w:rPr>
          <w:sz w:val="20"/>
          <w:szCs w:val="20"/>
          <w:color w:val="auto"/>
        </w:rPr>
      </w:pPr>
      <w:r>
        <w:rPr>
          <w:rFonts w:ascii="Times New Roman" w:cs="Times New Roman" w:eastAsia="Times New Roman" w:hAnsi="Times New Roman"/>
          <w:sz w:val="18"/>
          <w:szCs w:val="18"/>
          <w:i w:val="1"/>
          <w:iCs w:val="1"/>
          <w:color w:val="auto"/>
        </w:rPr>
        <w:t>Long-Lived Assets, Intangible Assets, Other Investments and Notes Receivable</w:t>
      </w:r>
      <w:r>
        <w:rPr>
          <w:rFonts w:ascii="Times New Roman" w:cs="Times New Roman" w:eastAsia="Times New Roman" w:hAnsi="Times New Roman"/>
          <w:sz w:val="18"/>
          <w:szCs w:val="18"/>
          <w:color w:val="auto"/>
        </w:rPr>
        <w:t>—The Company regularly reviews long-lived assets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plant and equipment), intangible assets, investments accounted for under the cost or equity method and notes receivable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80" w:type="dxa"/>
            <w:vAlign w:val="bottom"/>
            <w:tcBorders>
              <w:bottom w:val="single" w:sz="8" w:color="auto"/>
            </w:tcBorders>
          </w:tcPr>
          <w:p>
            <w:pPr>
              <w:spacing w:after="0"/>
              <w:rPr>
                <w:sz w:val="16"/>
                <w:szCs w:val="16"/>
                <w:color w:val="auto"/>
              </w:rPr>
            </w:pPr>
          </w:p>
        </w:tc>
      </w:tr>
      <w:tr>
        <w:trPr>
          <w:trHeight w:val="149"/>
        </w:trPr>
        <w:tc>
          <w:tcPr>
            <w:tcW w:w="8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5"/>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Investment in AC JV, LLC </w:t>
            </w:r>
            <w:r>
              <w:rPr>
                <w:rFonts w:ascii="Times New Roman" w:cs="Times New Roman" w:eastAsia="Times New Roman" w:hAnsi="Times New Roman"/>
                <w:sz w:val="18"/>
                <w:szCs w:val="18"/>
                <w:i w:val="1"/>
                <w:iCs w:val="1"/>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18"/>
                <w:szCs w:val="18"/>
                <w:i w:val="1"/>
                <w:iCs w:val="1"/>
                <w:color w:val="auto"/>
              </w:rPr>
              <w:t>(2)</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line="1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This investment is accounted for utilizing the equity method.</w:t>
      </w:r>
    </w:p>
    <w:p>
      <w:pPr>
        <w:spacing w:after="0" w:line="7" w:lineRule="exact"/>
        <w:rPr>
          <w:rFonts w:ascii="Times New Roman" w:cs="Times New Roman" w:eastAsia="Times New Roman" w:hAnsi="Times New Roman"/>
          <w:sz w:val="18"/>
          <w:szCs w:val="18"/>
          <w:i w:val="1"/>
          <w:iCs w:val="1"/>
          <w:color w:val="auto"/>
        </w:rPr>
      </w:pPr>
    </w:p>
    <w:p>
      <w:pPr>
        <w:ind w:left="340" w:right="40" w:hanging="332"/>
        <w:spacing w:after="0" w:line="254" w:lineRule="auto"/>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The Company received equity securities in privately held companies as consideration for a portion of advertising contracts. The equity securities are accounted for at adjusted cost in accordance with the practicability exception under Accounting Standards Update 2016-1, </w:t>
      </w:r>
      <w:r>
        <w:rPr>
          <w:rFonts w:ascii="Times New Roman" w:cs="Times New Roman" w:eastAsia="Times New Roman" w:hAnsi="Times New Roman"/>
          <w:sz w:val="18"/>
          <w:szCs w:val="18"/>
          <w:i w:val="1"/>
          <w:iCs w:val="1"/>
          <w:color w:val="auto"/>
        </w:rPr>
        <w:t>Recognition and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Assets and Financial Liabilities</w:t>
      </w:r>
      <w:r>
        <w:rPr>
          <w:rFonts w:ascii="Times New Roman" w:cs="Times New Roman" w:eastAsia="Times New Roman" w:hAnsi="Times New Roman"/>
          <w:sz w:val="18"/>
          <w:szCs w:val="18"/>
          <w:color w:val="auto"/>
        </w:rPr>
        <w:t>, and represent an ownership of less than 20%. The Company does not exert significant influence on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operating or financial activities.</w:t>
      </w:r>
    </w:p>
    <w:p>
      <w:pPr>
        <w:spacing w:after="0" w:line="13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26, 2019 and September 27, 2018 and the nine months ended September 26, 2019 and September 27, 2018, the Company recorded impairment charges of $2.0 million, $0.0 million, $2.0 million and $0.4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September 26, 2019 and September 27, 2018. As of September 26, 2019,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1" w:lineRule="exact"/>
        <w:rPr>
          <w:sz w:val="20"/>
          <w:szCs w:val="20"/>
          <w:color w:val="auto"/>
        </w:rPr>
      </w:pPr>
    </w:p>
    <w:p>
      <w:pPr>
        <w:ind w:right="80" w:firstLine="540"/>
        <w:spacing w:after="0" w:line="258" w:lineRule="auto"/>
        <w:rPr>
          <w:sz w:val="20"/>
          <w:szCs w:val="20"/>
          <w:color w:val="auto"/>
        </w:rPr>
      </w:pPr>
      <w:r>
        <w:rPr>
          <w:rFonts w:ascii="Times New Roman" w:cs="Times New Roman" w:eastAsia="Times New Roman" w:hAnsi="Times New Roman"/>
          <w:sz w:val="18"/>
          <w:szCs w:val="18"/>
          <w:color w:val="auto"/>
        </w:rPr>
        <w:t>As of September 26, 2019 and December 27, 2018, the Company had notes receivable totaling $4.2 million and $5.6 million, respectively, from its founding members related to the sale of Fathom Events, as described in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21" w:name="page22"/>
    <w:bookmarkEnd w:id="2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ind w:right="180" w:firstLine="540"/>
        <w:spacing w:after="0" w:line="284" w:lineRule="auto"/>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facility is considered a reasonable estimate of fair value due to its floating-rate terms.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values of the Company’s financial instruments where carrying values do not approximate fair value were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As of September 26,</w:t>
            </w:r>
          </w:p>
        </w:tc>
        <w:tc>
          <w:tcPr>
            <w:tcW w:w="120" w:type="dxa"/>
            <w:vAlign w:val="bottom"/>
          </w:tcPr>
          <w:p>
            <w:pPr>
              <w:spacing w:after="0"/>
              <w:rPr>
                <w:sz w:val="13"/>
                <w:szCs w:val="13"/>
                <w:color w:val="auto"/>
              </w:rPr>
            </w:pPr>
          </w:p>
        </w:tc>
        <w:tc>
          <w:tcPr>
            <w:tcW w:w="2460" w:type="dxa"/>
            <w:vAlign w:val="bottom"/>
            <w:gridSpan w:val="5"/>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As of December 27,</w:t>
            </w:r>
          </w:p>
        </w:tc>
      </w:tr>
      <w:tr>
        <w:trPr>
          <w:trHeight w:val="195"/>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80" w:type="dxa"/>
            <w:vAlign w:val="bottom"/>
            <w:tcBorders>
              <w:bottom w:val="single" w:sz="8" w:color="auto"/>
            </w:tcBorders>
          </w:tcPr>
          <w:p>
            <w:pPr>
              <w:spacing w:after="0"/>
              <w:rPr>
                <w:sz w:val="16"/>
                <w:szCs w:val="16"/>
                <w:color w:val="auto"/>
              </w:rPr>
            </w:pPr>
          </w:p>
        </w:tc>
      </w:tr>
      <w:tr>
        <w:trPr>
          <w:trHeight w:val="264"/>
        </w:trPr>
        <w:tc>
          <w:tcPr>
            <w:tcW w:w="6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i w:val="1"/>
                <w:iCs w:val="1"/>
                <w:color w:val="auto"/>
              </w:rPr>
              <w:t>(1)</w:t>
            </w:r>
          </w:p>
        </w:tc>
      </w:tr>
      <w:tr>
        <w:trPr>
          <w:trHeight w:val="249"/>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261.2</w:t>
            </w:r>
          </w:p>
        </w:tc>
      </w:tr>
      <w:tr>
        <w:trPr>
          <w:trHeight w:val="243"/>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2022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401.8</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2026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211.0</w:t>
            </w:r>
          </w:p>
        </w:tc>
      </w:tr>
      <w:tr>
        <w:trPr>
          <w:trHeight w:val="27"/>
        </w:trPr>
        <w:tc>
          <w:tcPr>
            <w:tcW w:w="6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w:t>
      </w:r>
    </w:p>
    <w:p>
      <w:pPr>
        <w:spacing w:after="0" w:line="10" w:lineRule="exact"/>
        <w:rPr>
          <w:sz w:val="20"/>
          <w:szCs w:val="20"/>
          <w:color w:val="auto"/>
        </w:rPr>
      </w:pPr>
    </w:p>
    <w:p>
      <w:pPr>
        <w:ind w:left="340" w:right="180" w:hanging="332"/>
        <w:spacing w:after="0" w:line="259"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the Company were to measure the borrowings in the above table at fair value on the balance sheet they would be classified as Level 2 based upon the inputs utilized.</w:t>
      </w:r>
    </w:p>
    <w:p>
      <w:pPr>
        <w:spacing w:after="0" w:line="123" w:lineRule="exact"/>
        <w:rPr>
          <w:sz w:val="20"/>
          <w:szCs w:val="20"/>
          <w:color w:val="auto"/>
        </w:rPr>
      </w:pPr>
    </w:p>
    <w:p>
      <w:pPr>
        <w:ind w:right="60" w:firstLine="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—The fair values of the Company’s assets and liabilities measured on a recurring basis pursuant to ASC 820-10,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are as follows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14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Long-term marketable securities </w:t>
            </w:r>
            <w:r>
              <w:rPr>
                <w:rFonts w:ascii="Times New Roman" w:cs="Times New Roman" w:eastAsia="Times New Roman" w:hAnsi="Times New Roman"/>
                <w:sz w:val="18"/>
                <w:szCs w:val="18"/>
                <w:i w:val="1"/>
                <w:iCs w:val="1"/>
                <w:color w:val="auto"/>
              </w:rPr>
              <w:t>(2)</w:t>
            </w:r>
          </w:p>
        </w:tc>
        <w:tc>
          <w:tcPr>
            <w:tcW w:w="20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14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Long-term marketable securities </w:t>
            </w:r>
            <w:r>
              <w:rPr>
                <w:rFonts w:ascii="Times New Roman" w:cs="Times New Roman" w:eastAsia="Times New Roman" w:hAnsi="Times New Roman"/>
                <w:sz w:val="18"/>
                <w:szCs w:val="18"/>
                <w:i w:val="1"/>
                <w:iCs w:val="1"/>
                <w:color w:val="auto"/>
              </w:rPr>
              <w:t>(2)</w:t>
            </w:r>
          </w:p>
        </w:tc>
        <w:tc>
          <w:tcPr>
            <w:tcW w:w="20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20" w:right="180" w:hanging="315"/>
        <w:spacing w:after="0" w:line="250" w:lineRule="auto"/>
        <w:tabs>
          <w:tab w:leader="none" w:pos="6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Company’s cash equivalents are carried at estimated fair value. Cash equivalents consist of money market accounts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classified as Level 1 given the active market for these accounts and commercial paper with original maturities of three months or less, which are classified as Level 2 and are valued as described below.</w:t>
      </w:r>
    </w:p>
    <w:p>
      <w:pPr>
        <w:spacing w:after="0" w:line="1" w:lineRule="exact"/>
        <w:rPr>
          <w:rFonts w:ascii="Times New Roman" w:cs="Times New Roman" w:eastAsia="Times New Roman" w:hAnsi="Times New Roman"/>
          <w:sz w:val="18"/>
          <w:szCs w:val="18"/>
          <w:i w:val="1"/>
          <w:iCs w:val="1"/>
          <w:color w:val="auto"/>
        </w:rPr>
      </w:pPr>
    </w:p>
    <w:p>
      <w:pPr>
        <w:ind w:left="620" w:hanging="315"/>
        <w:spacing w:after="0" w:line="251" w:lineRule="auto"/>
        <w:tabs>
          <w:tab w:leader="none" w:pos="6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and Long-Term Marketable Securities</w:t>
      </w:r>
      <w:r>
        <w:rPr>
          <w:rFonts w:ascii="Times New Roman" w:cs="Times New Roman" w:eastAsia="Times New Roman" w:hAnsi="Times New Roman"/>
          <w:sz w:val="18"/>
          <w:szCs w:val="18"/>
          <w:color w:val="auto"/>
        </w:rPr>
        <w:t>—The carrying amount and fair value of the marketable securities are equivalent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three and nine months ended September 26, 2019 and September 27, 2018, there was an inconsequential amount of net realized gains (losses) recognized in interest income and an inconsequential amount of net unrealized holding gains (losses) included in interest income. Original cost of short-term marketable securities is based on the specific identification method. As of September 26, 2019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2" w:name="page23"/>
    <w:bookmarkEnd w:id="22"/>
    <w:p>
      <w:pPr>
        <w:jc w:val="center"/>
        <w:ind w:left="280" w:right="272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29" w:lineRule="exact"/>
        <w:rPr>
          <w:sz w:val="20"/>
          <w:szCs w:val="20"/>
          <w:color w:val="auto"/>
        </w:rPr>
      </w:pPr>
    </w:p>
    <w:p>
      <w:pPr>
        <w:ind w:left="620" w:right="60"/>
        <w:spacing w:after="0" w:line="313" w:lineRule="auto"/>
        <w:rPr>
          <w:sz w:val="20"/>
          <w:szCs w:val="20"/>
          <w:color w:val="auto"/>
        </w:rPr>
      </w:pPr>
      <w:r>
        <w:rPr>
          <w:rFonts w:ascii="Times New Roman" w:cs="Times New Roman" w:eastAsia="Times New Roman" w:hAnsi="Times New Roman"/>
          <w:sz w:val="18"/>
          <w:szCs w:val="18"/>
          <w:color w:val="auto"/>
        </w:rPr>
        <w:t>December 27, 2018, there was an inconsequential amount and $0.2 million, respectively, of gross unrealized losses related to individual securities of $6.5 million and $11.8 million, respectively, that had been in a continuous loss position for 12 months or longer. The Company has not recorded an impairment because it has the intention and ability to hold these securities to maturity.</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amortized cost basis, aggregate fair value and maturities of the marketable securities the Company held as of September 26,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27, 2018 were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26, 2019</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U.S. government agency bonds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certificates of deposit</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6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27, 2018</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U.S. government agency bonds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commercial paper:</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U.S. government agency bonds</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certificates of deposit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6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20" w:right="100" w:hanging="315"/>
        <w:spacing w:after="0" w:line="261" w:lineRule="auto"/>
        <w:tabs>
          <w:tab w:leader="none" w:pos="1120" w:val="left"/>
        </w:tabs>
        <w:numPr>
          <w:ilvl w:val="1"/>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Maturities</w:t>
      </w:r>
      <w:r>
        <w:rPr>
          <w:rFonts w:ascii="Times New Roman" w:cs="Times New Roman" w:eastAsia="Times New Roman" w:hAnsi="Times New Roman"/>
          <w:sz w:val="18"/>
          <w:szCs w:val="18"/>
          <w:color w:val="auto"/>
        </w:rPr>
        <w:t>—Securities available for sale include obligations with various contractual maturity dates some of which are greater than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considers the securities to be liquid and convertible to cash within 30 days.</w:t>
      </w:r>
    </w:p>
    <w:p>
      <w:pPr>
        <w:spacing w:after="0" w:line="229" w:lineRule="exact"/>
        <w:rPr>
          <w:rFonts w:ascii="Times New Roman" w:cs="Times New Roman" w:eastAsia="Times New Roman" w:hAnsi="Times New Roman"/>
          <w:sz w:val="18"/>
          <w:szCs w:val="18"/>
          <w:i w:val="1"/>
          <w:iCs w:val="1"/>
          <w:color w:val="auto"/>
        </w:rPr>
      </w:pPr>
    </w:p>
    <w:p>
      <w:pPr>
        <w:ind w:left="860" w:hanging="312"/>
        <w:spacing w:after="0"/>
        <w:tabs>
          <w:tab w:leader="none" w:pos="8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October 8, 2019, NCM LLC completed a private offering of $400.0 million aggregate principal amount of 5.875% senior secured notes due 2028 (the “Notes due 2028”) to eligible purchasers. The Notes due 2028 will mature on April 15</w:t>
      </w:r>
    </w:p>
    <w:p>
      <w:pPr>
        <w:sectPr>
          <w:pgSz w:w="11900" w:h="16838" w:orient="portrait"/>
          <w:cols w:equalWidth="0" w:num="1">
            <w:col w:w="11380"/>
          </w:cols>
          <w:pgMar w:left="240" w:top="117" w:right="27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17" w:right="279" w:bottom="1440" w:gutter="0" w:footer="0" w:header="0"/>
          <w:type w:val="continuous"/>
        </w:sectPr>
      </w:pPr>
    </w:p>
    <w:bookmarkStart w:id="23" w:name="page24"/>
    <w:bookmarkEnd w:id="23"/>
    <w:p>
      <w:pPr>
        <w:ind w:firstLine="8"/>
        <w:spacing w:after="0" w:line="256" w:lineRule="auto"/>
        <w:tabs>
          <w:tab w:leader="none" w:pos="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Interest on the Notes due 2028 accrues at a rate of 5.875% per annum and is payable semi-annually in arrears on April 15 and October 15 of each year, commencing on April 15, 2020. Also, on October 8, 2019, NCM LLC called for redemption the entire $400.0 million aggregate principal amount of NCM LLC’s existing Notes due 2022. The redemption price for the Notes due 2022 is 101.000% of the principal amount thereof plus accrued and unpaid interest thereon, to but not including the redemption date. The redemption date will be November 7, 2019. Following the delivery of the redemption notice for the Notes due 2022, NCM LLC deposited funds with the trustee for the Notes due 2022 in an amount that is sufficient for the trustee to pay the full redemption price (including accrued and unpaid interest) to the holders of the Notes due 2022 on the redemption date.</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November 4, 2019, the Company declared a cash dividend of $0.17 per share (approximately $13.2 million) on each share of the Company’s common stock (not including outstanding restricted stock which will accrue dividends until the shares vest) to stockholders of record on November 14, 2019 to be paid on November 29, 2019.</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796"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of 1933, as amended, and Section 21E of the Securities Exchange Act of 1934 (the “Exchange Act”), as amended. All statements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historical facts included in this Form 10-Q, including, without limitation, certain statements under “Management’s Discussion and Analysis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 and Results of Operations,” may constitute forward-looking statements. In some cases, you can identify these “forward-looking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by the specific words, including but not limited to “may,” “should,” “expects,” “plans,” “anticipates,” “believes,” “estimates,” “predicts,”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Our actual results could differ materially from those indicated in these statements as a result of certain factors as more fully discussed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heading “Risk Factors” below and in our annual report on Form 10-K for the Company’s fiscal year ended December 27, 2018. Investors are cautioned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 to place undue reliance on any such forward-looking statements, which speak only as of the date they are made. We undertake no obligation to update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 whether as a result of new information, future events or otherwise, except as required by law. The following discussion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should be read in conjunction with the unaudited Condensed Consolidated Financial Statements and notes thereto included herein and the 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statements and other disclosure included in our annual report on Form 10-K for the Company’s fiscal year ended December 27, 2018.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following discussion and analysis, the term net income refers to net income attributable to NCM,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18"/>
          <w:szCs w:val="18"/>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Times New Roman" w:cs="Times New Roman" w:eastAsia="Times New Roman" w:hAnsi="Times New Roman"/>
          <w:sz w:val="18"/>
          <w:szCs w:val="18"/>
          <w:i w:val="1"/>
          <w:iCs w:val="1"/>
          <w:color w:val="auto"/>
        </w:rPr>
        <w:t>Cinema Accelerator</w:t>
      </w:r>
      <w:r>
        <w:rPr>
          <w:rFonts w:ascii="Times New Roman" w:cs="Times New Roman" w:eastAsia="Times New Roman" w:hAnsi="Times New Roman"/>
          <w:sz w:val="18"/>
          <w:szCs w:val="18"/>
          <w:color w:val="auto"/>
        </w:rPr>
        <w:t xml:space="preserve"> and our other digital gaming products including </w:t>
      </w:r>
      <w:r>
        <w:rPr>
          <w:rFonts w:ascii="Times New Roman" w:cs="Times New Roman" w:eastAsia="Times New Roman" w:hAnsi="Times New Roman"/>
          <w:sz w:val="18"/>
          <w:szCs w:val="18"/>
          <w:i w:val="1"/>
          <w:iCs w:val="1"/>
          <w:color w:val="auto"/>
        </w:rPr>
        <w:t>Noovie ARcade, Fantasy Movie League, Name That Movie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Shuffle </w:t>
      </w:r>
      <w:r>
        <w:rPr>
          <w:rFonts w:ascii="Times New Roman" w:cs="Times New Roman" w:eastAsia="Times New Roman" w:hAnsi="Times New Roman"/>
          <w:sz w:val="18"/>
          <w:szCs w:val="18"/>
          <w:color w:val="auto"/>
        </w:rPr>
        <w:t>which can be played on the mobile apps or at</w:t>
      </w:r>
      <w:r>
        <w:rPr>
          <w:rFonts w:ascii="Times New Roman" w:cs="Times New Roman" w:eastAsia="Times New Roman" w:hAnsi="Times New Roman"/>
          <w:sz w:val="18"/>
          <w:szCs w:val="18"/>
          <w:i w:val="1"/>
          <w:iCs w:val="1"/>
          <w:color w:val="auto"/>
        </w:rPr>
        <w:t xml:space="preserve"> Noovie.com</w:t>
      </w:r>
      <w:r>
        <w:rPr>
          <w:rFonts w:ascii="Times New Roman" w:cs="Times New Roman" w:eastAsia="Times New Roman" w:hAnsi="Times New Roman"/>
          <w:sz w:val="18"/>
          <w:szCs w:val="18"/>
          <w:color w:val="auto"/>
        </w:rPr>
        <w:t>. As of September 26, 2019, over 3.5 million movie goers have downloaded our mobile apps.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These downloads and the acquisition of second party data have resulted in first and second party data sets of over 75 million. We have long-term ESAs (approximately 20.0 weighted average years remaining as of September 26, 2019) with the founding members and multi-year agreements with our network affiliates, which expire at various dates between December 2019 and July 2031. The weighted average remaining term (based on attendance) of the ESAs and the network affiliate agreements is 17.4 years as of September 26, 2019. The ESAs and network affiliate agreements grant NCM LLC exclusive rights in their theaters to sell advertising, subject to limited exceptions.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is projected on digital projectors (95% digital cinema projectors and 5% LCD projectors) as of September 26, 2019.</w:t>
      </w:r>
    </w:p>
    <w:p>
      <w:pPr>
        <w:spacing w:after="0" w:line="145" w:lineRule="exact"/>
        <w:rPr>
          <w:sz w:val="20"/>
          <w:szCs w:val="20"/>
          <w:color w:val="auto"/>
        </w:rPr>
      </w:pPr>
    </w:p>
    <w:p>
      <w:pPr>
        <w:ind w:right="40" w:firstLine="540"/>
        <w:spacing w:after="0" w:line="253"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members of management to discuss and analyze operating results and address significant variances to budget and prior year in an effort to identify trends and changes in our business.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 Financial results, including the metrics outlined above, are presented to the Board of Directors on a monthly basis.</w:t>
      </w:r>
    </w:p>
    <w:p>
      <w:pPr>
        <w:spacing w:after="0" w:line="139" w:lineRule="exact"/>
        <w:rPr>
          <w:sz w:val="20"/>
          <w:szCs w:val="20"/>
          <w:color w:val="auto"/>
        </w:rPr>
      </w:pPr>
    </w:p>
    <w:p>
      <w:pPr>
        <w:ind w:right="640" w:firstLine="540"/>
        <w:spacing w:after="0" w:line="282"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below and in our Form 10-K filed with the SEC on February 22, 2019 for our fiscal year ended December 27,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6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Cinemark and Regal ESAs</w:t>
      </w:r>
    </w:p>
    <w:p>
      <w:pPr>
        <w:spacing w:after="0" w:line="216" w:lineRule="exact"/>
        <w:rPr>
          <w:sz w:val="20"/>
          <w:szCs w:val="20"/>
          <w:color w:val="auto"/>
        </w:rPr>
      </w:pPr>
    </w:p>
    <w:p>
      <w:pPr>
        <w:ind w:right="140" w:firstLine="540"/>
        <w:spacing w:after="0" w:line="266" w:lineRule="auto"/>
        <w:rPr>
          <w:sz w:val="20"/>
          <w:szCs w:val="20"/>
          <w:color w:val="auto"/>
        </w:rPr>
      </w:pPr>
      <w:r>
        <w:rPr>
          <w:rFonts w:ascii="Times New Roman" w:cs="Times New Roman" w:eastAsia="Times New Roman" w:hAnsi="Times New Roman"/>
          <w:sz w:val="18"/>
          <w:szCs w:val="18"/>
          <w:color w:val="auto"/>
        </w:rPr>
        <w:t xml:space="preserve">On September 17, 2019, NCM LLC entered into the 2019 ESA Amendments with affiliates of each of Cinemark and Regal. The 2019 ESA Amendments extended the terms of the ESAs with Cinemark and Regal from February 13, 2037 to February 13, 2041 and modified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Cinemark and Regal theaters.</w:t>
      </w:r>
    </w:p>
    <w:p>
      <w:pPr>
        <w:spacing w:after="0" w:line="120" w:lineRule="exact"/>
        <w:rPr>
          <w:sz w:val="20"/>
          <w:szCs w:val="20"/>
          <w:color w:val="auto"/>
        </w:rPr>
      </w:pPr>
    </w:p>
    <w:p>
      <w:pPr>
        <w:jc w:val="both"/>
        <w:ind w:right="60" w:firstLine="540"/>
        <w:spacing w:after="0" w:line="267" w:lineRule="auto"/>
        <w:rPr>
          <w:sz w:val="20"/>
          <w:szCs w:val="20"/>
          <w:color w:val="auto"/>
        </w:rPr>
      </w:pPr>
      <w:r>
        <w:rPr>
          <w:rFonts w:ascii="Times New Roman" w:cs="Times New Roman" w:eastAsia="Times New Roman" w:hAnsi="Times New Roman"/>
          <w:sz w:val="18"/>
          <w:szCs w:val="18"/>
          <w:color w:val="auto"/>
        </w:rPr>
        <w:t xml:space="preserve">Beginning on November 1, 2019, NCM LLC will be entitled to display up to five minutes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after the advertised showtime of a feature film in Cinemark and Regal theaters. The amount of time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displayed prior to showtime will be reduced by the sum of five minutes plus the aggregate length of time of any Platinum Spot.</w:t>
      </w:r>
    </w:p>
    <w:p>
      <w:pPr>
        <w:spacing w:after="0" w:line="122"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18"/>
          <w:szCs w:val="18"/>
          <w:color w:val="auto"/>
        </w:rPr>
        <w:t>In consideration for utilization of the theaters post-showtime, Cinemark and Regal will be entitled to receive post-showtime theater access fees. These fees are based upon Cinemark’s or Regal’s attendance and a post-showtime theater access fee per patron. NCM LLC will pay a post-showtime theater access fee to Cinemark and Regal as follows: (i) beginning on November 1, 2019, $0.025 per patron, (ii) beginning on November 1, 2020, $0.0375 per patron, (iii) beginning on November 1, 2021, $0.05 per patron, (iv) beginning on November 1, 2022, $0.052 per patron, and (v) beginning on November 1, 2027 and every five years thereafter on November 1, the post-showtime theater access fee per patron will increase by 8%.</w:t>
      </w:r>
    </w:p>
    <w:p>
      <w:pPr>
        <w:spacing w:after="0" w:line="130" w:lineRule="exact"/>
        <w:rPr>
          <w:sz w:val="20"/>
          <w:szCs w:val="20"/>
          <w:color w:val="auto"/>
        </w:rPr>
      </w:pPr>
    </w:p>
    <w:p>
      <w:pPr>
        <w:ind w:right="240" w:firstLine="540"/>
        <w:spacing w:after="0" w:line="266" w:lineRule="auto"/>
        <w:rPr>
          <w:sz w:val="20"/>
          <w:szCs w:val="20"/>
          <w:color w:val="auto"/>
        </w:rPr>
      </w:pPr>
      <w:r>
        <w:rPr>
          <w:rFonts w:ascii="Times New Roman" w:cs="Times New Roman" w:eastAsia="Times New Roman" w:hAnsi="Times New Roman"/>
          <w:sz w:val="18"/>
          <w:szCs w:val="18"/>
          <w:color w:val="auto"/>
        </w:rPr>
        <w:t xml:space="preserve">In addition, beginning on November 1, 2019, NCM LLC will be entitled to display a Platinum Spot,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trailers.</w:t>
      </w:r>
    </w:p>
    <w:p>
      <w:pPr>
        <w:spacing w:after="0" w:line="122" w:lineRule="exact"/>
        <w:rPr>
          <w:sz w:val="20"/>
          <w:szCs w:val="20"/>
          <w:color w:val="auto"/>
        </w:rPr>
      </w:pPr>
    </w:p>
    <w:p>
      <w:pPr>
        <w:ind w:firstLine="540"/>
        <w:spacing w:after="0" w:line="261" w:lineRule="auto"/>
        <w:rPr>
          <w:sz w:val="20"/>
          <w:szCs w:val="20"/>
          <w:color w:val="auto"/>
        </w:rPr>
      </w:pPr>
      <w:r>
        <w:rPr>
          <w:rFonts w:ascii="Times New Roman" w:cs="Times New Roman" w:eastAsia="Times New Roman" w:hAnsi="Times New Roman"/>
          <w:sz w:val="18"/>
          <w:szCs w:val="18"/>
          <w:color w:val="auto"/>
        </w:rPr>
        <w:t>In consideration for the utilization of the theaters post-showtime for Platinum Spots, Cinemark and Regal will be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Refinancing of Notes due 2022</w:t>
      </w:r>
    </w:p>
    <w:p>
      <w:pPr>
        <w:spacing w:after="0" w:line="175" w:lineRule="exact"/>
        <w:rPr>
          <w:sz w:val="20"/>
          <w:szCs w:val="20"/>
          <w:color w:val="auto"/>
        </w:rPr>
      </w:pPr>
    </w:p>
    <w:p>
      <w:pPr>
        <w:ind w:right="80" w:firstLine="540"/>
        <w:spacing w:after="0" w:line="255" w:lineRule="auto"/>
        <w:rPr>
          <w:sz w:val="20"/>
          <w:szCs w:val="20"/>
          <w:color w:val="auto"/>
        </w:rPr>
      </w:pPr>
      <w:r>
        <w:rPr>
          <w:rFonts w:ascii="Times New Roman" w:cs="Times New Roman" w:eastAsia="Times New Roman" w:hAnsi="Times New Roman"/>
          <w:sz w:val="18"/>
          <w:szCs w:val="18"/>
          <w:color w:val="auto"/>
        </w:rPr>
        <w:t>On October 8, 2019, NCM LLC completed a private offering of $400.0 million aggregate principal amount of 5.875% senior secured notes due 2028 to eligible purchasers. The Notes due 2028 will mature on April 15, 2028. Interest on the Notes due 2028 accrues at a rate of 5.875% per annum and is payable semi-annually in arrears on April 15 and October 15 of each year, commencing on April 15, 2020. Also, on October 8, 2019, NCM LLC called for redemption the entire $400.0 million aggregate principal amount of NCM LLC’s existing Notes due 2022. The redemption price for the Notes due 2022 is 101.000% of the principal amount thereof plus accrued and unpaid interest thereon, to but not including the redemption date. The redemption date will be November 7, 2019. Following the delivery of the redemption notice for the Notes due 2022, NCM LLC deposited funds with the trustee for the Notes due 2022 in an amount that is sufficient for the trustee to pay the full redemption price (including accrued and unpaid interest) to the holders of the Notes due 2022 on the redemption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175" w:lineRule="exact"/>
        <w:rPr>
          <w:sz w:val="20"/>
          <w:szCs w:val="20"/>
          <w:color w:val="auto"/>
        </w:rPr>
      </w:pPr>
    </w:p>
    <w:p>
      <w:pPr>
        <w:ind w:right="360" w:firstLine="540"/>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Data</w:t>
      </w:r>
      <w:r>
        <w:rPr>
          <w:rFonts w:ascii="Times New Roman" w:cs="Times New Roman" w:eastAsia="Times New Roman" w:hAnsi="Times New Roman"/>
          <w:sz w:val="18"/>
          <w:szCs w:val="18"/>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14" w:right="2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YTD 2019</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YTD 2018</w:t>
            </w:r>
          </w:p>
        </w:tc>
        <w:tc>
          <w:tcPr>
            <w:tcW w:w="10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Q3 2019 to Q3</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YTD 2019 to YTD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304.0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133.4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Network, administrative and unallocated costs</w:t>
            </w:r>
          </w:p>
        </w:tc>
        <w:tc>
          <w:tcPr>
            <w:tcW w:w="24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210.5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13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NCM,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13.5</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NCM, Inc. basic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NCM, Inc. diluted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0.16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129.2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 margin</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535.8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63" w:lineRule="exact"/>
        <w:rPr>
          <w:sz w:val="20"/>
          <w:szCs w:val="20"/>
          <w:color w:val="auto"/>
        </w:rPr>
      </w:pPr>
    </w:p>
    <w:p>
      <w:pPr>
        <w:ind w:left="340" w:right="60" w:hanging="332"/>
        <w:spacing w:after="0" w:line="266"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AMC Rave and Cinemark Rave theaters that were part of another cinema advertising network for certain periods presented. Refer to Note 4 to the unaudited Condensed Consolidated Financial Statements included elsewhere in this document.</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firstLine="540"/>
        <w:spacing w:after="0" w:line="252" w:lineRule="auto"/>
        <w:rPr>
          <w:sz w:val="20"/>
          <w:szCs w:val="20"/>
          <w:color w:val="auto"/>
        </w:rPr>
      </w:pPr>
      <w:r>
        <w:rPr>
          <w:rFonts w:ascii="Times New Roman" w:cs="Times New Roman" w:eastAsia="Times New Roman" w:hAnsi="Times New Roman"/>
          <w:sz w:val="18"/>
          <w:szCs w:val="18"/>
          <w:color w:val="auto"/>
        </w:rPr>
        <w:t>Adjusted Operating Income Before Depreciation and Amortization (“Adjusted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amortization of intangibles recorded for network theater screen leases, non-cash share based compensation programs,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 intangibles recorded for network theater screen leases, share based payment costs or costs associated with the resignation of the Company’s former Chief Executive Officer.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7" w:right="239" w:bottom="1440" w:gutter="0" w:footer="0" w:header="0"/>
        </w:sectPr>
      </w:pPr>
    </w:p>
    <w:bookmarkStart w:id="27" w:name="page28"/>
    <w:bookmarkEnd w:id="27"/>
    <w:p>
      <w:pPr>
        <w:ind w:left="540"/>
        <w:spacing w:after="0"/>
        <w:rPr>
          <w:sz w:val="20"/>
          <w:szCs w:val="20"/>
          <w:color w:val="auto"/>
        </w:rPr>
      </w:pPr>
      <w:r>
        <w:rPr>
          <w:rFonts w:ascii="Times New Roman" w:cs="Times New Roman" w:eastAsia="Times New Roman" w:hAnsi="Times New Roman"/>
          <w:sz w:val="18"/>
          <w:szCs w:val="18"/>
          <w:color w:val="auto"/>
        </w:rPr>
        <w:t>The following table reconciles operating income to Adjusted OIBDA for the periods presented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YTD 2019</w:t>
            </w:r>
          </w:p>
        </w:tc>
        <w:tc>
          <w:tcPr>
            <w:tcW w:w="240" w:type="dxa"/>
            <w:vAlign w:val="bottom"/>
          </w:tcPr>
          <w:p>
            <w:pPr>
              <w:spacing w:after="0"/>
              <w:rPr>
                <w:sz w:val="16"/>
                <w:szCs w:val="16"/>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YTD 2018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18"/>
                <w:szCs w:val="18"/>
                <w:i w:val="1"/>
                <w:iCs w:val="1"/>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recorded for network theater screen</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leases </w:t>
            </w:r>
            <w:r>
              <w:rPr>
                <w:rFonts w:ascii="Times New Roman" w:cs="Times New Roman" w:eastAsia="Times New Roman" w:hAnsi="Times New Roman"/>
                <w:sz w:val="18"/>
                <w:szCs w:val="18"/>
                <w:i w:val="1"/>
                <w:iCs w:val="1"/>
                <w:color w:val="auto"/>
              </w:rPr>
              <w:t>(1)</w:t>
            </w:r>
          </w:p>
        </w:tc>
        <w:tc>
          <w:tcPr>
            <w:tcW w:w="260" w:type="dxa"/>
            <w:vAlign w:val="bottom"/>
          </w:tcPr>
          <w:p>
            <w:pPr>
              <w:spacing w:after="0"/>
              <w:rPr>
                <w:sz w:val="20"/>
                <w:szCs w:val="20"/>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 transition costs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Adjusted OIBDA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Adjusted OIBDA margin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20" w:right="120" w:hanging="315"/>
        <w:spacing w:after="0" w:line="255" w:lineRule="auto"/>
        <w:tabs>
          <w:tab w:leader="none" w:pos="6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Following the adoption of ASC 842, as discussed within Note 1 to the unaudited Condensed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2" w:lineRule="exact"/>
        <w:rPr>
          <w:rFonts w:ascii="Times New Roman" w:cs="Times New Roman" w:eastAsia="Times New Roman" w:hAnsi="Times New Roman"/>
          <w:sz w:val="18"/>
          <w:szCs w:val="18"/>
          <w:i w:val="1"/>
          <w:iCs w:val="1"/>
          <w:color w:val="auto"/>
        </w:rPr>
      </w:pPr>
    </w:p>
    <w:p>
      <w:pPr>
        <w:ind w:left="620" w:right="660" w:hanging="315"/>
        <w:spacing w:after="0" w:line="261" w:lineRule="auto"/>
        <w:tabs>
          <w:tab w:leader="none" w:pos="6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and administrative expense in the accompanying unaudited Condensed Consolidated Financial Statements.</w:t>
      </w:r>
    </w:p>
    <w:p>
      <w:pPr>
        <w:spacing w:after="0" w:line="176" w:lineRule="exact"/>
        <w:rPr>
          <w:sz w:val="20"/>
          <w:szCs w:val="20"/>
          <w:color w:val="auto"/>
        </w:rPr>
      </w:pPr>
    </w:p>
    <w:p>
      <w:pPr>
        <w:ind w:right="200" w:firstLine="56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Network</w:t>
      </w:r>
      <w:r>
        <w:rPr>
          <w:rFonts w:ascii="Times New Roman" w:cs="Times New Roman" w:eastAsia="Times New Roman" w:hAnsi="Times New Roman"/>
          <w:sz w:val="18"/>
          <w:szCs w:val="18"/>
          <w:color w:val="auto"/>
        </w:rPr>
        <w:t>—The change in the number of screens in our network by the founding members and network affiliates during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26, 2019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Founding Members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27, 2018</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21,172</w:t>
            </w:r>
          </w:p>
        </w:tc>
        <w:tc>
          <w:tcPr>
            <w:tcW w:w="0" w:type="dxa"/>
            <w:vAlign w:val="bottom"/>
          </w:tcPr>
          <w:p>
            <w:pPr>
              <w:spacing w:after="0"/>
              <w:rPr>
                <w:sz w:val="1"/>
                <w:szCs w:val="1"/>
                <w:color w:val="auto"/>
              </w:rPr>
            </w:pPr>
          </w:p>
        </w:tc>
      </w:tr>
      <w:tr>
        <w:trPr>
          <w:trHeight w:val="24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Lost affiliates, net of new affiliates </w:t>
            </w:r>
            <w:r>
              <w:rPr>
                <w:rFonts w:ascii="Times New Roman" w:cs="Times New Roman" w:eastAsia="Times New Roman" w:hAnsi="Times New Roman"/>
                <w:sz w:val="18"/>
                <w:szCs w:val="18"/>
                <w:i w:val="1"/>
                <w:iCs w:val="1"/>
                <w:color w:val="auto"/>
              </w:rPr>
              <w:t>(1)</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Openings, net of closures</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7"/>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26, 2019</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16,852</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4,221</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21,073</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60" w:hanging="328"/>
        <w:spacing w:after="0" w:line="261"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loss of three of our affiliates that did not renew their contracts resulting in a reduction of 250 affiliate screens to our network, offset by the addition of one new affiliate which added 4 new screens to our network during the nine months ended September 26, 2019.</w:t>
      </w:r>
    </w:p>
    <w:p>
      <w:pPr>
        <w:spacing w:after="0" w:line="18" w:lineRule="exact"/>
        <w:rPr>
          <w:sz w:val="20"/>
          <w:szCs w:val="20"/>
          <w:color w:val="auto"/>
        </w:rPr>
      </w:pPr>
    </w:p>
    <w:p>
      <w:pPr>
        <w:jc w:val="both"/>
        <w:ind w:firstLine="540"/>
        <w:spacing w:after="0" w:line="261" w:lineRule="auto"/>
        <w:rPr>
          <w:sz w:val="20"/>
          <w:szCs w:val="20"/>
          <w:color w:val="auto"/>
        </w:rPr>
      </w:pPr>
      <w:r>
        <w:rPr>
          <w:rFonts w:ascii="Times New Roman" w:cs="Times New Roman" w:eastAsia="Times New Roman" w:hAnsi="Times New Roman"/>
          <w:sz w:val="18"/>
          <w:szCs w:val="18"/>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right="100" w:firstLine="540"/>
        <w:spacing w:after="0" w:line="266" w:lineRule="auto"/>
        <w:rPr>
          <w:sz w:val="20"/>
          <w:szCs w:val="20"/>
          <w:color w:val="auto"/>
        </w:rPr>
      </w:pPr>
      <w:r>
        <w:rPr>
          <w:rFonts w:ascii="Times New Roman" w:cs="Times New Roman" w:eastAsia="Times New Roman" w:hAnsi="Times New Roman"/>
          <w:sz w:val="18"/>
          <w:szCs w:val="18"/>
          <w:color w:val="auto"/>
        </w:rPr>
        <w:t>The results of operations data for the three months ended September 26, 2019 (third quarter of 2019) and September 27, 2018 (third quarter of 2018) and the nine months ended September 26, 2019 and September 27, 2018 was derived from the unaudited Condensed Consolidated Financial Statements and accounting records of NCM, Inc. and should be read in conjunction with the notes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of 2019 and Third Quarter of 2018</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364" w:right="299" w:bottom="1440" w:gutter="0" w:footer="0" w:header="0"/>
        </w:sectPr>
      </w:pPr>
    </w:p>
    <w:bookmarkStart w:id="28" w:name="page29"/>
    <w:bookmarkEnd w:id="28"/>
    <w:p>
      <w:pPr>
        <w:ind w:right="5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0.4%, from $110.1 million for the third quarter of 2018 to $110.5 million for the third quarter of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is a summary of revenue by category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54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Q3 2019 to Q3 2018</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Q3 2019 to Q3 2018</w:t>
            </w:r>
          </w:p>
        </w:tc>
      </w:tr>
      <w:tr>
        <w:trPr>
          <w:trHeight w:val="249"/>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advertising revenue</w:t>
            </w:r>
          </w:p>
        </w:tc>
        <w:tc>
          <w:tcPr>
            <w:tcW w:w="2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Regional advertising 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Founding member advertising revenue from</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26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third quarter of 2019 and the third quarter of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6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17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Q3 2019 to Q3 2018</w:t>
            </w:r>
          </w:p>
        </w:tc>
      </w:tr>
      <w:tr>
        <w:trPr>
          <w:trHeight w:val="249"/>
        </w:trPr>
        <w:tc>
          <w:tcPr>
            <w:tcW w:w="6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1040" w:type="dxa"/>
            <w:vAlign w:val="bottom"/>
            <w:tcBorders>
              <w:top w:val="single" w:sz="8" w:color="auto"/>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0.504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advertising revenue per attendee</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0.103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0.106</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Regional advertising revenue per attendee</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0.025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0.027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5"/>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advertising revenue (excluding founding</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beverage revenue) per attendee</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0.632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0.624</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advertising revenue per attendee</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0.676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0.668</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163.4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94"/>
        </w:trPr>
        <w:tc>
          <w:tcPr>
            <w:tcW w:w="6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193" w:lineRule="exact"/>
        <w:rPr>
          <w:sz w:val="20"/>
          <w:szCs w:val="20"/>
          <w:color w:val="auto"/>
        </w:rPr>
      </w:pPr>
    </w:p>
    <w:p>
      <w:pPr>
        <w:ind w:left="460" w:right="240" w:hanging="330"/>
        <w:spacing w:after="0" w:line="282" w:lineRule="auto"/>
        <w:tabs>
          <w:tab w:leader="none" w:pos="4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AMC Rave and Cinemark Rave theaters that were part of another cinema advertising network for certain periods presented.</w:t>
      </w:r>
    </w:p>
    <w:p>
      <w:pPr>
        <w:spacing w:after="0" w:line="108" w:lineRule="exact"/>
        <w:rPr>
          <w:sz w:val="20"/>
          <w:szCs w:val="20"/>
          <w:color w:val="auto"/>
        </w:rPr>
      </w:pPr>
    </w:p>
    <w:p>
      <w:pPr>
        <w:ind w:left="580"/>
        <w:spacing w:after="0" w:line="253"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The $1.5 million, or 1.9%, increase in national advertising revenue (excluding beverage revenue from founding members) was primarily due to a $7.4 million increase in other revenue not included in the inventory measured by impressions sold and CPMs. The increase in other revenue was primarily driven by higher sales of advertiser branded content segments within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lobby promotions, and national digital advertisements. This increase was partially offset by a 9.0% decrease in national advertising CPMs (excluding beverage) driven by a decrease in scatter market demand in the third quarter of 2019, compared to the third quarter of 2018. The scatter market represents inventory not included within an upfront or content partner commitment sold closer to the advertisement air date for typically higher CPMs. Impressions sold remained relatively flat with a 0.4% increase primarily related to an increase in national advertising utilization from 133.2% in third quarter of 2018 to 134.8% in the third quarter of 2019 due in part to the placement of more of the make good balance that existed at the end of the second quarter of 2019, compared to the same period in 2018. The increase was partially offset by a 0.8% decrease in network attendance. Inventory utilization is calculated as utilized impressions divided by total advertising impressions, which is based on eleven 30-second salable national advertising units 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which can be expanded, should market demand dictate.</w:t>
      </w:r>
    </w:p>
    <w:p>
      <w:pPr>
        <w:spacing w:after="0" w:line="139" w:lineRule="exact"/>
        <w:rPr>
          <w:sz w:val="20"/>
          <w:szCs w:val="20"/>
          <w:color w:val="auto"/>
        </w:rPr>
      </w:pPr>
    </w:p>
    <w:p>
      <w:pPr>
        <w:ind w:left="580"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Local advertising revenue.</w:t>
      </w:r>
      <w:r>
        <w:rPr>
          <w:rFonts w:ascii="Times New Roman" w:cs="Times New Roman" w:eastAsia="Times New Roman" w:hAnsi="Times New Roman"/>
          <w:sz w:val="18"/>
          <w:szCs w:val="18"/>
          <w:color w:val="auto"/>
        </w:rPr>
        <w:t xml:space="preserve"> The $0.6 million, or 3.4%, decrease in local advertising revenue was primarily due to a 6.8% decrease in the volume of local contracts for the third quarter of 2019, compared to the third quarter of 2018, partially offset by an increase in local digital sales revenue driven by an increase in the number of integrated on-screen and digital sales.</w:t>
      </w:r>
    </w:p>
    <w:p>
      <w:pPr>
        <w:spacing w:after="0" w:line="122" w:lineRule="exact"/>
        <w:rPr>
          <w:sz w:val="20"/>
          <w:szCs w:val="20"/>
          <w:color w:val="auto"/>
        </w:rPr>
      </w:pPr>
    </w:p>
    <w:p>
      <w:pPr>
        <w:ind w:left="580"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Regional advertising revenue.</w:t>
      </w:r>
      <w:r>
        <w:rPr>
          <w:rFonts w:ascii="Times New Roman" w:cs="Times New Roman" w:eastAsia="Times New Roman" w:hAnsi="Times New Roman"/>
          <w:sz w:val="18"/>
          <w:szCs w:val="18"/>
          <w:color w:val="auto"/>
        </w:rPr>
        <w:t xml:space="preserve"> The $0.4 million, or 8.9%, decrease in regional advertising revenue was primarily due to a decrease in average contract value driven by a reduction in spend of a few large customers during the third quarter of 2019, compared to the third quarter of 2018.</w:t>
      </w:r>
    </w:p>
    <w:p>
      <w:pPr>
        <w:spacing w:after="0" w:line="108" w:lineRule="exact"/>
        <w:rPr>
          <w:sz w:val="20"/>
          <w:szCs w:val="20"/>
          <w:color w:val="auto"/>
        </w:rPr>
      </w:pPr>
    </w:p>
    <w:p>
      <w:pPr>
        <w:jc w:val="both"/>
        <w:ind w:left="580" w:right="420"/>
        <w:spacing w:after="0" w:line="266" w:lineRule="auto"/>
        <w:rPr>
          <w:sz w:val="20"/>
          <w:szCs w:val="20"/>
          <w:color w:val="auto"/>
        </w:rPr>
      </w:pPr>
      <w:r>
        <w:rPr>
          <w:rFonts w:ascii="Times New Roman" w:cs="Times New Roman" w:eastAsia="Times New Roman" w:hAnsi="Times New Roman"/>
          <w:sz w:val="18"/>
          <w:szCs w:val="18"/>
          <w:u w:val="single" w:color="auto"/>
          <w:color w:val="auto"/>
        </w:rPr>
        <w:t>Founding member beverage revenue.</w:t>
      </w:r>
      <w:r>
        <w:rPr>
          <w:rFonts w:ascii="Times New Roman" w:cs="Times New Roman" w:eastAsia="Times New Roman" w:hAnsi="Times New Roman"/>
          <w:sz w:val="18"/>
          <w:szCs w:val="18"/>
          <w:color w:val="auto"/>
        </w:rPr>
        <w:t xml:space="preserve"> The $0.1 million, or 1.4%, decrease in national advertising revenue from the founding members’ beverage concessionaire agreements was primarily due to a 0.3% decrease in founding member attendance, partially offset by a 0.7% increase in beverage revenue CPMs in the third quarter of 2019, compared to the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2" w:right="239" w:bottom="1440" w:gutter="0" w:footer="0" w:header="0"/>
        </w:sectPr>
      </w:pPr>
    </w:p>
    <w:bookmarkStart w:id="29" w:name="page30"/>
    <w:bookmarkEnd w:id="29"/>
    <w:p>
      <w:pPr>
        <w:ind w:left="580" w:right="460"/>
        <w:spacing w:after="0" w:line="282" w:lineRule="auto"/>
        <w:rPr>
          <w:sz w:val="20"/>
          <w:szCs w:val="20"/>
          <w:color w:val="auto"/>
        </w:rPr>
      </w:pPr>
      <w:r>
        <w:rPr>
          <w:rFonts w:ascii="Times New Roman" w:cs="Times New Roman" w:eastAsia="Times New Roman" w:hAnsi="Times New Roman"/>
          <w:sz w:val="18"/>
          <w:szCs w:val="18"/>
          <w:color w:val="auto"/>
        </w:rPr>
        <w:t>third quarter of 2018. The 2019 beverage revenue CPM is based on the change in CPM during segment one of our pre-show from 2017 to 2018, which increased 0.7%.</w:t>
      </w:r>
    </w:p>
    <w:p>
      <w:pPr>
        <w:spacing w:after="0" w:line="106" w:lineRule="exact"/>
        <w:rPr>
          <w:sz w:val="20"/>
          <w:szCs w:val="20"/>
          <w:color w:val="auto"/>
        </w:rPr>
      </w:pPr>
    </w:p>
    <w:p>
      <w:pPr>
        <w:ind w:firstLine="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increased $2.7 million, or 4.0%, from $67.8 million for the third quarter of 2018 to $70.5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2019. The following table shows the changes in operating expense for the third quarter of 2019 and the third quarter of 2018 (in millions):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Advertising operating costs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Network costs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Theater access fees—founding members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Selling and marketing costs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Administrative and other costs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63" w:lineRule="exact"/>
        <w:rPr>
          <w:sz w:val="20"/>
          <w:szCs w:val="20"/>
          <w:color w:val="auto"/>
        </w:rPr>
      </w:pPr>
    </w:p>
    <w:p>
      <w:pPr>
        <w:ind w:left="180" w:right="640" w:hanging="134"/>
        <w:spacing w:after="0" w:line="281" w:lineRule="auto"/>
        <w:rPr>
          <w:sz w:val="20"/>
          <w:szCs w:val="20"/>
          <w:color w:val="auto"/>
        </w:rPr>
      </w:pPr>
      <w:r>
        <w:rPr>
          <w:rFonts w:ascii="Times New Roman" w:cs="Times New Roman" w:eastAsia="Times New Roman" w:hAnsi="Times New Roman"/>
          <w:sz w:val="18"/>
          <w:szCs w:val="18"/>
          <w:color w:val="auto"/>
        </w:rPr>
        <w:t>Amortization of intangibles recorded for network theater screen leases</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Q3 2019 to Q3 2018</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Q3 2019 to Q3 2018</w:t>
            </w:r>
          </w:p>
        </w:tc>
      </w:tr>
      <w:tr>
        <w:trPr>
          <w:trHeight w:val="24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70"/>
        </w:trPr>
        <w:tc>
          <w:tcPr>
            <w:tcW w:w="3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86"/>
        </w:trPr>
        <w:tc>
          <w:tcPr>
            <w:tcW w:w="3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38"/>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-1774825</wp:posOffset>
            </wp:positionV>
            <wp:extent cx="681799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18034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-1423035</wp:posOffset>
            </wp:positionV>
            <wp:extent cx="68179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1714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-1080135</wp:posOffset>
            </wp:positionV>
            <wp:extent cx="681799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1714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-736600</wp:posOffset>
            </wp:positionV>
            <wp:extent cx="68179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1714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-256540</wp:posOffset>
            </wp:positionV>
            <wp:extent cx="6817995"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7080"/>
          </w:cols>
          <w:pgMar w:left="240" w:top="364" w:right="259" w:bottom="1440" w:gutter="0" w:footer="0" w:header="0"/>
          <w:type w:val="continuous"/>
        </w:sectPr>
      </w:pPr>
    </w:p>
    <w:p>
      <w:pPr>
        <w:spacing w:after="0" w:line="52"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decreased $0.7 million, or 6.8%, from $10.3 million for the third quarter of 2018 to $9.6 million for the third quarter of 2019. The decrease was primarily related to a $0.9 million decrease in affiliate advertising payments driven by a 3.6%, or 156 screens, decrease in the number of average affiliate screens as of the third quarter of 2019, compared to the third quarter of 2018 and a decrease in minimum guarantee payments to affiliates. This was partially offset by a $0.2 million increase in production costs associated with content produced for national advertisers.</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remained consistent at $3.2 million for the third quarter of 2018 and the third quarter of 2019.</w:t>
      </w:r>
    </w:p>
    <w:p>
      <w:pPr>
        <w:spacing w:after="0" w:line="171" w:lineRule="exact"/>
        <w:rPr>
          <w:sz w:val="20"/>
          <w:szCs w:val="20"/>
          <w:color w:val="auto"/>
        </w:rPr>
      </w:pPr>
    </w:p>
    <w:p>
      <w:pPr>
        <w:ind w:left="58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Theater access fees—founding members.</w:t>
      </w:r>
      <w:r>
        <w:rPr>
          <w:rFonts w:ascii="Times New Roman" w:cs="Times New Roman" w:eastAsia="Times New Roman" w:hAnsi="Times New Roman"/>
          <w:sz w:val="18"/>
          <w:szCs w:val="18"/>
          <w:color w:val="auto"/>
        </w:rPr>
        <w:t xml:space="preserve"> Theater access fees increased $0.4 million, or 2.0%, from $19.7 million in the third quarter of 2018 to $20.1 million in the third quarter of 2019. The increase was due to a $0.4 million increase in the expense associated with the founding member digital screens that are connected to the DCN (nearly 100% of our founding member screens as of September 26, 2019), due to the annual 5% increase specified in the ESAs. The expense associated with founding member attendance remained approximately flat due to a 0.3% decrease in attendance at founding members’ theaters during the third quarter of 2019, compared to the third quarter of 2018.</w:t>
      </w:r>
    </w:p>
    <w:p>
      <w:pPr>
        <w:spacing w:after="0" w:line="130"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$1.7 million, or 11.1%, from $15.3 million for the third quarter of 2018 to $17.0 million for the third quarter of 2019. This increase was primarily related to $2.0 million of non-cash impairment expense realized in the third quarter of 2019 related to investments obtained in prior years in exchange for advertising services and a $0.6 million increase in digital advertising expense driven by the increase in digital advertising sales in the third quarter of 2019, compared to the third quarter of 2018. These increases were partially offset by a $0.5 million decrease in expenses related to sales meetings, including related travel expenses, due to the timing of meetings.</w:t>
      </w:r>
    </w:p>
    <w:p>
      <w:pPr>
        <w:spacing w:after="0" w:line="130" w:lineRule="exact"/>
        <w:rPr>
          <w:sz w:val="20"/>
          <w:szCs w:val="20"/>
          <w:color w:val="auto"/>
        </w:rPr>
      </w:pPr>
    </w:p>
    <w:p>
      <w:pPr>
        <w:jc w:val="both"/>
        <w:ind w:left="580" w:right="400"/>
        <w:spacing w:after="0" w:line="266"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increased $1.1 million, or 11.8%, from $9.3 million in the third quarter of 2018 to $10.4 million in the third quarter of 2019. Administrative and other costs increased primarily due to a $1.4 million increase in personnel related expenses driven by an increase in bonus expense due to performance-based compensation expense accrued.</w:t>
      </w:r>
    </w:p>
    <w:p>
      <w:pPr>
        <w:spacing w:after="0" w:line="122" w:lineRule="exact"/>
        <w:rPr>
          <w:sz w:val="20"/>
          <w:szCs w:val="20"/>
          <w:color w:val="auto"/>
        </w:rPr>
      </w:pPr>
    </w:p>
    <w:p>
      <w:pPr>
        <w:ind w:left="580"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increased $0.3 million, or 9.7%, from $3.1 million for the third quarter of 2018 to $3.4 million for the third quarter of 2019, primarily due to new fixed assets being placed into service during the fourth quarter of 2018.</w:t>
      </w:r>
    </w:p>
    <w:p>
      <w:pPr>
        <w:spacing w:after="0" w:line="108" w:lineRule="exact"/>
        <w:rPr>
          <w:sz w:val="20"/>
          <w:szCs w:val="20"/>
          <w:color w:val="auto"/>
        </w:rPr>
      </w:pPr>
    </w:p>
    <w:p>
      <w:pPr>
        <w:ind w:left="580"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Amortization expense and Amortization of intangibles recorded for network theater screen leases.</w:t>
      </w:r>
      <w:r>
        <w:rPr>
          <w:rFonts w:ascii="Times New Roman" w:cs="Times New Roman" w:eastAsia="Times New Roman" w:hAnsi="Times New Roman"/>
          <w:sz w:val="18"/>
          <w:szCs w:val="18"/>
          <w:color w:val="auto"/>
        </w:rPr>
        <w:t xml:space="preserve"> Amortization of our ESA and affiliate intangibles was at $6.9 million for the third quarter of 2018, consistent with the $6.8 million of amortization of intangibles recorded for network theater screen leases for the third quarter of 2019. Following the adoption of ASC 842, as discussed within Note 1 to the unaudited Condensed Consolidated Financial Statements</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364" w:right="259" w:bottom="1440" w:gutter="0" w:footer="0" w:header="0"/>
          <w:type w:val="continuous"/>
        </w:sectPr>
      </w:pPr>
    </w:p>
    <w:bookmarkStart w:id="30" w:name="page31"/>
    <w:bookmarkEnd w:id="30"/>
    <w:p>
      <w:pPr>
        <w:ind w:left="580" w:right="20"/>
        <w:spacing w:after="0" w:line="266" w:lineRule="auto"/>
        <w:rPr>
          <w:sz w:val="20"/>
          <w:szCs w:val="20"/>
          <w:color w:val="auto"/>
        </w:rPr>
      </w:pPr>
      <w:r>
        <w:rPr>
          <w:rFonts w:ascii="Times New Roman" w:cs="Times New Roman" w:eastAsia="Times New Roman" w:hAnsi="Times New Roman"/>
          <w:sz w:val="18"/>
          <w:szCs w:val="18"/>
          <w:color w:val="auto"/>
        </w:rPr>
        <w:t>included elsewhere in this document, amortization of the ESA and affiliate intangible balances is considered a form of lease expense and has been reclassified from amortization expense to amortization of intangibles recorded for network theater screen leases as of the adoption date, December 28, 2018. The Company adopted ASC 842 prospectively and thus, prior period balances remain within amortization expense.</w:t>
      </w:r>
    </w:p>
    <w:p>
      <w:pPr>
        <w:spacing w:after="0" w:line="120" w:lineRule="exact"/>
        <w:rPr>
          <w:sz w:val="20"/>
          <w:szCs w:val="20"/>
          <w:color w:val="auto"/>
        </w:rPr>
      </w:pPr>
    </w:p>
    <w:p>
      <w:pPr>
        <w:jc w:val="both"/>
        <w:ind w:right="320"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w:t>
      </w:r>
      <w:r>
        <w:rPr>
          <w:rFonts w:ascii="Times New Roman" w:cs="Times New Roman" w:eastAsia="Times New Roman" w:hAnsi="Times New Roman"/>
          <w:sz w:val="18"/>
          <w:szCs w:val="18"/>
          <w:color w:val="auto"/>
        </w:rPr>
        <w:t>Total non-operating expenses decreased $4.0 million, or 23.7%, from $16.9 million for the third quarter of 2018 to $12.9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third quarter of 2019. The following table shows the changes in non-operating expense for the third quarter of 2019 and the third quarter of 2018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45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Q3 2019 to Q3 2018</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Q3 2019 to Q3 2018</w:t>
            </w:r>
          </w:p>
        </w:tc>
      </w:tr>
      <w:tr>
        <w:trPr>
          <w:trHeight w:val="24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borrowings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7"/>
        </w:trPr>
        <w:tc>
          <w:tcPr>
            <w:tcW w:w="4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5"/>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the re-measurement of the payable</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founding members under the tax receivable</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7"/>
        </w:trPr>
        <w:tc>
          <w:tcPr>
            <w:tcW w:w="4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4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decrease in non-operating expense was primarily due to a $3.2 million loss on the re-measurement of the payable to founding members under the tax receivable agreement for the third quarter of 2018 as compared to a $0.5 million gain on the re-measurement of the payable for the third quarter of 2019 primarily due to a change in the state tax rates in 2018. The decrease was also due to a $0.6 million decrease in interest on borrowings due to a decrease in the amount of debt outstanding for the third quarter of 2019, compared to the third quarter of 2018. These decreases were partially offset by the absence of a $0.3 million gain on the extinguishment of debt related to the repurchase of some of our Notes due 2026 during the third quarter of 2018.</w:t>
      </w:r>
    </w:p>
    <w:p>
      <w:pPr>
        <w:spacing w:after="0" w:line="74"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expense (benefit) increased $4.6 million from $0.3 million of income tax benefit in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to $4.3 million of income tax expense in the third quarter of 2019. The increase was due primarily to an increase in the deferred tax rate in the third quarter of 2018 related to revised state tax apportionment rates following the completion of the 2017 tax return.</w:t>
      </w:r>
    </w:p>
    <w:p>
      <w:pPr>
        <w:spacing w:after="0" w:line="120" w:lineRule="exact"/>
        <w:rPr>
          <w:sz w:val="20"/>
          <w:szCs w:val="20"/>
          <w:color w:val="auto"/>
        </w:rPr>
      </w:pPr>
    </w:p>
    <w:p>
      <w:pPr>
        <w:ind w:right="34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decreased $2.0 million from $11.2 million for the third quarter of 2018 to $9.2 million for the third quarter of 2019.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in net income was due to a $4.6 million increase in income tax expense and a $2.3 million decrease in operating income. These decreases were partially offset by a decrease of $4.0 million in non-operating expenses and a $0.9 million decrease in net income attributable to noncontrolling interests.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26, 2019 and September 27, 2018</w:t>
      </w:r>
    </w:p>
    <w:p>
      <w:pPr>
        <w:spacing w:after="0" w:line="17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decreased 2.1%, from $304.0 million for the nine months ended September 27, 2018 to $297.6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26, 2019. The following is a summary of revenue by category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27, 2018</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YTD 2019 to YTD</w:t>
            </w:r>
          </w:p>
        </w:tc>
        <w:tc>
          <w:tcPr>
            <w:tcW w:w="120" w:type="dxa"/>
            <w:vAlign w:val="bottom"/>
          </w:tcPr>
          <w:p>
            <w:pPr>
              <w:spacing w:after="0"/>
              <w:rPr>
                <w:sz w:val="12"/>
                <w:szCs w:val="12"/>
                <w:color w:val="auto"/>
              </w:rPr>
            </w:pPr>
          </w:p>
        </w:tc>
        <w:tc>
          <w:tcPr>
            <w:tcW w:w="1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YTD 2019 to YTD 2018</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advertising revenue</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Regional advertising revenue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5"/>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Founding member advertising revenue from</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1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nine months ended September 26, 2019 and September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4"/>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240" w:type="dxa"/>
            <w:vAlign w:val="bottom"/>
          </w:tcPr>
          <w:p>
            <w:pPr>
              <w:spacing w:after="0"/>
              <w:rPr>
                <w:sz w:val="22"/>
                <w:szCs w:val="22"/>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27, 2018</w:t>
            </w:r>
          </w:p>
        </w:tc>
        <w:tc>
          <w:tcPr>
            <w:tcW w:w="2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YTD 2019 to YTD 2018</w:t>
            </w:r>
          </w:p>
        </w:tc>
      </w:tr>
      <w:tr>
        <w:trPr>
          <w:trHeight w:val="249"/>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shd w:val="clear" w:color="auto" w:fill="CCEEFF"/>
              </w:rPr>
              <w:t>0.430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advertising revenue per attendee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0.091</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Regional advertising revenue per attendee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0.031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advertising revenue (excluding founding</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beverage revenue) per attendee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0.554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0.523</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advertising revenue per attendee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0.567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54"/>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bl>
    <w:p>
      <w:pPr>
        <w:spacing w:after="0" w:line="139" w:lineRule="exact"/>
        <w:rPr>
          <w:sz w:val="20"/>
          <w:szCs w:val="20"/>
          <w:color w:val="auto"/>
        </w:rPr>
      </w:pPr>
    </w:p>
    <w:p>
      <w:pPr>
        <w:ind w:left="460" w:right="240" w:hanging="330"/>
        <w:spacing w:after="0" w:line="282" w:lineRule="auto"/>
        <w:tabs>
          <w:tab w:leader="none" w:pos="4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108" w:lineRule="exact"/>
        <w:rPr>
          <w:sz w:val="20"/>
          <w:szCs w:val="20"/>
          <w:color w:val="auto"/>
        </w:rPr>
      </w:pPr>
    </w:p>
    <w:p>
      <w:pPr>
        <w:ind w:left="580"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The $0.5 million, or 0.2%, decrease in national advertising revenue (excluding beverage revenue from the founding members) was due primarily to a 4.8% decrease in national advertising CPMs (excluding beverage), partially offset by a $9.4 million increase in other revenue not included in the inventory measured by impressions sold and CPMs. The decrease in national advertising CPMs (excluding beverage) was driven by a decrease in scatter market demand in the first nine months of 2019, compared to the first nine months of 2018. The scatter market represents inventory not included within an upfront or content partner commitment sold closer to the advertisement air date for typically higher CPMs. The increase in other revenue was primarily driven by higher sales of advertiser branded content segments within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lobby promotions, and online and mobile advertisements. Impressions sold remained relatively flat with a 0.8% decrease related to a 7.2% decrease in network attendance, partially offset by an increase in national advertising utilization from 109.1% in the first nine months of 2018 to 116.7% in the first nine months of 2019 due in part to the placement of more of the make good balance that existed at the end of 2018, compared to the same period in 2018. Inventory utilization is calculated as utilized impressions divided by total advertising impressions, which is based on eleven 30-second salable national advertising units 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which can be expanded, should market demand dictate.</w:t>
      </w:r>
    </w:p>
    <w:p>
      <w:pPr>
        <w:spacing w:after="0" w:line="139" w:lineRule="exact"/>
        <w:rPr>
          <w:sz w:val="20"/>
          <w:szCs w:val="20"/>
          <w:color w:val="auto"/>
        </w:rPr>
      </w:pPr>
    </w:p>
    <w:p>
      <w:pPr>
        <w:ind w:left="580"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Local advertising revenue.</w:t>
      </w:r>
      <w:r>
        <w:rPr>
          <w:rFonts w:ascii="Times New Roman" w:cs="Times New Roman" w:eastAsia="Times New Roman" w:hAnsi="Times New Roman"/>
          <w:sz w:val="18"/>
          <w:szCs w:val="18"/>
          <w:color w:val="auto"/>
        </w:rPr>
        <w:t xml:space="preserve"> The $1.7 million, or 3.5%, decrease in local advertising revenue was primarily due to a 10.4% decrease in the volume of contracts. This decrease was partially offset by an increase in local digital sales revenue driven by an increase in the number of integrated on-screen and digital sales and a 4.1% increase in the average on-screen contract value driven by contracts under $100,000 in the first nine months of 2019, compared to the first nine months of 2018.</w:t>
      </w:r>
    </w:p>
    <w:p>
      <w:pPr>
        <w:spacing w:after="0" w:line="126" w:lineRule="exact"/>
        <w:rPr>
          <w:sz w:val="20"/>
          <w:szCs w:val="20"/>
          <w:color w:val="auto"/>
        </w:rPr>
      </w:pPr>
    </w:p>
    <w:p>
      <w:pPr>
        <w:jc w:val="both"/>
        <w:ind w:left="580" w:right="400"/>
        <w:spacing w:after="0" w:line="289" w:lineRule="auto"/>
        <w:rPr>
          <w:sz w:val="20"/>
          <w:szCs w:val="20"/>
          <w:color w:val="auto"/>
        </w:rPr>
      </w:pPr>
      <w:r>
        <w:rPr>
          <w:rFonts w:ascii="Times New Roman" w:cs="Times New Roman" w:eastAsia="Times New Roman" w:hAnsi="Times New Roman"/>
          <w:sz w:val="17"/>
          <w:szCs w:val="17"/>
          <w:u w:val="single" w:color="auto"/>
          <w:color w:val="auto"/>
        </w:rPr>
        <w:t>Regional advertising revenue.</w:t>
      </w:r>
      <w:r>
        <w:rPr>
          <w:rFonts w:ascii="Times New Roman" w:cs="Times New Roman" w:eastAsia="Times New Roman" w:hAnsi="Times New Roman"/>
          <w:sz w:val="17"/>
          <w:szCs w:val="17"/>
          <w:color w:val="auto"/>
        </w:rPr>
        <w:t xml:space="preserve"> The $2.4 million, or 14.5%, decrease in regional advertising revenue was primarily due to the shift of a handful of clients from regional advertising to national advertising during the first nine months of 2019, compared to the first nine months of 2018, partially offset by an increase in the volume of contracts under $100,000 in the first nine months of 2019, compared to the first nine months of 2018.</w:t>
      </w:r>
    </w:p>
    <w:p>
      <w:pPr>
        <w:spacing w:after="0" w:line="104" w:lineRule="exact"/>
        <w:rPr>
          <w:sz w:val="20"/>
          <w:szCs w:val="20"/>
          <w:color w:val="auto"/>
        </w:rPr>
      </w:pPr>
    </w:p>
    <w:p>
      <w:pPr>
        <w:ind w:left="580"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Founding member beverage revenue.</w:t>
      </w:r>
      <w:r>
        <w:rPr>
          <w:rFonts w:ascii="Times New Roman" w:cs="Times New Roman" w:eastAsia="Times New Roman" w:hAnsi="Times New Roman"/>
          <w:sz w:val="18"/>
          <w:szCs w:val="18"/>
          <w:color w:val="auto"/>
        </w:rPr>
        <w:t xml:space="preserve"> The $1.8 million, or 7.5%, decrease in national advertising revenue from the founding members’ beverage concessionaire agreements was primarily due to a 6.7% decrease in founding member attendance, partially offset by a 0.7% increase in beverage revenue CPMs, in the first nine months of 2019, compared to the first nine months of 2018. The 2019 beverage revenue CPM is based on the change in CPM during segment one of our pre-show from 2017 to 2018, which increased 0.7%.</w:t>
      </w:r>
    </w:p>
    <w:p>
      <w:pPr>
        <w:spacing w:after="0" w:line="124" w:lineRule="exact"/>
        <w:rPr>
          <w:sz w:val="20"/>
          <w:szCs w:val="20"/>
          <w:color w:val="auto"/>
        </w:rPr>
      </w:pPr>
    </w:p>
    <w:p>
      <w:pPr>
        <w:ind w:right="80"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decreased $1.5 million, or 0.7%, from $210.5 million for the nine months ended September 27, 2018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$209.0 million for the nine months ended September 26, 2019. The following table shows the changes in operating expense for the nine months ended September 26, 2019 and September 27, 2018 (in millions):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9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27, 2018</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YTD 2019 to YTD</w:t>
            </w:r>
          </w:p>
        </w:tc>
        <w:tc>
          <w:tcPr>
            <w:tcW w:w="120" w:type="dxa"/>
            <w:vAlign w:val="bottom"/>
          </w:tcPr>
          <w:p>
            <w:pPr>
              <w:spacing w:after="0"/>
              <w:rPr>
                <w:sz w:val="12"/>
                <w:szCs w:val="12"/>
                <w:color w:val="auto"/>
              </w:rPr>
            </w:pPr>
          </w:p>
        </w:tc>
        <w:tc>
          <w:tcPr>
            <w:tcW w:w="1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YTD 2019 to YTD 2018</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costs</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Theater access fees—founding members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5"/>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intangibles recorded for</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theater screen leases</w:t>
            </w:r>
          </w:p>
        </w:tc>
        <w:tc>
          <w:tcPr>
            <w:tcW w:w="12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increased $0.3 million, or 1.1%, from $26.5 million for the nine months ended September 27, 2018 to $26.8 million for the nine months ended September 26, 2019. The increase was primarily related to a $0.3 million increase in production costs associated with content produced for national advertisers.</w:t>
      </w:r>
    </w:p>
    <w:p>
      <w:pPr>
        <w:spacing w:after="0" w:line="122" w:lineRule="exact"/>
        <w:rPr>
          <w:sz w:val="20"/>
          <w:szCs w:val="20"/>
          <w:color w:val="auto"/>
        </w:rPr>
      </w:pPr>
    </w:p>
    <w:p>
      <w:pPr>
        <w:ind w:left="580" w:right="480"/>
        <w:spacing w:after="0" w:line="282"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remained relatively consistent and increased $0.1 million, or 1.0%, from $10.0 million for the nine months ended September 27, 2018 to $10.1 million for the nine months ended September 26, 2019.</w:t>
      </w:r>
    </w:p>
    <w:p>
      <w:pPr>
        <w:spacing w:after="0" w:line="108" w:lineRule="exact"/>
        <w:rPr>
          <w:sz w:val="20"/>
          <w:szCs w:val="20"/>
          <w:color w:val="auto"/>
        </w:rPr>
      </w:pPr>
    </w:p>
    <w:p>
      <w:pPr>
        <w:ind w:left="580"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Theater access fees—founding members.</w:t>
      </w:r>
      <w:r>
        <w:rPr>
          <w:rFonts w:ascii="Times New Roman" w:cs="Times New Roman" w:eastAsia="Times New Roman" w:hAnsi="Times New Roman"/>
          <w:sz w:val="18"/>
          <w:szCs w:val="18"/>
          <w:color w:val="auto"/>
        </w:rPr>
        <w:t xml:space="preserve"> Theater access fees decreased $1.0 million, or 1.6%, from $61.8 million in the nine months ended September 27, 2018 to $60.8 million for the nine months ended September 26, 2019. The decrease was due to a $2.4 million decrease in the expense associated with founding member attendance due to a 6.7% decrease in attendance at founding members’ theaters. The decrease was partially offset by a $1.4 million increase in the expense associated with the founding member digital screens that are connected to the DCN (nearly 100% of our screens as of September 26, 2019), including higher quality digital cinema projectors and related equipment, due to the annual 5% rate increase specified in the ESAs.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$0.4 million, or 0.8%, from $48.0 million for the nine months ended</w:t>
      </w:r>
    </w:p>
    <w:p>
      <w:pPr>
        <w:spacing w:after="0" w:line="27" w:lineRule="exact"/>
        <w:rPr>
          <w:sz w:val="20"/>
          <w:szCs w:val="20"/>
          <w:color w:val="auto"/>
        </w:rPr>
      </w:pPr>
    </w:p>
    <w:p>
      <w:pPr>
        <w:ind w:left="580" w:right="120"/>
        <w:spacing w:after="0" w:line="252" w:lineRule="auto"/>
        <w:rPr>
          <w:sz w:val="20"/>
          <w:szCs w:val="20"/>
          <w:color w:val="auto"/>
        </w:rPr>
      </w:pPr>
      <w:r>
        <w:rPr>
          <w:rFonts w:ascii="Times New Roman" w:cs="Times New Roman" w:eastAsia="Times New Roman" w:hAnsi="Times New Roman"/>
          <w:sz w:val="18"/>
          <w:szCs w:val="18"/>
          <w:color w:val="auto"/>
        </w:rPr>
        <w:t xml:space="preserve">September 27, 2018 to $48.4 million for the nine months ended September 26, 2019. The increase was due to 1) a $2.0 million non-cash impairment charge realized in the first nine months of 2019, compared to $0.4 million realized in the first nine months of 2018 related to investments obtained in prior years in exchange for advertising services, 2) a $0.8 million increase in digital advertising expense driven partly by the increase in digital advertising sales and 3) a $0.6 million increase in company advertising expense associated with online and social media platforms to promote our </w:t>
      </w:r>
      <w:r>
        <w:rPr>
          <w:rFonts w:ascii="Times New Roman" w:cs="Times New Roman" w:eastAsia="Times New Roman" w:hAnsi="Times New Roman"/>
          <w:sz w:val="18"/>
          <w:szCs w:val="18"/>
          <w:i w:val="1"/>
          <w:iCs w:val="1"/>
          <w:color w:val="auto"/>
        </w:rPr>
        <w:t xml:space="preserve">Noovie </w:t>
      </w:r>
      <w:r>
        <w:rPr>
          <w:rFonts w:ascii="Times New Roman" w:cs="Times New Roman" w:eastAsia="Times New Roman" w:hAnsi="Times New Roman"/>
          <w:sz w:val="18"/>
          <w:szCs w:val="18"/>
          <w:color w:val="auto"/>
        </w:rPr>
        <w:t>products in the first nine months of 2019, compared to the first nine months of 2018. These increases were partially offset by a $2.6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personnel related expenses driven by lower salaries and commissions due to a reduction in sales force in late 2018 and lower non-cash share-based compensation expense due to a decrease in the volume of awards granted in 2019, compared to 2018.</w:t>
      </w:r>
    </w:p>
    <w:p>
      <w:pPr>
        <w:spacing w:after="0" w:line="135" w:lineRule="exact"/>
        <w:rPr>
          <w:sz w:val="20"/>
          <w:szCs w:val="20"/>
          <w:color w:val="auto"/>
        </w:rPr>
      </w:pPr>
    </w:p>
    <w:p>
      <w:pPr>
        <w:ind w:left="580"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$2.5 million, or 7.2%, from $34.7 million for the nine months ended September 27, 2018 to $32.2 million for the nine months ended September 26, 2019. This decrease was primarily related to a $1.6 million decrease in personnel related expenses primarily due to 1) a $1.5 million increase in capitalized personnel costs driven by the nature of the work being performed by our information technology department in 2019, compared to 2018 and 2) a $1.8 million decrease in compensation expense due to the absence of a CEO during a portion of 2019. These decreases were partially offset by a $1.6 million increase in personnel related costs for our digital service offerings. Administrative and other costs also decreased due to a $2.1 million decrease in legal and professional services partially due to the absence of professional fees incurred related to the negotiation of the settlement agreement with a large shareholder during the second quarter of 2018. These decreases were partially offset by a $0.7 million increase in consulting services and a $0.4 million increase in CEO transition fees related to costs incurred in the first nine months of 2019.</w:t>
      </w:r>
    </w:p>
    <w:p>
      <w:pPr>
        <w:spacing w:after="0" w:line="135" w:lineRule="exact"/>
        <w:rPr>
          <w:sz w:val="20"/>
          <w:szCs w:val="20"/>
          <w:color w:val="auto"/>
        </w:rPr>
      </w:pPr>
    </w:p>
    <w:p>
      <w:pPr>
        <w:ind w:left="580"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increased $1.0 million, or 11.1%, from $9.0 million for the nine months ended September 27, 2018 to $10.0 million for the nine months ended September 26, 2019, primarily due to new fixed assets placed into service during the fourth quarter of 2018.</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7" w:right="239" w:bottom="1440" w:gutter="0" w:footer="0" w:header="0"/>
        </w:sectPr>
      </w:pPr>
    </w:p>
    <w:bookmarkStart w:id="33" w:name="page34"/>
    <w:bookmarkEnd w:id="33"/>
    <w:p>
      <w:pPr>
        <w:ind w:left="580"/>
        <w:spacing w:after="0" w:line="255" w:lineRule="auto"/>
        <w:rPr>
          <w:sz w:val="20"/>
          <w:szCs w:val="20"/>
          <w:color w:val="auto"/>
        </w:rPr>
      </w:pPr>
      <w:r>
        <w:rPr>
          <w:rFonts w:ascii="Times New Roman" w:cs="Times New Roman" w:eastAsia="Times New Roman" w:hAnsi="Times New Roman"/>
          <w:sz w:val="18"/>
          <w:szCs w:val="18"/>
          <w:u w:val="single" w:color="auto"/>
          <w:color w:val="auto"/>
        </w:rPr>
        <w:t>Amortization expense and Amortization of intangibles recorded for network theater screen leases.</w:t>
      </w:r>
      <w:r>
        <w:rPr>
          <w:rFonts w:ascii="Times New Roman" w:cs="Times New Roman" w:eastAsia="Times New Roman" w:hAnsi="Times New Roman"/>
          <w:sz w:val="18"/>
          <w:szCs w:val="18"/>
          <w:color w:val="auto"/>
        </w:rPr>
        <w:t xml:space="preserve"> Amortization of the ESA and affiliate intangibles was $20.7 million for the nine months ended September 26, 2019 up from the $20.5 million of amortization expense for the nine months ended September 27, 2018. Following the adoption of ASC 842, as discussed within Note 1 to the unaudited Condensed Consolidated Financial Statements included elsewhere in this document, amortization of the ESA and affiliate intangible balances is considered a form of lease expense and has been reclassified from amortization expense to amortization of intangibles recorded for network theater screen leases as of the adoption date, December 28, 2018. The Company adopted ASC 842 prospectively and thus, prior period balances remain within amortization expense. The $0.2 million increase was due to an increase in the underlying intangible asset balances following our annual common unit adjustment.</w:t>
      </w:r>
    </w:p>
    <w:p>
      <w:pPr>
        <w:spacing w:after="0" w:line="133" w:lineRule="exact"/>
        <w:rPr>
          <w:sz w:val="20"/>
          <w:szCs w:val="20"/>
          <w:color w:val="auto"/>
        </w:rPr>
      </w:pPr>
    </w:p>
    <w:p>
      <w:pPr>
        <w:ind w:right="40" w:firstLine="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w:t>
      </w:r>
      <w:r>
        <w:rPr>
          <w:rFonts w:ascii="Times New Roman" w:cs="Times New Roman" w:eastAsia="Times New Roman" w:hAnsi="Times New Roman"/>
          <w:sz w:val="18"/>
          <w:szCs w:val="18"/>
          <w:color w:val="auto"/>
        </w:rPr>
        <w:t>Total non-operating expenses increased $3.9 million, or 10.4%, from $37.5 million for the nine months ended September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to $41.4 million for the nine months ended September 26, 2019. The following table shows the changes in non-operating expense for the nine months ended September 26, 2019 and September 27, 2018 (in millions):</w:t>
      </w:r>
    </w:p>
    <w:p>
      <w:pPr>
        <w:spacing w:after="0" w:line="345"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20" w:type="dxa"/>
            <w:vAlign w:val="bottom"/>
            <w:vMerge w:val="restart"/>
          </w:tcPr>
          <w:p>
            <w:pPr>
              <w:spacing w:after="0"/>
              <w:rPr>
                <w:sz w:val="12"/>
                <w:szCs w:val="12"/>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27, 2018</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YTD 2019 to YTD</w:t>
            </w:r>
          </w:p>
        </w:tc>
        <w:tc>
          <w:tcPr>
            <w:tcW w:w="120" w:type="dxa"/>
            <w:vAlign w:val="bottom"/>
          </w:tcPr>
          <w:p>
            <w:pPr>
              <w:spacing w:after="0"/>
              <w:rPr>
                <w:sz w:val="12"/>
                <w:szCs w:val="12"/>
                <w:color w:val="auto"/>
              </w:rPr>
            </w:pP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YTD 2019 to YTD 2018</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early retirement of debt, net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re-measurement of the</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 to founding members under the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receivable agreement</w:t>
            </w:r>
          </w:p>
        </w:tc>
        <w:tc>
          <w:tcPr>
            <w:tcW w:w="48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increase in non-operating expense was primarily due to a $4.6 million gain on the re-measurement of the payable to founding members under the tax receivable agreement for the nine months ended September 27, 2018 as compared to a $1.0 million loss on the re-measurement of the payable for the nine months ended September 26, 2019 due to a change in the deferred tax rate related to a change in state tax law regarding sales sourcing during the first nine months of 2018. This increase was partially offset by a $0.3 million gain on early retirement of our debt during the first nine months of 2019 as compared to a $0.9 million loss on the extinguishment of debt related to the refinancing of the senior secured credit facility in the second quarter of 2018.</w:t>
      </w:r>
    </w:p>
    <w:p>
      <w:pPr>
        <w:spacing w:after="0" w:line="7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decreased $10.7 million from $16.7 million for the nine months ended September 27, 2018 to $6.0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26, 2019. The decrease was primarily due to a decrease in deferred tax expense for the first nine months of 2019, compared to the first nine months of 2018 related to the Company's re-measurement of its deferred tax assets as a result of a 2018 state tax law change. The remaining decrease was primarily due to lower income before income taxes for the first nine months of 2019, compared to the first nine months of 2018.</w:t>
      </w:r>
    </w:p>
    <w:p>
      <w:pPr>
        <w:spacing w:after="0" w:line="12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increased $3.5 million from $13.5 million for the nine months ended September 27, 2018 to $17.0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26, 2019. The increase in net income was due to a $10.7 million decrease in income tax expense and a $1.6 million decrease in net income attributable to noncontrolling interests, partially offset by a $4.9 million decrease in operating income related to lower revenue and a $3.9 million increase in non-operating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171" w:lineRule="exact"/>
        <w:rPr>
          <w:sz w:val="20"/>
          <w:szCs w:val="20"/>
          <w:color w:val="auto"/>
        </w:rPr>
      </w:pPr>
    </w:p>
    <w:p>
      <w:pPr>
        <w:ind w:right="160" w:firstLine="5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pre-show program can be sold to the founding members to satisfy their on-screen advertising commitments under their beverage concessionaire agreements. For the first three and nine months of 2019 and 2018,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required as part of these beverage concessionaire agreements decline, this premium time will be available for sale to other clients. Historically, the time sold to the founding member beverage supplier has been priced equal to the advertising CPM for the previous year charged by NCM LLC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limited to the highest advertising CPM being then-charged by NCM LLC pursuant to the ESAs. Due to a 0.7% increase in segment one CPMs in</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364" w:right="259" w:bottom="1440" w:gutter="0" w:footer="0" w:header="0"/>
        </w:sectPr>
      </w:pPr>
    </w:p>
    <w:bookmarkStart w:id="34" w:name="page35"/>
    <w:bookmarkEnd w:id="34"/>
    <w:p>
      <w:pPr>
        <w:ind w:right="400"/>
        <w:spacing w:after="0" w:line="282" w:lineRule="auto"/>
        <w:rPr>
          <w:sz w:val="20"/>
          <w:szCs w:val="20"/>
          <w:color w:val="auto"/>
        </w:rPr>
      </w:pPr>
      <w:r>
        <w:rPr>
          <w:rFonts w:ascii="Times New Roman" w:cs="Times New Roman" w:eastAsia="Times New Roman" w:hAnsi="Times New Roman"/>
          <w:sz w:val="18"/>
          <w:szCs w:val="18"/>
          <w:color w:val="auto"/>
        </w:rPr>
        <w:t>2018, the CPM on our beverage concessionaire revenue increased during the first three and nine months of 2019 by 0.7% and the remainder of 2019 will increase by an equivalent percentage.</w:t>
      </w:r>
    </w:p>
    <w:p>
      <w:pPr>
        <w:spacing w:after="0" w:line="108" w:lineRule="exact"/>
        <w:rPr>
          <w:sz w:val="20"/>
          <w:szCs w:val="20"/>
          <w:color w:val="auto"/>
        </w:rPr>
      </w:pPr>
    </w:p>
    <w:p>
      <w:pPr>
        <w:ind w:right="300" w:firstLine="540"/>
        <w:spacing w:after="0" w:line="266" w:lineRule="auto"/>
        <w:rPr>
          <w:sz w:val="20"/>
          <w:szCs w:val="20"/>
          <w:color w:val="auto"/>
        </w:rPr>
      </w:pPr>
      <w:r>
        <w:rPr>
          <w:rFonts w:ascii="Times New Roman" w:cs="Times New Roman" w:eastAsia="Times New Roman" w:hAnsi="Times New Roman"/>
          <w:sz w:val="18"/>
          <w:szCs w:val="18"/>
          <w:color w:val="auto"/>
        </w:rPr>
        <w:t>Beginning in 2020 and in accordance with the 2019 ESA Amendments, the price for the time sold to Cinemark and Regal's beverage suppliers will instead increase 2% each year. The time sold to AMC’s beverage supplier will continue to be priced based upon the annual increase in CPMs as outlined above to be calculated at the end of 2019.</w:t>
      </w:r>
    </w:p>
    <w:p>
      <w:pPr>
        <w:spacing w:after="0" w:line="118"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Theater Access Fees</w:t>
      </w:r>
      <w:r>
        <w:rPr>
          <w:rFonts w:ascii="Times New Roman" w:cs="Times New Roman" w:eastAsia="Times New Roman" w:hAnsi="Times New Roman"/>
          <w:sz w:val="18"/>
          <w:szCs w:val="18"/>
          <w:color w:val="auto"/>
        </w:rPr>
        <w:t>—In consideration for NCM LLC’s access to the founding members’ theater attendees for on-screen advertising and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will each receive an additional monthly theater access fee beginning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increasing 8% every five years beginning November 1, 2027.</w:t>
      </w:r>
    </w:p>
    <w:p>
      <w:pPr>
        <w:spacing w:after="0" w:line="128" w:lineRule="exact"/>
        <w:rPr>
          <w:sz w:val="20"/>
          <w:szCs w:val="20"/>
          <w:color w:val="auto"/>
        </w:rPr>
      </w:pPr>
    </w:p>
    <w:p>
      <w:pPr>
        <w:ind w:right="160" w:firstLine="5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Platinum Spot</w:t>
      </w:r>
      <w:r>
        <w:rPr>
          <w:rFonts w:ascii="Times New Roman" w:cs="Times New Roman" w:eastAsia="Times New Roman" w:hAnsi="Times New Roman"/>
          <w:sz w:val="18"/>
          <w:szCs w:val="18"/>
          <w:color w:val="auto"/>
        </w:rPr>
        <w:t>—In consideration for the utilization of the theaters post-showtime for Platinum Spots, Cinemark and Regal will be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80" w:firstLine="540"/>
        <w:spacing w:after="0" w:line="261"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 and the Notes due 2022 and Notes due 2026, income tax payments, TRA payments to NCM LLC’s founding members and amount of quarterly dividends to NCM, Inc.’s common stockholders.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Q3 2019 to YE</w:t>
            </w:r>
          </w:p>
        </w:tc>
        <w:tc>
          <w:tcPr>
            <w:tcW w:w="12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Q3 2019 to Q3</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Cash, cash equivalents and marketable securities </w:t>
            </w:r>
            <w:r>
              <w:rPr>
                <w:rFonts w:ascii="Times New Roman" w:cs="Times New Roman" w:eastAsia="Times New Roman" w:hAnsi="Times New Roman"/>
                <w:sz w:val="18"/>
                <w:szCs w:val="18"/>
                <w:i w:val="1"/>
                <w:iCs w:val="1"/>
                <w:color w:val="auto"/>
              </w:rPr>
              <w:t>(1)</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NCM LLC revolver availability </w:t>
            </w:r>
            <w:r>
              <w:rPr>
                <w:rFonts w:ascii="Times New Roman" w:cs="Times New Roman" w:eastAsia="Times New Roman" w:hAnsi="Times New Roman"/>
                <w:sz w:val="18"/>
                <w:szCs w:val="18"/>
                <w:i w:val="1"/>
                <w:iCs w:val="1"/>
                <w:color w:val="auto"/>
              </w:rPr>
              <w:t>(2)</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liquidity</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08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w w:val="99"/>
              </w:rPr>
              <w:t>_________________________</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right="240" w:hanging="332"/>
        <w:spacing w:after="0" w:line="257" w:lineRule="auto"/>
        <w:tabs>
          <w:tab w:leader="none" w:pos="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Included in cash, cash equivalents and marketable securities as of September 26, 2019, December 27, 2018 and September 27, 2018, was $2.0 million, $7.2 million and $4.4 million, respectively, of cash and marketable securities held by NCM LLC that is not available to satisfy NCM, Inc.’s dividend, income tax, tax receivable payments to NCM LLC’s founding members and other obligations.</w:t>
      </w:r>
    </w:p>
    <w:p>
      <w:pPr>
        <w:spacing w:after="0" w:line="1" w:lineRule="exact"/>
        <w:rPr>
          <w:rFonts w:ascii="Times New Roman" w:cs="Times New Roman" w:eastAsia="Times New Roman" w:hAnsi="Times New Roman"/>
          <w:sz w:val="18"/>
          <w:szCs w:val="18"/>
          <w:i w:val="1"/>
          <w:iCs w:val="1"/>
          <w:color w:val="auto"/>
        </w:rPr>
      </w:pPr>
    </w:p>
    <w:p>
      <w:pPr>
        <w:ind w:left="340" w:hanging="332"/>
        <w:spacing w:after="0" w:line="252" w:lineRule="auto"/>
        <w:tabs>
          <w:tab w:leader="none" w:pos="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September 26, 2019, December 27, 2018 and September 27, 2018. As of September 26, 2019, December 27, 2018 and September 27, 2018, the amount available under the NCM LLC revolving credit facility in the table above, was net of amount outstanding under the revolving credit facility of $6.0 million, $27.0 million and $14.0 million, respectively, and net letters of credit of $4.8 million in each respective period.</w:t>
      </w:r>
    </w:p>
    <w:p>
      <w:pPr>
        <w:spacing w:after="0" w:line="136" w:lineRule="exact"/>
        <w:rPr>
          <w:sz w:val="20"/>
          <w:szCs w:val="20"/>
          <w:color w:val="auto"/>
        </w:rPr>
      </w:pPr>
    </w:p>
    <w:p>
      <w:pPr>
        <w:ind w:right="20" w:firstLine="540"/>
        <w:spacing w:after="0" w:line="266" w:lineRule="auto"/>
        <w:rPr>
          <w:sz w:val="20"/>
          <w:szCs w:val="20"/>
          <w:color w:val="auto"/>
        </w:rPr>
      </w:pPr>
      <w:r>
        <w:rPr>
          <w:rFonts w:ascii="Times New Roman" w:cs="Times New Roman" w:eastAsia="Times New Roman" w:hAnsi="Times New Roman"/>
          <w:sz w:val="18"/>
          <w:szCs w:val="18"/>
          <w:color w:val="auto"/>
        </w:rPr>
        <w:t>As of September 26, 2019, the weighted average remaining maturity of our debt was 4.6 years. As of September 26, 2019, approximately 70% of our total borrowings bear interest at fixed rates. The remaining 30% of our borrowings bear interest at variable rates and as such, our net income and earnings per share could fluctuate with market interest rate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64" w:right="239" w:bottom="1440" w:gutter="0" w:footer="0" w:header="0"/>
        </w:sectPr>
      </w:pPr>
    </w:p>
    <w:bookmarkStart w:id="35" w:name="page36"/>
    <w:bookmarkEnd w:id="35"/>
    <w:p>
      <w:pPr>
        <w:ind w:right="100"/>
        <w:spacing w:after="0" w:line="282" w:lineRule="auto"/>
        <w:rPr>
          <w:sz w:val="20"/>
          <w:szCs w:val="20"/>
          <w:color w:val="auto"/>
        </w:rPr>
      </w:pPr>
      <w:r>
        <w:rPr>
          <w:rFonts w:ascii="Times New Roman" w:cs="Times New Roman" w:eastAsia="Times New Roman" w:hAnsi="Times New Roman"/>
          <w:sz w:val="18"/>
          <w:szCs w:val="18"/>
          <w:color w:val="auto"/>
        </w:rPr>
        <w:t>fluctuations that could increase or decrease the interest paid on our borrowings. See “Recent Developments—Refinancing of Notes due 2022” for discussion surrounding the refinancing of the Notes due 2022 subsequent to the end of the third quarter of 2019.</w:t>
      </w:r>
    </w:p>
    <w:p>
      <w:pPr>
        <w:spacing w:after="0" w:line="1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generated and used cash as follows (in millions):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Borders>
              <w:bottom w:val="single" w:sz="8" w:color="auto"/>
            </w:tcBorders>
          </w:tcPr>
          <w:p>
            <w:pPr>
              <w:spacing w:after="0"/>
              <w:rPr>
                <w:sz w:val="16"/>
                <w:szCs w:val="16"/>
                <w:color w:val="auto"/>
              </w:rPr>
            </w:pPr>
          </w:p>
        </w:tc>
      </w:tr>
      <w:tr>
        <w:trPr>
          <w:trHeight w:val="264"/>
        </w:trPr>
        <w:tc>
          <w:tcPr>
            <w:tcW w:w="6920" w:type="dxa"/>
            <w:vAlign w:val="bottom"/>
          </w:tcPr>
          <w:p>
            <w:pPr>
              <w:spacing w:after="0"/>
              <w:rPr>
                <w:sz w:val="22"/>
                <w:szCs w:val="22"/>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2018</w:t>
            </w:r>
          </w:p>
        </w:tc>
      </w:tr>
      <w:tr>
        <w:trPr>
          <w:trHeight w:val="249"/>
        </w:trPr>
        <w:tc>
          <w:tcPr>
            <w:tcW w:w="6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48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43"/>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cash flow</w:t>
            </w:r>
          </w:p>
        </w:tc>
        <w:tc>
          <w:tcPr>
            <w:tcW w:w="4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6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cash flow</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7"/>
        </w:trPr>
        <w:tc>
          <w:tcPr>
            <w:tcW w:w="6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1060" w:right="80" w:hanging="404"/>
        <w:spacing w:after="0" w:line="254"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The $5.2 million decrease in cash provided by operating activities for the first nine months of 2019 compared to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of 2018 was due primarily to a decrease in the change in accounts receivable of $18.2 million related to timing of collections in the first nine months of 2019, compared to the first nine months of 2018 and a $5.0 million decrease in deferred income tax expense net of the increase in the loss on re-measurement of the payable to founding members under the TRA due to a change in the deferred tax rate related to a change in state tax law regarding sales sourcing during the first nine months of 2018. These decreases were partially offset by a $16.3 million increase in cash provided by operating activities due to the reclassification in the current period of founding member integration and other encumbered theater payments from cash flows from financing activities upon adoption of ASC 842, as further discussed within Note 1 to the unaudited Condensed Consolidated Financial Statements included elsewhere in this document and a $2.0 million non-cash impairment charge realized in the first nine months of 2019, compared to $0.4 million realized in the first nine months of 2018 related to investments obtained in prior years in exchange for advertising services,</w:t>
      </w:r>
    </w:p>
    <w:p>
      <w:pPr>
        <w:spacing w:after="0" w:line="132" w:lineRule="exact"/>
        <w:rPr>
          <w:rFonts w:ascii="Times New Roman" w:cs="Times New Roman" w:eastAsia="Times New Roman" w:hAnsi="Times New Roman"/>
          <w:sz w:val="18"/>
          <w:szCs w:val="18"/>
          <w:color w:val="auto"/>
        </w:rPr>
      </w:pPr>
    </w:p>
    <w:p>
      <w:pPr>
        <w:ind w:left="1080" w:right="60" w:hanging="410"/>
        <w:spacing w:after="0" w:line="262"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$30.0 million increase in cash provided by investing activities for the first nine months of 2019, compared to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of 2018 was due primarily to a decrease in purchases of marketable securities, net of proceeds, of $28.4 million, and a $1.4 million increase in the proceeds from the notes receivable from the founding members for the first nine months of 2019, compared to the first nine months of 2018.</w:t>
      </w:r>
    </w:p>
    <w:p>
      <w:pPr>
        <w:spacing w:after="0" w:line="122" w:lineRule="exact"/>
        <w:rPr>
          <w:rFonts w:ascii="Times New Roman" w:cs="Times New Roman" w:eastAsia="Times New Roman" w:hAnsi="Times New Roman"/>
          <w:sz w:val="18"/>
          <w:szCs w:val="18"/>
          <w:color w:val="auto"/>
        </w:rPr>
      </w:pPr>
    </w:p>
    <w:p>
      <w:pPr>
        <w:ind w:left="1080" w:right="20" w:hanging="410"/>
        <w:spacing w:after="0" w:line="256"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$17.0 million increase in cash used in financing activities during the first nine months of 2019, compared to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2018 was due primarily to a $21.7 million decrease in proceeds from borrowings, net of repayments, and a $17.2 million decrease in cash inflows from financing activities due to the reclassification in the current period of founding member integration and other encumbered theater payments from cash flows from financing activities upon adoption of ASC 842, as further discussed within Note 1 to the unaudited Condensed Consolidated Financial Statements included elsewhere in this document. These increases in cash used were partially offset by a $13.6 million decrease in distributions to founding members, period over period, and a decrease of $6.6 million in the payment of debt issuance costs related to the refinancing of the senior secured credit facility in the second quarter of 2018.</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175" w:lineRule="exact"/>
        <w:rPr>
          <w:sz w:val="20"/>
          <w:szCs w:val="20"/>
          <w:color w:val="auto"/>
        </w:rPr>
      </w:pPr>
    </w:p>
    <w:p>
      <w:pPr>
        <w:ind w:right="120" w:firstLine="540"/>
        <w:spacing w:after="0" w:line="266" w:lineRule="auto"/>
        <w:rPr>
          <w:sz w:val="20"/>
          <w:szCs w:val="20"/>
          <w:color w:val="auto"/>
        </w:rPr>
      </w:pPr>
      <w:r>
        <w:rPr>
          <w:rFonts w:ascii="Times New Roman" w:cs="Times New Roman" w:eastAsia="Times New Roman" w:hAnsi="Times New Roman"/>
          <w:sz w:val="18"/>
          <w:szCs w:val="18"/>
          <w:color w:val="auto"/>
        </w:rPr>
        <w:t>NCM, Inc.’s primary source of liquidity and capital resources is the quarterly available cash distributions from NCM LLC as well as its existing cash balances and marketable securities, which as of September 26, 2019 were $60.9 million (excluding NCM LLC). NCM LLC’s primary sources of liquidity and capital resources are its cash provided by operating activities, availability under its revolving credit facility and cash on hand.</w:t>
      </w:r>
    </w:p>
    <w:p>
      <w:pPr>
        <w:spacing w:after="0" w:line="122" w:lineRule="exact"/>
        <w:rPr>
          <w:sz w:val="20"/>
          <w:szCs w:val="20"/>
          <w:color w:val="auto"/>
        </w:rPr>
      </w:pPr>
    </w:p>
    <w:p>
      <w:pPr>
        <w:ind w:firstLine="540"/>
        <w:spacing w:after="0" w:line="254" w:lineRule="auto"/>
        <w:rPr>
          <w:sz w:val="20"/>
          <w:szCs w:val="20"/>
          <w:color w:val="auto"/>
        </w:rPr>
      </w:pPr>
      <w:r>
        <w:rPr>
          <w:rFonts w:ascii="Times New Roman" w:cs="Times New Roman" w:eastAsia="Times New Roman" w:hAnsi="Times New Roman"/>
          <w:sz w:val="18"/>
          <w:szCs w:val="18"/>
          <w:color w:val="auto"/>
        </w:rPr>
        <w:t>Management believes that future funds generated from NCM LLC’s operations and cash on hand should be sufficient to fund working capital requirements, NCM LLC’s debt service requirements, opportunistic debt repurchases, and capital expenditures, through the next twelve months. Cash flows generated by NCM LLC’s distributions to NCM, Inc. and the founding members can be impacted by the seasonality of advertising sales, interest and repayments on borrowings under our credit agreements and to a lesser extent theater attendance. NCM LLC is required pursuant to the terms of the NCM LLC Operating Agreement to distribute its available cash, as defined in the operating agreement, quarterly to its members (Regal, Cinemark, AMC and NCM, Inc.). The available cash distribution to the members of NCM LLC for the three months ended September 26, 2019 was approximately $43.7 million, of which approximately $21.3 million was distributed to NCM, Inc. NCM, Inc. expects to use cash received from future available cash distributions and its cash balances to fund income taxes, payments associated with the TRA with the founding members, and current and future dividends as declared by the Board of Directors, including a dividend declared on November 4, 2019 of $0.17 per share (approximately $13.2 million) 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364" w:right="25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8"/>
          <w:szCs w:val="18"/>
          <w:color w:val="auto"/>
        </w:rPr>
        <w:t>each share of the Company’s common stock (not including outstanding restricted stock) to stockholders of record on November 14, 2019 to be paid on November 29, 2019. NCM LLC will also continue to evaluate discretionary use of cash based on future expected leverage levels, NCM LLC investment opportunities and NCM, Inc. dividend policy. Distributions from NCM LLC and NCM, Inc. cash balances should be sufficient to fund payments associated with the TRA with NCM LLC’s founding members, income taxes and regular dividends for the foreseeable future at the discretion of the Board of Directors. The declaration, payment, timing and amount of any future dividends payable will be at the sole discretion of the Board of Directors who will take into account general economic and advertising market business conditions, NCM, Inc.’s financial condition, available cash, current and anticipated cash needs, and any other factors that the Board of Directors considers relevant. The Company intends to pay a regular quarterly dividend for the foreseeable future at the discretion of the Board of Directors consistent with the Company’s intention to distribute over time a substantial portion of its free cash flow.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80" w:firstLine="540"/>
        <w:spacing w:after="0" w:line="256" w:lineRule="auto"/>
        <w:rPr>
          <w:sz w:val="20"/>
          <w:szCs w:val="20"/>
          <w:color w:val="auto"/>
        </w:rPr>
      </w:pPr>
      <w:r>
        <w:rPr>
          <w:rFonts w:ascii="Times New Roman" w:cs="Times New Roman" w:eastAsia="Times New Roman" w:hAnsi="Times New Roman"/>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27, 2018 and incorporated by reference herein. As of September 26, 2019, there were no significant changes in those critical accounting policies except for the change in leases upon the adoption of ASC 842 in the first quarter of 2019 and discussed further within Note 8—</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unaudited Condensed Consolidated Financial Statements in Part I, Item 1 of this Form 10-Q.</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500" w:firstLine="540"/>
        <w:spacing w:after="0" w:line="284"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information provided under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106" w:lineRule="exact"/>
        <w:rPr>
          <w:sz w:val="20"/>
          <w:szCs w:val="20"/>
          <w:color w:val="auto"/>
        </w:rPr>
      </w:pPr>
    </w:p>
    <w:p>
      <w:pPr>
        <w:ind w:right="260" w:firstLine="540"/>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3" w:lineRule="exact"/>
        <w:rPr>
          <w:sz w:val="20"/>
          <w:szCs w:val="20"/>
          <w:color w:val="auto"/>
        </w:rPr>
      </w:pPr>
    </w:p>
    <w:p>
      <w:pPr>
        <w:ind w:right="240" w:firstLine="540"/>
        <w:spacing w:after="0" w:line="284" w:lineRule="auto"/>
        <w:rPr>
          <w:sz w:val="20"/>
          <w:szCs w:val="20"/>
          <w:color w:val="auto"/>
        </w:rPr>
      </w:pPr>
      <w:r>
        <w:rPr>
          <w:rFonts w:ascii="Times New Roman" w:cs="Times New Roman" w:eastAsia="Times New Roman" w:hAnsi="Times New Roman"/>
          <w:sz w:val="18"/>
          <w:szCs w:val="18"/>
          <w:color w:val="auto"/>
        </w:rPr>
        <w:t>For a discussion of related party transactions, see the information provided under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right="560" w:firstLine="540"/>
        <w:spacing w:after="0" w:line="282" w:lineRule="auto"/>
        <w:rPr>
          <w:sz w:val="20"/>
          <w:szCs w:val="20"/>
          <w:color w:val="auto"/>
        </w:rPr>
      </w:pPr>
      <w:r>
        <w:rPr>
          <w:rFonts w:ascii="Times New Roman" w:cs="Times New Roman" w:eastAsia="Times New Roman" w:hAnsi="Times New Roman"/>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25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Contractual and Other Obligations” contained in our annual report on Form 10-K for the fiscal year ended December 27, 2018 and incorporated by reference herein. There were no material changes to our contractual obligations during the nine months ended September 26, 2019.</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00" w:firstLine="540"/>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advertising clients'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Accordingly, there can be no assurances that seasonal variations will not materially affect our results of operations in the future.</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reflects the quarterly percentage of total revenue for the fiscal years ended 2016, 2017 and 2018.</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364" w:right="299" w:bottom="1440" w:gutter="0" w:footer="0" w:header="0"/>
        </w:sectPr>
      </w:pPr>
    </w:p>
    <w:bookmarkStart w:id="37" w:name="page38"/>
    <w:bookmarkEnd w:id="37"/>
    <w:tbl>
      <w:tblPr>
        <w:tblLayout w:type="fixed"/>
        <w:tblInd w:w="50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4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446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49"/>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2016</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2017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4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2018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The Notes due 2022, the Notes due 2026 and the Notes due 2028 are at fixed rates, and therefore are not subject to market risk. As of September 26, 2019, the only interest rate risk that we are exposed to is related to our $175.0 million revolving credit facility and our term loan. A 100-basis point fluctuation in market interest rates underlying our term loan and revolving credit facility would have the effect of increasing or decreasing our cash interest expense by approximately $2.7 million for an annual period on the $6.0 million revolving credit balance and $267.3 million term loan outstanding as of September 26, 2019. For a discussion of market risks, see Item 7A. “Quantitative and Qualitative Disclosures About Market Risk” contained in our annual report on Form 10-K for the fiscal year ended December 27, 2018 and incorporated by reference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02"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130" w:lineRule="exact"/>
        <w:rPr>
          <w:sz w:val="20"/>
          <w:szCs w:val="20"/>
          <w:color w:val="auto"/>
        </w:rPr>
      </w:pPr>
    </w:p>
    <w:p>
      <w:pPr>
        <w:ind w:right="220" w:firstLine="567"/>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September 26, 2019, the end of the period covered by this Quarterly Report on Form 10-Q. Based on such evaluation, the Company’s Chief Executive Officer and Chief Financial Officer concluded that the Company’s disclosure controls and procedures as of September 26, 2019 were effective.</w:t>
      </w:r>
    </w:p>
    <w:p>
      <w:pPr>
        <w:spacing w:after="0" w:line="99" w:lineRule="exact"/>
        <w:rPr>
          <w:sz w:val="20"/>
          <w:szCs w:val="20"/>
          <w:color w:val="auto"/>
        </w:rPr>
      </w:pPr>
    </w:p>
    <w:p>
      <w:pPr>
        <w:ind w:right="520" w:firstLine="5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September 26, 2019 that have materially affected, or are reasonably likely to materially affect, our internal control over financial reporting.</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175" w:lineRule="exact"/>
        <w:rPr>
          <w:sz w:val="20"/>
          <w:szCs w:val="20"/>
          <w:color w:val="auto"/>
        </w:rPr>
      </w:pPr>
    </w:p>
    <w:p>
      <w:pPr>
        <w:ind w:right="60" w:firstLine="540"/>
        <w:spacing w:after="0" w:line="282"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risk factors includes any material changes to, and supersedes the description of, risk factors associated with the Company’s business previously disclosed in our annual report on Form 10-K filed with the SEC on February 22, 2019 for the fiscal year ended December 27, 2018.</w:t>
      </w:r>
    </w:p>
    <w:p>
      <w:pPr>
        <w:spacing w:after="0" w:line="120" w:lineRule="exact"/>
        <w:rPr>
          <w:sz w:val="20"/>
          <w:szCs w:val="20"/>
          <w:color w:val="auto"/>
        </w:rPr>
      </w:pPr>
    </w:p>
    <w:p>
      <w:pPr>
        <w:ind w:right="60" w:firstLine="540"/>
        <w:spacing w:after="0" w:line="259" w:lineRule="auto"/>
        <w:rPr>
          <w:sz w:val="20"/>
          <w:szCs w:val="20"/>
          <w:color w:val="auto"/>
        </w:rPr>
      </w:pPr>
      <w:r>
        <w:rPr>
          <w:rFonts w:ascii="Times New Roman" w:cs="Times New Roman" w:eastAsia="Times New Roman" w:hAnsi="Times New Roman"/>
          <w:sz w:val="18"/>
          <w:szCs w:val="18"/>
          <w:i w:val="1"/>
          <w:iCs w:val="1"/>
          <w:color w:val="auto"/>
        </w:rPr>
        <w:t>Ownership of the common stock and other securities of the Company involves certain risks. Holders of the Company’s securities and prospective investors should consider carefully the following material risks and other information in this document, including our historical financial statements and related notes included herein. The material risks and uncertainties described in this document are not the only ones facing us. Additional risks and uncertainties that we do not presently know about or that we currently believe are not material may also adversely affect our business. If any of the risks and uncertainties described in this document actually occur, our business, financial condition and results of operations could be adversely</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60"/>
          </w:cols>
          <w:pgMar w:left="240" w:top="508" w:right="299" w:bottom="1440" w:gutter="0" w:footer="0" w:header="0"/>
        </w:sectPr>
      </w:pPr>
    </w:p>
    <w:bookmarkStart w:id="38" w:name="page39"/>
    <w:bookmarkEnd w:id="38"/>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affected in a material way. This could cause the trading price of our common stock to decline, perhaps significantly, and you may lose part or all of your investment.</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declines in theater attendance could reduce the attractiveness of cinema advertising and could reduce our revenue.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affected by the level of attendance at the founding members’ theaters and to a lesser extent our network affiliates, who operate in a highly competitive industry and whose attendance is reliant on the presence of motion pictures that attract audiences. Over the last 20 years,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 Factors that could reduce attendance at our network theaters include the following:</w:t>
      </w:r>
    </w:p>
    <w:p>
      <w:pPr>
        <w:spacing w:after="0" w:line="143" w:lineRule="exact"/>
        <w:rPr>
          <w:sz w:val="20"/>
          <w:szCs w:val="20"/>
          <w:color w:val="auto"/>
        </w:rPr>
      </w:pPr>
    </w:p>
    <w:p>
      <w:pPr>
        <w:ind w:left="660" w:right="32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NCM LLC’s network theater circuits cannot compete with other out-of-home entertainment due to an increase in the use of alternative film delivery methods (and the shortening of the “release window” between the release of major motion pictures to the alternative delivery methods), including network, syndicated cable and satellite television and DVDs, as well as video-on-demand, pay-per-view services, video streaming and downloads via the Internet;</w:t>
      </w:r>
    </w:p>
    <w:p>
      <w:pPr>
        <w:spacing w:after="0" w:line="2"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theater circuits in NCM LLC’s network continue to renovate auditoriums in certain of their theaters to install new larger, more comfortable seating, which reduces the number of seats in a theater auditorium. This renovation has been viewed favorably by patrons and many theater circuits have noted an intent to continue such renovations;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theater operating policies, including the number and length of trailers for upcoming films that are played prior to the start of the feature film, which if the length of trailers increases, may result in most or all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starting further out from the actual start of the feature film;</w:t>
      </w:r>
    </w:p>
    <w:p>
      <w:pPr>
        <w:spacing w:after="0" w:line="1"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consumer confidence or disposable income in general that reduces the demand for motion pictures or adversely affects the motion picture production industry;</w:t>
      </w:r>
    </w:p>
    <w:p>
      <w:pPr>
        <w:ind w:left="660" w:right="28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first-run motion pictures, which depends upon the production and marketing efforts of the major studios and the attractiveness and value proposition of the movies to consumers compared to other forms of entertainment;</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theaters in our network fail to maintain their theaters and provide amenities that consumers prefer;</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studios begin to reduce the number of feature films produced and their investments in those films or reduce the investments made to market those films;</w:t>
      </w:r>
    </w:p>
    <w:p>
      <w:pPr>
        <w:ind w:left="660" w:right="40" w:hanging="328"/>
        <w:spacing w:after="0" w:line="265"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future theater attendance declines significantly over an extended time period, one or more of the founding members or network affiliates may face financial difficulties and could be forced to sell or close theaters or reduce the number of screens it builds or upgrades or increase ticket prices;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NCM LLC’s network theater circuits also may not successfully compete for licenses to exhibit quality films and are not assured a consistent supply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motion pictures since they do not have long-term arrangements with major film distributors.</w:t>
      </w:r>
    </w:p>
    <w:p>
      <w:pPr>
        <w:spacing w:after="0" w:line="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of these circumstances could reduce our revenue because our national and regional advertising revenue, and local advertising to a lesser extent, depends on the number of theater patrons who attend movies. Additionally, if attendance declines significantly, the Company will be required to provide additional advertising time (makegoods) to national advertisers to reach agreed-on audience delivery thresholds. Certain of these circumstances can also lead to volatility within our utilization. We have also experienced volatility in our utilization over the years, with annual national inventory utilization ranging from 113.5% to 128.3% from 2014 through 2018. We experience even more substantial volatility quarter-to-quarter.</w:t>
      </w:r>
    </w:p>
    <w:p>
      <w:pPr>
        <w:spacing w:after="0" w:line="14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theater patron behavior could result in declines in the viewership of our Noovie preshow which could reduce the attractiveness of cinema advertising and our revenues.</w:t>
      </w:r>
    </w:p>
    <w:p>
      <w:pPr>
        <w:spacing w:after="0" w:line="11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Trends in patron behavior that could reduce viewership of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include the following:</w:t>
      </w:r>
    </w:p>
    <w:p>
      <w:pPr>
        <w:spacing w:after="0" w:line="136" w:lineRule="exact"/>
        <w:rPr>
          <w:sz w:val="20"/>
          <w:szCs w:val="20"/>
          <w:color w:val="auto"/>
        </w:rPr>
      </w:pPr>
    </w:p>
    <w:p>
      <w:pPr>
        <w:ind w:left="660" w:right="40" w:hanging="328"/>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theater patrons are increasingly purchasing tickets ahead of time via on-line ticketing mediums and when available reserving a seat in the theater (offered in approximately 54.2% of our network as of December 27, 2018), which could affect how early patrons arrive to the theater and reduce the number of patrons that are in a theater seat to view most or all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and</w:t>
      </w:r>
    </w:p>
    <w:p>
      <w:pPr>
        <w:spacing w:after="0" w:line="1"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theater patron amenities, including, online ticketing, bars and entertainment within exhibitor lobbies causing increased dwell time of patrons.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794" w:right="279" w:bottom="1440" w:gutter="0" w:footer="0" w:header="0"/>
        </w:sectPr>
      </w:pPr>
    </w:p>
    <w:bookmarkStart w:id="39" w:name="page40"/>
    <w:bookmarkEnd w:id="39"/>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National advertising sales and rates are dependent on the methodology used to measure audience impressions. If a change is made to this methodology that reflects fewer audience impressions available during the pre-show, this could adversely affect the Company’s revenue and results of operations.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2019 ESA Amendments.</w:t>
      </w:r>
    </w:p>
    <w:p>
      <w:pPr>
        <w:spacing w:after="0" w:line="18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September 17, 2019, NCM LLC entered into the 2019 ESA Amendments with affiliates of each of Cinemark and Regal. Among other things, the 2019 ESA Amendments provide that, beginning November 1, 2019, NCM LLC is entitled to display up to five minutes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after the scheduled showtime of a feature film and a Platinum Spot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w:t>
      </w:r>
    </w:p>
    <w:p>
      <w:pPr>
        <w:spacing w:after="0" w:line="14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expect the 2019 ESA Amendments to result in an increase in average CPM, revenues and Adjusted OIBDA, however we may not realize any or all such benefits. Potential difficulties and uncertainties that may impair the full realization of the anticipated benefits include, among others:</w:t>
      </w:r>
    </w:p>
    <w:p>
      <w:pPr>
        <w:spacing w:after="0" w:line="119" w:lineRule="exact"/>
        <w:rPr>
          <w:sz w:val="20"/>
          <w:szCs w:val="20"/>
          <w:color w:val="auto"/>
        </w:rPr>
      </w:pPr>
    </w:p>
    <w:p>
      <w:pPr>
        <w:ind w:left="660" w:right="80" w:hanging="328"/>
        <w:spacing w:after="0" w:line="26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behavior of theater patrons may change in response to the display of a portion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after the advertised showtime, resulting in a reduction to the number of patrons that are in a theater seat to view most or all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w:t>
      </w:r>
    </w:p>
    <w:p>
      <w:pPr>
        <w:ind w:left="660" w:right="34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exhibitors may encounter issues in displaying a portion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after the advertised showtime because of technical issues, access issues with their content providers, or other issues that may arise in the future;</w:t>
      </w:r>
    </w:p>
    <w:p>
      <w:pPr>
        <w:ind w:left="660" w:right="18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potential advertisers may not view the Platinum Spot or Post-Showtime Inventory as a premium advertising opportunity and the average CPMs for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may not increase as much as anticipated, or at all;</w:t>
      </w:r>
    </w:p>
    <w:p>
      <w:pPr>
        <w:ind w:left="660" w:right="5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NCM LLC may not satisfy the minimum average CPM which is required by the 2019 ESA Amendments for it to have the right to display the Platinum Spot for more than one concurrent advertiser;</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extended length of time between the advertised showtime and the beginning of the feature film may decrease the average CPM for that portion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appearing before the advertised showtime, which may partially or fully offset any increase in average CPM for the Platinum Spot or Post-Showtime Inventory; and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theater access fees payable to Cinemark and Regal in connection with the Post-Showtime Inventory and revenue share applicable to the Platinum Spot may exceed the increase, if any, in revenue resulting from the 2019 ESA Amendments.</w:t>
      </w:r>
    </w:p>
    <w:p>
      <w:pPr>
        <w:spacing w:after="0" w:line="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anticipated benefits we expect to receive as a result of the 2019 ESA Amendments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spacing w:after="0" w:line="142"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increasing the number of theaters in which NCM LLC has the right to display Post-Showtime Inventory or a Platinum Spot.</w:t>
      </w:r>
    </w:p>
    <w:p>
      <w:pPr>
        <w:spacing w:after="0" w:line="11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a result of the 2019 ESA Amendments, NCM LLC is entitled to display up to five minutes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after the scheduled showtime of a feature film and a Platinum Spot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However, at this time NCM LLC only has the right to display Post-Showtime Inventory and a Platinum Spot in Cinemark and Regal theaters, which constituted approximately 54% of the attendance in our network during the first half of 2019. While we intend to seek to enter into agreements that provide similar access to inventory as the 2019 ESA Amendments with our other network affiliates, there can be no assurance that we will be successful in increasing the number of theaters in which NCM LLC has the right to display Post-Showtime Inventory or a Platinum Spot. AMC, which constituted approximately 29% of the attendance in our network during the first half of 2019, has recently announced that it has no plans to introduce commercial advertising close to the start of a feature film’s commencement. In addition, any agreements with other network affiliates may be on terms less favorable to us than the 2019 ESA Amendments. If we are unable to expand the number of theaters displaying a portion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after the advertised showtime, we will only experience the benefits of post-showtime advertising, if any, in Cinemark and Regal theaters.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plans for developing additional revenue opportunities may not be implemented and may not be achieved.</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invested significant resources in pursuing potential opportunities for revenue growth, which we describe in our annual report on Form 10-K under “Business-Our strategy.” The development of our online and mobile advertising network and mobile apps and our ability to collect and leverage our first party movie audience data from these products remains at an early stage, is under increasing competitive pressure and may not deliver the future benefits that we are expecting. If we are unable to execute on products relevant to the marketplace or integrate these digital marketing products with our core on-screen and theater lobby products, and if these offerings do not continue to provide relevant first party data or to grow in importance to</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796" w:right="259" w:bottom="1440" w:gutter="0" w:footer="0" w:header="0"/>
        </w:sectPr>
      </w:pPr>
    </w:p>
    <w:bookmarkStart w:id="40" w:name="page41"/>
    <w:bookmarkEnd w:id="40"/>
    <w:p>
      <w:pPr>
        <w:ind w:right="60"/>
        <w:spacing w:after="0" w:line="266" w:lineRule="auto"/>
        <w:rPr>
          <w:sz w:val="20"/>
          <w:szCs w:val="20"/>
          <w:color w:val="auto"/>
        </w:rPr>
      </w:pPr>
      <w:r>
        <w:rPr>
          <w:rFonts w:ascii="Times New Roman" w:cs="Times New Roman" w:eastAsia="Times New Roman" w:hAnsi="Times New Roman"/>
          <w:sz w:val="18"/>
          <w:szCs w:val="18"/>
          <w:color w:val="auto"/>
        </w:rPr>
        <w:t>advertising clients and agencies, they may not provide a way to help expand our cinema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advertising are competitive and we may be unable to compete successfully.</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for advertising directly with several additional media platforms, including radio, various local print media and billboards.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to constantly revise and improve their business models to meet expectations of advertising clients. 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or the economy in general could alter current or prospective advertisers’ spending priorities. If we cannot respond effectively to changes in the media marketplace in response to new entrants or advances by our existing competitors, our business may be adversely affected.</w:t>
      </w:r>
    </w:p>
    <w:p>
      <w:pPr>
        <w:spacing w:after="0" w:line="14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Additionally, the mix of film ratings of the available motion pictures, such as a higher proportion of G and PG rated films, could cause advertisers to reduce their spending with us as the theater patrons for these films do not represent those advertisers’ target markets.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Advertising demand also impacts the price (CPM) we are able to charge our customers. Due to increased competition from other national video networks, including online and mobile advertising platforms, television networks and other out-of-home video, combined with seasonal marketplace supply and demand characteristics, we have experienced volatility in our pricing (CPMs) over the years, with annual national CPM increases (decreases) ranging from (16.4%) to 9.6% from 2014 to 2018.</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do not continue to upgrade our technology, our business could fail to grow and revenue and operating margins could decline.</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Failure to successfully or cost-effectively implement upgrades to our in-theater advertising network and proposal and inventory control, audience targeting and other management systems could limit our ability to offer our clients innovative unique, integrated and targeted marketing products, which could limit our future revenue growth. New advertising platforms such as online and mobile networks, and traditional mediums including television networks are beginning to use new digital technology to reach a broader audience with more targeted marketing products, and failure by us to upgrade our technology could hurt our ability to compete with those companies. Under the ESAs, the founding members are required to provide technology that is consistent with that in place at the signing of the ESA. We may request that the founding members upgrade the equipment or software installed in their theaters, but we must negotiate with the founding members as to the terms of such upgrade, including cost sharing terms, if any. If we are not able to come to an agreement on a future upgrade request, we may elect to pay for the upgrades requested which could result in our incurring significant capital expenditures, which could adversely affect our results.</w:t>
      </w:r>
    </w:p>
    <w:p>
      <w:pPr>
        <w:spacing w:after="0" w:line="1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also have many internally developed systems which support our operations due to the unique nature of our business model. The failure to continue to develop or the failure of the system to meet our needs may require us to make significant additional investments in our infrastructure or seek alternative technology which may impact our costs and prevent our growth. The failure or delay in implementation of the system or problems with the integration with our other systems and software could cause operational difficulties and slow or prevent the growth of our business in the future. In addition, the failure or delay in implementation of such upgrades or problems with the integration of our systems and software could slow or prevent the growth of our business.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96" w:right="2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or deterioration in economic conditions may adversely impact our business, operating results or financial condition.</w:t>
      </w:r>
    </w:p>
    <w:p>
      <w:pPr>
        <w:spacing w:after="0" w:line="18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financial markets have experienced extreme disruption and volatility at times. A decline in consumer confidence in the U.S. may lead to decreased demand for our services or delay in payments by our advertising customers. As a result, our results of operations and financial condition could be adversely affected. These challenging economic conditions also may result in:</w:t>
      </w:r>
    </w:p>
    <w:p>
      <w:pPr>
        <w:spacing w:after="0" w:line="13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fewer advertising and entertainment programming dollars;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may adversely affect revenue and gross margin;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attendance and thus a decline in the impressions available for our pre-show;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 availability and/or access to capital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forecasting, budgeting and planning due to limited visibility into the spending plans of current or prospective customers;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financial difficulty and increased risk of uncollectible accounts.</w:t>
      </w:r>
    </w:p>
    <w:p>
      <w:pPr>
        <w:spacing w:after="0" w:line="203" w:lineRule="exact"/>
        <w:rPr>
          <w:sz w:val="20"/>
          <w:szCs w:val="20"/>
          <w:color w:val="auto"/>
        </w:rPr>
      </w:pPr>
    </w:p>
    <w:p>
      <w:pPr>
        <w:ind w:right="4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Adjusted OIBDA is derived from high margin advertising revenue. The reduction in spending by or loss of a national or group of local advertisers or failure to grow our advertising revenue in line with the growth of our contractual costs could have a meaningful adverse effect on our business.</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generated all of our Adjusted OIBDA from our high margin advertising business. A substantial portion of our advertising revenue relates to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increasingly, online and mobile networks. Reductions in the size of advertisers’ budgets due to local or national economic trends, a shift in spending to new advertising mediums like the internet and mobile platforms or other factors could result in lower spending on cinema advertising. Because of the high incremental margins on our individual advertising contracts, if we are unable to remain competitive and provide value to our advertising clients, they may reduce their advertising purchases or stop placing advertisements with us. Even the loss of a small number of clients on large contracts would negatively affect our Adjusted OIBDA. In addition, the ESAs and certain of our network affiliate agreements include automatic annual cost or fee increases, and if we are unable to grow our high margin advertising revenue at a similar rate, our Adjusted OIBDA could be negatively affected.</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major content partner or advertising customer could significantly reduce our revenue.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derive a significant portion of our revenue from our contracts with our content partners, public service announcement (“PSAs”) and NCM LLC’s founding members’ agreements to purchase on-screen advertising for their beverage concessionaires. We are not direct parties to the agreements between the founding members’ and their beverage concessionaires but do not expect these agreements to expire in the foreseeable future. None of these companies individually accounted for over 10% of our total revenue during the year ended December 27, 2018. However, the agreements with the content partners, PSAs and beverage advertising with the founding members in aggregate accounted for approximately 26%, 30% and 30% of our total revenue during the years ended December 27, 2018, December 28, 2017 and December 29, 2016, respectively. Because we derive a significant percentage of our total revenue from a relatively small number of large companies, the loss of one or more of them as a customer could decrease our revenue and adversely affect current and future operating results.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our senior management and our business may be adversely affected if we cannot retain or replace them.</w:t>
      </w:r>
    </w:p>
    <w:p>
      <w:pPr>
        <w:spacing w:after="0" w:line="18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part upon the retention of our experienced senior management with specialized industry, sales and technical knowledge and/or industry relationships. In November 2017, our former General Counsel resigned and a new General Counsel was appointed in February 2018. In November 2018, our Chief Executive Officer stepped down and a new Chief Executive Officer was appointed in August 2019. If we are not able to find qualified internal or external replacements for critical members of our senior management team, the loss of these key employees could have a material adverse effect on our ability to effectively pursue our business strategy and our relationships with advertisers and content partners. We do not have key-man life insurance covering any of our employees.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ESAs with, or lack of support by, the founding members could adversely affect our revenue, growth and profitability.</w:t>
      </w:r>
    </w:p>
    <w:p>
      <w:pPr>
        <w:spacing w:after="0" w:line="18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ESAs with the founding members are critical to our business. The ESA with AMC has an initial term of 30 years and the ESAs with each of Cinemark and Regal (as amended by the 2019 ESA Amendments) have an initial term of 34 years, each</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92" w:right="239" w:bottom="1440" w:gutter="0" w:footer="0" w:header="0"/>
        </w:sectPr>
      </w:pPr>
    </w:p>
    <w:bookmarkStart w:id="42" w:name="page43"/>
    <w:bookmarkEnd w:id="42"/>
    <w:p>
      <w:pPr>
        <w:ind w:right="120"/>
        <w:spacing w:after="0" w:line="258" w:lineRule="auto"/>
        <w:rPr>
          <w:sz w:val="20"/>
          <w:szCs w:val="20"/>
          <w:color w:val="auto"/>
        </w:rPr>
      </w:pPr>
      <w:r>
        <w:rPr>
          <w:rFonts w:ascii="Times New Roman" w:cs="Times New Roman" w:eastAsia="Times New Roman" w:hAnsi="Times New Roman"/>
          <w:sz w:val="18"/>
          <w:szCs w:val="18"/>
          <w:color w:val="auto"/>
        </w:rPr>
        <w:t>such term beginning February 13, 2007. Each ESA provides NCM LLC with a five-year right of first refusal for the services that it provides to the founding members, which begins one year prior to the end of the term of each respective ESA. The founding members’ theaters represent approximately 79.2% of the screens and approximately 82.4% of the attendance in our network as of December 27, 2018 and approximately 80.0% of the screens and approximately 83.0% of the attendance in our network as of September 26, 2019. If any one of the ESAs was terminated, not renewed at its expiration or found to be unenforceable, it would have a material adverse effect on our revenue, profitability and financial condition.</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ESAs require the continuing cooperation, investment and support of the founding members, the absence of which could adversely affect us. Pursuant to the ESAs, the founding members must make investments to replace digital network equipment within their theaters and equip newly constructed theaters with digital network equipment. If the founding members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 founding members the right to object to certain content 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including content that competes with us or the applicable founding member. If the founding members do not agree with our decisions on what content is permitted under the ESAs, we may lose clients and the resulting revenue, which would harm our business. In March 2018, Regal was acquired by a U.K.-based cinema operator and we are uncertain how this new ownership of Regal may affect its financial resources or its cooperation with us under the ESA or otherwise. In July 2018 AMC closed on the sale of all of the NCM LLC membership units held by AMC at the time to Cinemark and Regal. On October 24, 2019, AMC redeemed 197,118 membership units, which were issued to AMC in accordance with the terms of the common unit adjustment agreement with the founding members, in exchange for shares of our common stock. AMC is eligible to be issued additional shares pursuant to the terms of the common unit adjustment agreement. We are uncertain how AMC’s significantly reduced ownership interest in NCM LLC may affect its cooperation with us under its ESA or otherwise going forward.</w:t>
      </w:r>
    </w:p>
    <w:p>
      <w:pPr>
        <w:spacing w:after="0" w:line="144"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non-competition provisions of the ESAs are deemed unenforceable, the founding members could compete against us and our business could be adversely affected.</w:t>
      </w:r>
    </w:p>
    <w:p>
      <w:pPr>
        <w:spacing w:after="0" w:line="11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With certain limited exceptions, each of the ESAs prohibits the applicable founding member from engaging in any of the business activities that we provide in the founding member’s theaters under the amended ESAs, and from owning interests in other entities that compete with us. These provisions are intended to prevent the founding members from harming our business by providing cinema advertising services directly to their theaters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14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necessary to protect a legitimate business interest of the party seeking enforcement;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unreasonably restrains the party against whom enforcement is sought;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contrary to the public interest.</w:t>
      </w:r>
    </w:p>
    <w:p>
      <w:pPr>
        <w:spacing w:after="0" w:line="9" w:lineRule="exact"/>
        <w:rPr>
          <w:sz w:val="20"/>
          <w:szCs w:val="20"/>
          <w:color w:val="auto"/>
        </w:rPr>
      </w:pPr>
    </w:p>
    <w:p>
      <w:pPr>
        <w:ind w:right="300" w:firstLine="324"/>
        <w:spacing w:after="0" w:line="253" w:lineRule="auto"/>
        <w:rPr>
          <w:sz w:val="20"/>
          <w:szCs w:val="20"/>
          <w:color w:val="auto"/>
        </w:rPr>
      </w:pPr>
      <w:r>
        <w:rPr>
          <w:rFonts w:ascii="Times New Roman" w:cs="Times New Roman" w:eastAsia="Times New Roman" w:hAnsi="Times New Roman"/>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one of the founding members declared bankruptcy, the ESA with that founding member may be rejected, renegotiated or deemed unenforceable.</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Each of the founding members currently has a significant amount of indebtedness.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 megaplexes featuring stadium seating in the late 1990s that rendered existing, smaller, sloped-floor theaters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Should the founding member seek to sell or otherwise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796" w:right="259" w:bottom="1440" w:gutter="0" w:footer="0" w:header="0"/>
        </w:sectPr>
      </w:pPr>
    </w:p>
    <w:bookmarkStart w:id="43" w:name="page44"/>
    <w:bookmarkEnd w:id="43"/>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ESAs contain certain limited exceptions to our exclusive right to use the founding members’ theaters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lobby network (“LEN”) per 30 minute cycle and certain types of lobby promotions and can be provided at no cost, but only for the purpose of promoting the products or services of those businesses while at the same time promoting the theater circuit or the movie-going experience. The use of LEN or lobby promotions by the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4% of our total advertising revenue for the year ended December 27, 2018. The founding members do not have the right to use their movie screens (including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or otherwise) for promoting these cross-marketing relationships, and thus we will have the exclusive rights to advertise on the movie screens, except for limited advertising related to theater operations.</w:t>
      </w:r>
    </w:p>
    <w:p>
      <w:pPr>
        <w:spacing w:after="0" w:line="15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founding members also have the right to install a second network of video monitors in the theater lobbies in excess of those required to be installed for the LEN, and the founding members have exercised this right to install a significant number of video monitors in their theater lobbies. This additional lobby video network, which we refer to as the founding members’ lobby network, may be used by the founding members to promote products or services related to operating the theaters, such as concessions, bars and dining operations, online ticketing partner promotions, gift card and loyalty programs, and special events. The presence of the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4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founding members and our network affiliates are subject to substantial government regulation, which could slow their future growth of locations and screens and in turn slow our growth prospects.</w:t>
      </w:r>
    </w:p>
    <w:p>
      <w:pPr>
        <w:spacing w:after="0" w:line="11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founding members and our network affiliates are subject to various federal, state and local laws, regulations and administrative practices affecting their movie theater business, including provisions regulating antitrust, health and sanitation standards, access for those with disabilities, environmental, and licensing. Some of these laws and regulations also apply directly to us and NCM LLC. Changes in existing laws or implementation of new laws, regulations and practices could have a significant impact on the founding members, our network affiliates’ and our respective businesses. For example, to the extent that antitrust laws, regulation and enforcement policy restrict the ability of the founding members or the network affiliates to acquire additional theaters, it may slow the future growth of those founding members or network affiliates and in turn the growth of our network.</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changes to our business strategy to continue the growth of our advertising inventory and network.</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do not effectively implement the changes within our strategy, we may not be able to continue our historical growth. To effectively execute on our strategy to expand our digital offerings and continue to grow our inventory, we will need to develop additional products.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w:t>
      </w:r>
    </w:p>
    <w:p>
      <w:pPr>
        <w:spacing w:after="0" w:line="13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amount of inventory we have to sell is limited by the length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order to maintain in-theater growth we will need to expand the number of theaters and screens in our network. Considering our current market share, we may not be able to continue to expand our network which could negatively affect our ability to add new advertising clients. If we are unable to maintain the size of our network, or grow our network, our revenue and operating results could be adversely impacted.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heavily on our technology systems, and any failures or disruptions may materially and adversely affect our operations.</w:t>
      </w:r>
    </w:p>
    <w:p>
      <w:pPr>
        <w:spacing w:after="0" w:line="189" w:lineRule="exact"/>
        <w:rPr>
          <w:sz w:val="20"/>
          <w:szCs w:val="20"/>
          <w:color w:val="auto"/>
        </w:rPr>
      </w:pPr>
    </w:p>
    <w:p>
      <w:pPr>
        <w:jc w:val="both"/>
        <w:ind w:right="420" w:firstLine="324"/>
        <w:spacing w:after="0" w:line="261" w:lineRule="auto"/>
        <w:rPr>
          <w:sz w:val="20"/>
          <w:szCs w:val="20"/>
          <w:color w:val="auto"/>
        </w:rPr>
      </w:pPr>
      <w:r>
        <w:rPr>
          <w:rFonts w:ascii="Times New Roman" w:cs="Times New Roman" w:eastAsia="Times New Roman" w:hAnsi="Times New Roman"/>
          <w:sz w:val="18"/>
          <w:szCs w:val="18"/>
          <w:color w:val="auto"/>
        </w:rPr>
        <w:t>In order to conduct our business, we rely on information technology networks and systems, some of which are managed by third parties, to process, transmit and store electronic information and manage and support a variety of business processes and activities. The temporary or permanent loss of our computer equipment and software systems through cyber and other security threats, operating malfunction, software virus, human error, natural disaster, power loss, terrorist attacks or other catastrophic</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793" w:right="259" w:bottom="1440" w:gutter="0" w:footer="0" w:header="0"/>
        </w:sectPr>
      </w:pPr>
    </w:p>
    <w:bookmarkStart w:id="44" w:name="page45"/>
    <w:bookmarkEnd w:id="44"/>
    <w:p>
      <w:pPr>
        <w:ind w:right="160"/>
        <w:spacing w:after="0" w:line="256" w:lineRule="auto"/>
        <w:rPr>
          <w:sz w:val="20"/>
          <w:szCs w:val="20"/>
          <w:color w:val="auto"/>
        </w:rPr>
      </w:pPr>
      <w:r>
        <w:rPr>
          <w:rFonts w:ascii="Times New Roman" w:cs="Times New Roman" w:eastAsia="Times New Roman" w:hAnsi="Times New Roman"/>
          <w:sz w:val="18"/>
          <w:szCs w:val="18"/>
          <w:color w:val="auto"/>
        </w:rPr>
        <w:t>events could disrupt our operations and cause a material adverse impact. These problems may arise in both internally developed systems and the systems of third-party service providers. We devote significant resources to maintaining a disaster recovery location separate from our operations, network security and other measures to protect our network from unauthorized access and misuse. However, depending on the nature and scope of a disruption, if our technology systems were to fail and we were unable to recover in a timely way through our disaster recovery site,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143"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118"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 xml:space="preserve">Intellectual property rights of our business include the copyrights, trademarks, trade secrets and patents of our in-theater, online, and mobile services, including the websites we operate at ncm.com and </w:t>
      </w:r>
      <w:r>
        <w:rPr>
          <w:rFonts w:ascii="Times New Roman" w:cs="Times New Roman" w:eastAsia="Times New Roman" w:hAnsi="Times New Roman"/>
          <w:sz w:val="17"/>
          <w:szCs w:val="17"/>
          <w:i w:val="1"/>
          <w:iCs w:val="1"/>
          <w:color w:val="auto"/>
        </w:rPr>
        <w:t>Noovie.com</w:t>
      </w:r>
      <w:r>
        <w:rPr>
          <w:rFonts w:ascii="Times New Roman" w:cs="Times New Roman" w:eastAsia="Times New Roman" w:hAnsi="Times New Roman"/>
          <w:sz w:val="17"/>
          <w:szCs w:val="17"/>
          <w:color w:val="auto"/>
        </w:rPr>
        <w:t xml:space="preserve">, our digital gaming products including </w:t>
      </w:r>
      <w:r>
        <w:rPr>
          <w:rFonts w:ascii="Times New Roman" w:cs="Times New Roman" w:eastAsia="Times New Roman" w:hAnsi="Times New Roman"/>
          <w:sz w:val="17"/>
          <w:szCs w:val="17"/>
          <w:i w:val="1"/>
          <w:iCs w:val="1"/>
          <w:color w:val="auto"/>
        </w:rPr>
        <w:t>Noovie Arcade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Fantasy Movie League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Name That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Movie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Noovie Shuffle</w:t>
      </w:r>
      <w:r>
        <w:rPr>
          <w:rFonts w:ascii="Times New Roman" w:cs="Times New Roman" w:eastAsia="Times New Roman" w:hAnsi="Times New Roman"/>
          <w:sz w:val="17"/>
          <w:szCs w:val="17"/>
          <w:color w:val="auto"/>
        </w:rPr>
        <w:t>, and the features and functionality, content, and software we make available through those websites and apps. We rely on our own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intellectual property rights as well as intellectual property rights obtained from third parties to conduct our business and provide our in-theater, online, and mobile services. We may discover that our business or the technology we use to provide our in-theater,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in-theater, online, or mobile services either in the U.S. or in international markets. Further, the laws of certain foreign countries may not protect our intellectual property rights to the same extent as do the laws of the U.S.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content we distribute through our in-theater, online or mobile services may expose us to liability.</w:t>
      </w:r>
    </w:p>
    <w:p>
      <w:pPr>
        <w:spacing w:after="0" w:line="18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in-theater, online, and mobile services facilitate the distribution of content. This content includes advertising-related content, as well as movie, television, music, gaming and other media content, much of which is obtained from third parties. Our websites and social media channels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user information we collect and maintain through our online and mobile services may expose us to liability.</w:t>
      </w:r>
    </w:p>
    <w:p>
      <w:pPr>
        <w:spacing w:after="0" w:line="189" w:lineRule="exact"/>
        <w:rPr>
          <w:sz w:val="20"/>
          <w:szCs w:val="20"/>
          <w:color w:val="auto"/>
        </w:rPr>
      </w:pPr>
    </w:p>
    <w:p>
      <w:pPr>
        <w:ind w:right="180" w:firstLine="324"/>
        <w:spacing w:after="0" w:line="270" w:lineRule="auto"/>
        <w:rPr>
          <w:sz w:val="20"/>
          <w:szCs w:val="20"/>
          <w:color w:val="auto"/>
        </w:rPr>
      </w:pPr>
      <w:r>
        <w:rPr>
          <w:rFonts w:ascii="Times New Roman" w:cs="Times New Roman" w:eastAsia="Times New Roman" w:hAnsi="Times New Roman"/>
          <w:sz w:val="17"/>
          <w:szCs w:val="17"/>
          <w:color w:val="auto"/>
        </w:rPr>
        <w:t>In order to take advantage of some of the online and mobile services we provide, users may, now or in the future, be required to establish an account on one of our websites. As a result, we may collect and maintain personal identifying information about those users. We also may, now or in the future, collect and maintain information about users who view certain advertising displayed through our online and mobile services and users who enter the theaters in our network. The collection and use of this information is governed by applicable privacy, information security and consumer protection-related laws and regulations. These laws continue to evolve and may be inconsistent from one jurisdiction to another. Compliance with all such laws and regulations may increase our operating costs and adversely impact our ability to interact with users of our online and mobile services. Our collection and use of information, including personal identifying information, regarding users of our online and mobile services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the market perception of the effectiveness of our security measures could be harmed, and we could lose users of these services and the associated benefits from gathering such user data.</w:t>
      </w:r>
    </w:p>
    <w:p>
      <w:pPr>
        <w:spacing w:after="0" w:line="13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11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96" w:right="239" w:bottom="1440" w:gutter="0" w:footer="0" w:header="0"/>
        </w:sectPr>
      </w:pPr>
    </w:p>
    <w:bookmarkStart w:id="45" w:name="page46"/>
    <w:bookmarkEnd w:id="45"/>
    <w:p>
      <w:pPr>
        <w:ind w:right="80"/>
        <w:spacing w:after="0" w:line="266" w:lineRule="auto"/>
        <w:rPr>
          <w:sz w:val="20"/>
          <w:szCs w:val="20"/>
          <w:color w:val="auto"/>
        </w:rPr>
      </w:pPr>
      <w:r>
        <w:rPr>
          <w:rFonts w:ascii="Times New Roman" w:cs="Times New Roman" w:eastAsia="Times New Roman" w:hAnsi="Times New Roman"/>
          <w:sz w:val="18"/>
          <w:szCs w:val="18"/>
          <w:color w:val="auto"/>
        </w:rPr>
        <w:t>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Our revenue and Adjusted OIBDA fluctuate from quarter to quarter and may be unpredictable, which could increase the volatility of our stock price.</w:t>
      </w:r>
    </w:p>
    <w:p>
      <w:pPr>
        <w:spacing w:after="0" w:line="20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weak advertising market or the shift in spending of a major client from one quarter to another, the performance of films released in a given quarter, a disruption in the release schedule of films or changes in the television scatter market could significantly affect quarter-to-quarter results or even affect results for the entire fiscal year. In addition, our revenue and operating results are seasonal in nature, coinciding with the timing of marketing expenditures by our advertising clients and, to a lesser extent, the attendance patterns within the film exhibition industry. Advertising expenditures tend be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These variations in our financial results could contribute to volatility in our stock price.</w:t>
      </w:r>
    </w:p>
    <w:p>
      <w:pPr>
        <w:spacing w:after="0" w:line="145"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and as a result, stockholders could lose confidence in our financial and other public reporting, which would harm our business and the trading price of our common stock.</w:t>
      </w:r>
    </w:p>
    <w:p>
      <w:pPr>
        <w:spacing w:after="0" w:line="13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controls, or difficulties encountered in implementing new or improved controls,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85"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1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have no independent ability to generate cash flow other than interest income on cash balances. Consequently, our ability to obtain operating funds primarily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6 to the unaudited Condensed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NCM LLC’s debt agreements and legal requirements. In the event NCM LLC fails to comply with these covenants and is unable to distribute cash to us quarterly, once NCM, Inc. cash balances and investments are extinguished, we will be unable to pay dividends to our stockholders or pay other expenses outside the ordinary course of business.</w:t>
      </w:r>
    </w:p>
    <w:p>
      <w:pPr>
        <w:spacing w:after="0" w:line="15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13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other members) in amounts sufficient to cover their tax liabilities and management</w:t>
      </w: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796" w:right="299" w:bottom="1440" w:gutter="0" w:footer="0" w:header="0"/>
        </w:sectPr>
      </w:pPr>
    </w:p>
    <w:bookmarkStart w:id="46" w:name="page47"/>
    <w:bookmarkEnd w:id="46"/>
    <w:p>
      <w:pPr>
        <w:ind w:right="120"/>
        <w:spacing w:after="0" w:line="282" w:lineRule="auto"/>
        <w:rPr>
          <w:sz w:val="20"/>
          <w:szCs w:val="20"/>
          <w:color w:val="auto"/>
        </w:rPr>
      </w:pPr>
      <w:r>
        <w:rPr>
          <w:rFonts w:ascii="Times New Roman" w:cs="Times New Roman" w:eastAsia="Times New Roman" w:hAnsi="Times New Roman"/>
          <w:sz w:val="18"/>
          <w:szCs w:val="18"/>
          <w:color w:val="auto"/>
        </w:rPr>
        <w:t>fees, if any. To the extent that NCM LLC has insufficient cash flow to make such payments, it could have a material adverse effect on our business, financial condition, results of operations or prospects.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NCM LLC’s substantial debt obligations could impair our financial condition or prevent us from achieving our business goals.</w:t>
      </w:r>
    </w:p>
    <w:p>
      <w:pPr>
        <w:spacing w:after="0" w:line="18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NCM LLC is party to substantial debt obligations. The senior secured credit facility and indentures contain restrictive covenants that limit NCM LLC’s ability to take specified actions and prescribe minimum financial maintenance requirements that NCM LLC must meet.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 For further information, refer to Note 6 to the unaudited Condensed Consolidated Financial Statements included elsewhere in this document.</w:t>
      </w:r>
    </w:p>
    <w:p>
      <w:pPr>
        <w:spacing w:after="0" w:line="14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If NCM LLC is unable to meet its debt service obligations, it could be forced to restructure or refinance the obligations, seek additional equity financing or sell assets. NCM LLC may be unable to restructure or refinance these obligations, obtain additional equity financing, sell assets on satisfactory terms or at all or make cash distributions. In addition, NCM LLC’s indebtedness could have other negative consequences for us, including without limitation:</w:t>
      </w:r>
    </w:p>
    <w:p>
      <w:pPr>
        <w:spacing w:after="0" w:line="163" w:lineRule="exact"/>
        <w:rPr>
          <w:sz w:val="20"/>
          <w:szCs w:val="20"/>
          <w:color w:val="auto"/>
        </w:rPr>
      </w:pPr>
    </w:p>
    <w:p>
      <w:pPr>
        <w:ind w:left="1360" w:hanging="380"/>
        <w:spacing w:after="0"/>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NCM LLC’s ability to obtain financing in the future;</w:t>
      </w:r>
    </w:p>
    <w:p>
      <w:pPr>
        <w:spacing w:after="0" w:line="49" w:lineRule="exact"/>
        <w:rPr>
          <w:rFonts w:ascii="Times New Roman" w:cs="Times New Roman" w:eastAsia="Times New Roman" w:hAnsi="Times New Roman"/>
          <w:sz w:val="18"/>
          <w:szCs w:val="18"/>
          <w:color w:val="auto"/>
        </w:rPr>
      </w:pPr>
    </w:p>
    <w:p>
      <w:pPr>
        <w:ind w:left="660" w:right="40" w:firstLine="320"/>
        <w:spacing w:after="0" w:line="297" w:lineRule="auto"/>
        <w:tabs>
          <w:tab w:leader="none" w:pos="1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much of our cash flow to be dedicated to interest obligations and making it unavailable for other purposes, including payments to its members (including NCM, Inc.);</w:t>
      </w:r>
    </w:p>
    <w:p>
      <w:pPr>
        <w:ind w:left="660" w:firstLine="320"/>
        <w:spacing w:after="0" w:line="297" w:lineRule="auto"/>
        <w:tabs>
          <w:tab w:leader="none" w:pos="1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1" w:lineRule="exact"/>
        <w:rPr>
          <w:rFonts w:ascii="Times New Roman" w:cs="Times New Roman" w:eastAsia="Times New Roman" w:hAnsi="Times New Roman"/>
          <w:sz w:val="18"/>
          <w:szCs w:val="18"/>
          <w:color w:val="auto"/>
        </w:rPr>
      </w:pPr>
    </w:p>
    <w:p>
      <w:pPr>
        <w:ind w:left="660" w:right="240" w:firstLine="320"/>
        <w:spacing w:after="0" w:line="329" w:lineRule="auto"/>
        <w:tabs>
          <w:tab w:leader="none" w:pos="1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NCM LLC more vulnerable to an increase in interest rates, a downturn in operating performance or decline in general economic conditions.</w:t>
      </w:r>
    </w:p>
    <w:p>
      <w:pPr>
        <w:spacing w:after="0" w:line="13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11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agreements relating to NCM LLC’s debt, including the Notes due 2022, Notes due 2026, Notes due 2028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356"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NCM LLC’s other founding members or their affiliates may have interests that differ from those of our public stockholders and they may be able to influence our affairs.</w:t>
      </w:r>
    </w:p>
    <w:p>
      <w:pPr>
        <w:spacing w:after="0" w:line="11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So long as either Cinemark or Regal owns at least 5% of NCM LLC’s issued and outstanding common membership units, if the two directors appointed by Cinemark or the two directors appointed by Regal to our Board of Directors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such actions:</w:t>
      </w:r>
    </w:p>
    <w:p>
      <w:pPr>
        <w:spacing w:after="0" w:line="14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transfer, sell or pledge all or a portion of the membership units of NCM LLC beneficially owned by NCM, Inc.;</w:t>
      </w:r>
    </w:p>
    <w:p>
      <w:pPr>
        <w:spacing w:after="0" w:line="2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dispose, lease or license assets with an aggregate value exceeding 20% of the fair market value of the business of NCM LLC operating as a going concern;</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reorganize, recapitalize, reclassify, consolidate, dissolve, liquidate or enter into a similar transaction;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funded indebtedness or repay, before due, any funded indebtedness with a fixed term in an aggregate amount in excess of $15.0 million per year;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96" w:right="239" w:bottom="1440" w:gutter="0" w:footer="0" w:header="0"/>
        </w:sectPr>
      </w:pPr>
    </w:p>
    <w:bookmarkStart w:id="47" w:name="page48"/>
    <w:bookmarkEnd w:id="47"/>
    <w:p>
      <w:pPr>
        <w:ind w:left="660" w:right="84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restate or repeal any provision of NCM, Inc.’s certificate of incorporation or bylaws or the NCM LLC operating agreement;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or terminate certain material contracts not in the ordinary course of business as defined under applicable securities laws;</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in the NCM LLC operating agreement, declare, set aside or pay any redemption of, or dividends with respect to membership interests;</w:t>
      </w:r>
    </w:p>
    <w:p>
      <w:pPr>
        <w:ind w:left="660" w:right="12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material terms or provisions (as defined in the Nasdaq rules) of NCM, Inc.’s equity incentive plan or enter into any new equity incentive compensation plan;</w:t>
      </w:r>
    </w:p>
    <w:p>
      <w:pPr>
        <w:ind w:left="660" w:right="2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current business purpose of NCM, Inc. to serve solely as the manager of NCM LLC or any change in the current business purpose of NCM LLC to provide the services as set forth in the ESAs; and</w:t>
      </w:r>
    </w:p>
    <w:p>
      <w:pPr>
        <w:ind w:left="660" w:right="70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actions relating to NCM LLC that could reasonably be expected to have a material adverse tax effect on NCM LLC’s founding members.</w:t>
      </w:r>
    </w:p>
    <w:p>
      <w:pPr>
        <w:spacing w:after="0" w:line="13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Pursuant to a director designation agreement, so long as Cinemark or Regal owns at least 5% of NCM LLC’s issued and outstanding common membership units, such NCM LLC founding member will have the right to designate a total of two nominees to our Board of Directors who will be voted upon by our stockholders. One such designee by each of Cinemark and Regal must meet the independence requirements of the stock exchange on which our common stock is listed. If, at any time, Cinemark or Regal owns less than 5% of NCM LLC’s then issued and outstanding common membership units, then such NCM LLC founding member shall cease to have any rights of designation. AMC no longer has seats on our Board of Directors or the right to nominate any person to serve on our Board of Directors.</w:t>
      </w:r>
    </w:p>
    <w:p>
      <w:pPr>
        <w:spacing w:after="0" w:line="14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If any director designee to our board designated by Cinemark or Regal is not appointed to our board, nominated by us or elected by our stockholders, as applicable, then Cinemark and Regal (so long as such they each continue to own at least 5% of NCM LLC’s issued and outstanding common membership units) will be entitled to approve specified actions of NCM LLC.</w:t>
      </w:r>
    </w:p>
    <w:p>
      <w:pPr>
        <w:spacing w:after="0" w:line="13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 purposes of calculating the 5% ownership threshold for the director veto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an NCM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founding member to another and were originally received by the transferring NCM LLC founding member upon redemption of NCM LLC common membership units.</w:t>
      </w:r>
    </w:p>
    <w:p>
      <w:pPr>
        <w:spacing w:after="0" w:line="1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Under these circumstances, our corporate governance documents allow NCM LLC’s other members and their affiliates to exercise a greater degree of influence in the operation of our business and that of NCM LLC and the management of our affairs and those of NCM LLC than is typically available to stockholders of a publicly-traded company. Even if NCM LLC’s other members or their affiliates own a minority economic interest (but not less than 5%) in NCM LLC, they may be able to continue exerting such degree of influence over us and NCM LLC.</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Different interests among the founding members or between the founding members and us could prevent us from achieving our business goals.</w:t>
      </w:r>
    </w:p>
    <w:p>
      <w:pPr>
        <w:spacing w:after="0" w:line="18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For the foreseeable future, we expect that our Board of Directors will include directors and certain executive officers of Cinemark and Regal and other directors who may have commercial or other relationships with Cinemark and Regal. The majority of NCM LLC’s outstanding membership interests also are owned by Cinemark and Regal. Such members compete with each other in the operation of their respective businesses and could have individual business interests that may conflict. Their differing interests could make it difficult for us to pursue strategic initiatives that require consensus among NCM LLC’s current members. In addition, to the extent the founding members sell some or all their NCM LLC membership units, such as was the case for AMC during 2017 and 2018, the founding members could have increasingly different interests because they no longer mutually benefit from an increase in NCM LLC’s revenues or the value of the NCM, Inc. common stock into which the NCM LLC membership units are convertible.</w:t>
      </w:r>
    </w:p>
    <w:p>
      <w:pPr>
        <w:spacing w:after="0" w:line="14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These conflicts of interests could also increase upon the sale of NCM LLC membership</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97" w:right="239" w:bottom="1440" w:gutter="0" w:footer="0" w:header="0"/>
        </w:sectPr>
      </w:pPr>
    </w:p>
    <w:bookmarkStart w:id="48" w:name="page49"/>
    <w:bookmarkEnd w:id="48"/>
    <w:p>
      <w:pPr>
        <w:ind w:right="60"/>
        <w:spacing w:after="0" w:line="261" w:lineRule="auto"/>
        <w:rPr>
          <w:sz w:val="20"/>
          <w:szCs w:val="20"/>
          <w:color w:val="auto"/>
        </w:rPr>
      </w:pPr>
      <w:r>
        <w:rPr>
          <w:rFonts w:ascii="Times New Roman" w:cs="Times New Roman" w:eastAsia="Times New Roman" w:hAnsi="Times New Roman"/>
          <w:sz w:val="18"/>
          <w:szCs w:val="18"/>
          <w:color w:val="auto"/>
        </w:rPr>
        <w:t>units by a founding member because the founding member would have little incentive to agree to changes that may result in higher revenue for NCM LLC or a higher price for our common stock.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136"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corporate opportunity provisions in our certificate of incorporation could enable NCM LLC’s members to benefit from corporate opportunities that might otherwise be available to us.</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contains provisions related to corporate opportunities that may be of interest to NCM LLC’s other members and us. It provides that if a corporate opportunity is offered to us, NCM LLC or one or more of the officers, directors or stockholders (both direct and indirect) of NCM, Inc. or a member of NCM LLC that relates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49"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129"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11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139"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11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Provisions contained in our certificate of incorporation and bylaws, the NCM LLC operating agreement, and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136" w:lineRule="exact"/>
        <w:rPr>
          <w:sz w:val="20"/>
          <w:szCs w:val="20"/>
          <w:color w:val="auto"/>
        </w:rPr>
      </w:pPr>
    </w:p>
    <w:p>
      <w:pPr>
        <w:ind w:left="1300" w:right="400"/>
        <w:spacing w:after="0" w:line="261" w:lineRule="auto"/>
        <w:rPr>
          <w:sz w:val="20"/>
          <w:szCs w:val="20"/>
          <w:color w:val="auto"/>
        </w:rPr>
      </w:pPr>
      <w:r>
        <w:rPr>
          <w:rFonts w:ascii="Times New Roman" w:cs="Times New Roman" w:eastAsia="Times New Roman" w:hAnsi="Times New Roman"/>
          <w:sz w:val="18"/>
          <w:szCs w:val="18"/>
          <w:color w:val="auto"/>
        </w:rPr>
        <w:t>provide veto rights to the directors designated by Cinemark and Regal over certain actions specified in our certificate of incorporation; authorize the issuance of “blank check” preferred stock that could be issued by our Board of Directors to increase the number of</w:t>
      </w:r>
    </w:p>
    <w:p>
      <w:pPr>
        <w:jc w:val="center"/>
        <w:ind w:right="5180"/>
        <w:spacing w:after="0"/>
        <w:rPr>
          <w:sz w:val="20"/>
          <w:szCs w:val="20"/>
          <w:color w:val="auto"/>
        </w:rPr>
      </w:pPr>
      <w:r>
        <w:rPr>
          <w:rFonts w:ascii="Times New Roman" w:cs="Times New Roman" w:eastAsia="Times New Roman" w:hAnsi="Times New Roman"/>
          <w:sz w:val="18"/>
          <w:szCs w:val="18"/>
          <w:color w:val="auto"/>
        </w:rPr>
        <w:t>outstanding shares, making a takeover more difficult and expensive;</w:t>
      </w:r>
    </w:p>
    <w:p>
      <w:pPr>
        <w:spacing w:after="0" w:line="9" w:lineRule="exact"/>
        <w:rPr>
          <w:sz w:val="20"/>
          <w:szCs w:val="20"/>
          <w:color w:val="auto"/>
        </w:rPr>
      </w:pPr>
    </w:p>
    <w:p>
      <w:pPr>
        <w:jc w:val="center"/>
        <w:ind w:right="5120"/>
        <w:spacing w:after="0"/>
        <w:rPr>
          <w:sz w:val="20"/>
          <w:szCs w:val="20"/>
          <w:color w:val="auto"/>
        </w:rPr>
      </w:pPr>
      <w:r>
        <w:rPr>
          <w:rFonts w:ascii="Times New Roman" w:cs="Times New Roman" w:eastAsia="Times New Roman" w:hAnsi="Times New Roman"/>
          <w:sz w:val="18"/>
          <w:szCs w:val="18"/>
          <w:color w:val="auto"/>
        </w:rPr>
        <w:t>prohibit stockholder action by written consent; and</w:t>
      </w:r>
    </w:p>
    <w:p>
      <w:pPr>
        <w:spacing w:after="0" w:line="9" w:lineRule="exact"/>
        <w:rPr>
          <w:sz w:val="20"/>
          <w:szCs w:val="20"/>
          <w:color w:val="auto"/>
        </w:rPr>
      </w:pPr>
    </w:p>
    <w:p>
      <w:pPr>
        <w:ind w:left="660" w:right="460" w:firstLine="648"/>
        <w:spacing w:after="0" w:line="261" w:lineRule="auto"/>
        <w:rPr>
          <w:sz w:val="20"/>
          <w:szCs w:val="20"/>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NCM LLC’s operating agreement also provides that NCM LLC’s other members will be able to exercise a greater degree of influence over the operations of NCM LLC, which may discourage other nominations to our Board of Directors, if any director nominee designated by NCM LLC’s other members is not elected by our stockholders. In addition, we entered into a</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796" w:right="25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letter agreement with Standard General L.P., our largest stockholder, on June 1, 2018, that contains customary standstill provisions that may discourage a third party from seeking to enter into a strategic transaction with us.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13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118"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common unit adjustment agreement and the ESAs provide that NCM LLC will issue common membership units to account for changes in the number of theater screens NCM LLC’s founding members operate and which are made part of our advertising network. Historically, in most years each of NCM LLC’s founding members has increased the number 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4 to the unaudited Condensed Consolidated Financial Statements included elsewhere in this document.</w:t>
      </w:r>
    </w:p>
    <w:p>
      <w:pPr>
        <w:spacing w:after="0" w:line="142"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11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40"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39" w:lineRule="exact"/>
        <w:rPr>
          <w:sz w:val="20"/>
          <w:szCs w:val="20"/>
          <w:color w:val="auto"/>
        </w:rPr>
      </w:pPr>
    </w:p>
    <w:p>
      <w:pPr>
        <w:ind w:right="8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11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14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796"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to continue our business as currently conducted and could have a material adverse effect on our financial performance and operations.</w:t>
      </w:r>
    </w:p>
    <w:p>
      <w:pPr>
        <w:spacing w:after="0" w:line="18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132"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 with NCM LLC’s founding members is expected to reduce the amount of overall cash flow that would otherwise be available to us and will increase our potential exposure to the financial condition of NCM LLC’s founding members.</w:t>
      </w:r>
    </w:p>
    <w:p>
      <w:pPr>
        <w:spacing w:after="0" w:line="11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TRA, then NCM, Inc.’s financial condition could be negatively impacted.</w:t>
      </w:r>
    </w:p>
    <w:p>
      <w:pPr>
        <w:spacing w:after="0" w:line="141"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11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cannot predict the effect, if any, that market sales of shares of common stock by Regal, Cinemark, or Standard General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Cinemark and Regal may receive up to 80.7 million shares of common stock as of September 26, 2019 upon redemption of their outstanding common membership units of NCM LLC. The resale of these shares of common stock has been registered as required by the terms of the registration rights agreement between NCM, Inc. and the founding members. Standard General also owns 15.8 million shares that it may sell at any time. Additionally, once options and restricted stock held by our employees become vested and/or exercisable, as applicable, to the extent that they are not held by one of our affiliates, the shares acquired upon vesting or exercise are freely tradable. Refer to Note 11 to the audited Consolidated Financial Statements included in our annual report on Form 10-K.</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our largest stockholder and NCM LLC’s other members may be different from or conflict with those of our other stockholders.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Standard General beneficially owns 15.8 million shares of our common stock, and as of September 26, 2019, Cinemark and Regal held NCM LLC membership interests that are convertible into another 80.7 million shares of our common stock. As a result, each of Regal, Cinemark and Standard General is in a position to influence or control to some degree the outcome of matters requiring stockholder approval, including the adoption of amendments to our certificate of incorporation or bylaws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 In addition, each of Regal, Cinemark and Standard General has the right to designate directors to our Board. These directors have the authority, subject to applicable rules and regulations, to issue additional stock, implement stock repurchase programs, declare dividends and make other decisions.</w:t>
      </w:r>
    </w:p>
    <w:p>
      <w:pPr>
        <w:spacing w:after="0" w:line="1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It is possible that the interests of Regal, Cinemark and Standard General may in some circumstances conflict with our interests and the interests of our other stockholders. For example, Cinemark and Regal may have different tax positions from us, especially in light of the TRA we entered into with founding members that provides for the payment by us to the founding members of 90% of the amount of any tax benefits that we actually realize, or in some cases are deemed to realize. This could influence their decisions regarding whether and when we should dispose of assets, and whether and when we or NCM LLC should incur indebtedness. As another example, Standard General is in the business of making investments in companies and may hold, and may from time to time in the future acquire, interests in or provide advice to businesses that directly or indirectly compete with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400" w:firstLine="54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4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4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9"/>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28, 2019 through July 25, 2019</w:t>
            </w:r>
          </w:p>
        </w:tc>
        <w:tc>
          <w:tcPr>
            <w:tcW w:w="2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July 26, 2019 through August 29, 2019</w:t>
            </w:r>
          </w:p>
        </w:tc>
        <w:tc>
          <w:tcPr>
            <w:tcW w:w="2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6,130</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30, 2019 through September 26, 2019</w:t>
            </w:r>
          </w:p>
        </w:tc>
        <w:tc>
          <w:tcPr>
            <w:tcW w:w="2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Second Amended and Restated Certificate of Incorporation and NCM LLC’s Third Amended and Restated Limited Liability Company Operating Agreement, as amended, provide a redemption right to certain of NCM LLC’s members to exchange common membership units of NCM LLC for shares of the Company’s common stock on a one-for-one basis, or at the Company’s option, a cash payment equal to the market price of one share of the Company’s Common Stock.</w:t>
      </w:r>
    </w:p>
    <w:p>
      <w:pPr>
        <w:spacing w:after="0" w:line="4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October 24, 2019, in response to a notice of redemption delivered by AMC to NCM LLC, the Company contributed 197,118 shares of Common Stock to NCM LLC in exchange for an equal number of common membership units of NCM LLC, which represents all of AMC’s interest in NCM LLC. NCM LLC in turn transferred the shares of Common Stock to AMC.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796" w:right="239"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219"/>
          </w:cols>
          <w:pgMar w:left="240" w:top="117"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13"/>
                <w:szCs w:val="13"/>
                <w:color w:val="auto"/>
              </w:rPr>
            </w:pP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5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w:t>
            </w:r>
          </w:p>
        </w:tc>
        <w:tc>
          <w:tcPr>
            <w:tcW w:w="500" w:type="dxa"/>
            <w:vAlign w:val="bottom"/>
          </w:tcPr>
          <w:p>
            <w:pPr>
              <w:spacing w:after="0"/>
              <w:rPr>
                <w:sz w:val="24"/>
                <w:szCs w:val="24"/>
                <w:color w:val="auto"/>
              </w:rPr>
            </w:pPr>
          </w:p>
        </w:tc>
        <w:tc>
          <w:tcPr>
            <w:tcW w:w="30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55">
              <w:r>
                <w:rPr>
                  <w:rFonts w:ascii="Times New Roman" w:cs="Times New Roman" w:eastAsia="Times New Roman" w:hAnsi="Times New Roman"/>
                  <w:sz w:val="18"/>
                  <w:szCs w:val="18"/>
                  <w:color w:val="0000FF"/>
                  <w:w w:val="99"/>
                </w:rPr>
                <w:t>The Bylaws, as amended August 1, 2019.</w:t>
              </w:r>
            </w:hyperlink>
          </w:p>
        </w:tc>
        <w:tc>
          <w:tcPr>
            <w:tcW w:w="5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(1)</w:t>
            </w:r>
          </w:p>
        </w:tc>
        <w:tc>
          <w:tcPr>
            <w:tcW w:w="500" w:type="dxa"/>
            <w:vAlign w:val="bottom"/>
          </w:tcPr>
          <w:p>
            <w:pPr>
              <w:spacing w:after="0"/>
              <w:rPr>
                <w:sz w:val="21"/>
                <w:szCs w:val="21"/>
                <w:color w:val="auto"/>
              </w:rPr>
            </w:pPr>
          </w:p>
        </w:tc>
        <w:tc>
          <w:tcPr>
            <w:tcW w:w="83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Indenture, dated as of October 8, 2019, by and between NCM LLC and Wells Fargo Bank, National Association, as</w:t>
              </w:r>
            </w:hyperlink>
          </w:p>
        </w:tc>
        <w:tc>
          <w:tcPr>
            <w:tcW w:w="2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40" w:type="dxa"/>
            <w:vAlign w:val="bottom"/>
            <w:gridSpan w:val="15"/>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trustee.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(2)</w:t>
            </w: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53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Form of 5.875% Senior Secured Notes due 2028 (included in Exhibit 4.1).</w:t>
              </w:r>
            </w:hyperlink>
          </w:p>
        </w:tc>
        <w:tc>
          <w:tcPr>
            <w:tcW w:w="318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(3)</w:t>
            </w:r>
          </w:p>
        </w:tc>
        <w:tc>
          <w:tcPr>
            <w:tcW w:w="500" w:type="dxa"/>
            <w:vAlign w:val="bottom"/>
          </w:tcPr>
          <w:p>
            <w:pPr>
              <w:spacing w:after="0"/>
              <w:rPr>
                <w:sz w:val="21"/>
                <w:szCs w:val="21"/>
                <w:color w:val="auto"/>
              </w:rPr>
            </w:pPr>
          </w:p>
        </w:tc>
        <w:tc>
          <w:tcPr>
            <w:tcW w:w="85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First Amendment to the Amended and Restated Exhibitor Services Agreement dated as of September 17, 2019, by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40" w:type="dxa"/>
            <w:vAlign w:val="bottom"/>
            <w:gridSpan w:val="15"/>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between National CineMedia, LLC and Cinemark USA, Inc.</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(4)</w:t>
            </w:r>
          </w:p>
        </w:tc>
        <w:tc>
          <w:tcPr>
            <w:tcW w:w="5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4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Second Amendment to the Amended and Restated Exhibitor Services Agreement dated as of September 17, 2019, by</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and between National CineMedia, LLC and Regal Cinemas, Inc.</w:t>
              </w:r>
            </w:hyperlink>
          </w:p>
        </w:tc>
        <w:tc>
          <w:tcPr>
            <w:tcW w:w="38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w:t>
            </w:r>
          </w:p>
        </w:tc>
        <w:tc>
          <w:tcPr>
            <w:tcW w:w="500" w:type="dxa"/>
            <w:vAlign w:val="bottom"/>
          </w:tcPr>
          <w:p>
            <w:pPr>
              <w:spacing w:after="0"/>
              <w:rPr>
                <w:sz w:val="21"/>
                <w:szCs w:val="21"/>
                <w:color w:val="auto"/>
              </w:rPr>
            </w:pPr>
          </w:p>
        </w:tc>
        <w:tc>
          <w:tcPr>
            <w:tcW w:w="8540" w:type="dxa"/>
            <w:vAlign w:val="bottom"/>
            <w:gridSpan w:val="15"/>
          </w:tcPr>
          <w:p>
            <w:pPr>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Employment Agreement dated as of August 1, 2019, by and between National CineMedia, Inc. and Thomas F.</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Lesinski.</w:t>
              </w:r>
            </w:hyperlink>
          </w:p>
        </w:tc>
        <w:tc>
          <w:tcPr>
            <w:tcW w:w="7220" w:type="dxa"/>
            <w:vAlign w:val="bottom"/>
            <w:tcBorders>
              <w:top w:val="single" w:sz="8" w:color="0000FF"/>
            </w:tcBorders>
            <w:gridSpan w:val="10"/>
          </w:tcPr>
          <w:p>
            <w:pPr>
              <w:spacing w:after="0"/>
              <w:rPr>
                <w:sz w:val="17"/>
                <w:szCs w:val="17"/>
                <w:color w:val="auto"/>
              </w:rPr>
            </w:pPr>
          </w:p>
        </w:tc>
        <w:tc>
          <w:tcPr>
            <w:tcW w:w="6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w:t>
            </w:r>
          </w:p>
        </w:tc>
        <w:tc>
          <w:tcPr>
            <w:tcW w:w="500" w:type="dxa"/>
            <w:vAlign w:val="bottom"/>
          </w:tcPr>
          <w:p>
            <w:pPr>
              <w:spacing w:after="0"/>
              <w:rPr>
                <w:sz w:val="21"/>
                <w:szCs w:val="21"/>
                <w:color w:val="auto"/>
              </w:rPr>
            </w:pPr>
          </w:p>
        </w:tc>
        <w:tc>
          <w:tcPr>
            <w:tcW w:w="28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82">
              <w:r>
                <w:rPr>
                  <w:rFonts w:ascii="Times New Roman" w:cs="Times New Roman" w:eastAsia="Times New Roman" w:hAnsi="Times New Roman"/>
                  <w:sz w:val="18"/>
                  <w:szCs w:val="18"/>
                  <w:color w:val="0000FF"/>
                  <w:w w:val="99"/>
                </w:rPr>
                <w:t>Form of 2019 Stock Option Agreement.</w:t>
              </w:r>
            </w:hyperlink>
          </w:p>
        </w:tc>
        <w:tc>
          <w:tcPr>
            <w:tcW w:w="56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40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87">
              <w:r>
                <w:rPr>
                  <w:rFonts w:ascii="Times New Roman" w:cs="Times New Roman" w:eastAsia="Times New Roman" w:hAnsi="Times New Roman"/>
                  <w:sz w:val="18"/>
                  <w:szCs w:val="18"/>
                  <w:color w:val="0000FF"/>
                  <w:w w:val="99"/>
                </w:rPr>
                <w:t>Rule 13a-14(a) Certification of Chief Executive Officer.</w:t>
              </w:r>
            </w:hyperlink>
          </w:p>
        </w:tc>
        <w:tc>
          <w:tcPr>
            <w:tcW w:w="45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540" w:type="dxa"/>
            <w:vAlign w:val="bottom"/>
            <w:gridSpan w:val="15"/>
          </w:tcPr>
          <w:p>
            <w:pPr>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Rule 13a-14(a) Certification of Chief Financial Officer.</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540" w:type="dxa"/>
            <w:vAlign w:val="bottom"/>
            <w:gridSpan w:val="15"/>
          </w:tcPr>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Certification of Chief Executive Officer Pursuant to 18 U.S.C. Section 1350.</w:t>
              </w:r>
            </w:hyperlink>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40" w:type="dxa"/>
            <w:vAlign w:val="bottom"/>
          </w:tcPr>
          <w:p>
            <w:pPr>
              <w:spacing w:after="0"/>
              <w:rPr>
                <w:sz w:val="21"/>
                <w:szCs w:val="21"/>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548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90">
              <w:r>
                <w:rPr>
                  <w:rFonts w:ascii="Times New Roman" w:cs="Times New Roman" w:eastAsia="Times New Roman" w:hAnsi="Times New Roman"/>
                  <w:sz w:val="18"/>
                  <w:szCs w:val="18"/>
                  <w:color w:val="0000FF"/>
                  <w:w w:val="99"/>
                </w:rPr>
                <w:t>Certification of Chief Financial Officer Pursuant to 18 U.S.C. Section 1350.</w:t>
              </w:r>
            </w:hyperlink>
          </w:p>
        </w:tc>
        <w:tc>
          <w:tcPr>
            <w:tcW w:w="40" w:type="dxa"/>
            <w:vAlign w:val="bottom"/>
            <w:tcBorders>
              <w:top w:val="single" w:sz="8" w:color="0000FF"/>
            </w:tcBorders>
          </w:tcPr>
          <w:p>
            <w:pPr>
              <w:spacing w:after="0"/>
              <w:rPr>
                <w:sz w:val="21"/>
                <w:szCs w:val="21"/>
                <w:color w:val="auto"/>
              </w:rPr>
            </w:pPr>
          </w:p>
        </w:tc>
        <w:tc>
          <w:tcPr>
            <w:tcW w:w="30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98" w:lineRule="exact"/>
        <w:rPr>
          <w:sz w:val="20"/>
          <w:szCs w:val="20"/>
          <w:color w:val="auto"/>
        </w:rPr>
      </w:pPr>
    </w:p>
    <w:p>
      <w:pPr>
        <w:ind w:left="820" w:hanging="785"/>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820" w:hanging="785"/>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63" w:lineRule="exact"/>
        <w:rPr>
          <w:sz w:val="20"/>
          <w:szCs w:val="20"/>
          <w:color w:val="auto"/>
        </w:rPr>
      </w:pPr>
    </w:p>
    <w:p>
      <w:pPr>
        <w:ind w:left="820" w:hanging="785"/>
        <w:spacing w:after="0"/>
        <w:tabs>
          <w:tab w:leader="none" w:pos="8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4.1 to the Registrant's Current Report on Form 8-K (File No. 001-33296) filed on October 8, 2019.</w:t>
      </w:r>
    </w:p>
    <w:p>
      <w:pPr>
        <w:spacing w:after="0" w:line="63" w:lineRule="exact"/>
        <w:rPr>
          <w:rFonts w:ascii="Times New Roman" w:cs="Times New Roman" w:eastAsia="Times New Roman" w:hAnsi="Times New Roman"/>
          <w:sz w:val="18"/>
          <w:szCs w:val="18"/>
          <w:i w:val="1"/>
          <w:iCs w:val="1"/>
          <w:color w:val="auto"/>
        </w:rPr>
      </w:pPr>
    </w:p>
    <w:p>
      <w:pPr>
        <w:ind w:left="820" w:hanging="785"/>
        <w:spacing w:after="0"/>
        <w:tabs>
          <w:tab w:leader="none" w:pos="8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4.2 to the Registrant's Current Report on Form 8-K (File No. 001-33296) filed on October 8, 2019.</w:t>
      </w:r>
    </w:p>
    <w:p>
      <w:pPr>
        <w:spacing w:after="0" w:line="63" w:lineRule="exact"/>
        <w:rPr>
          <w:rFonts w:ascii="Times New Roman" w:cs="Times New Roman" w:eastAsia="Times New Roman" w:hAnsi="Times New Roman"/>
          <w:sz w:val="18"/>
          <w:szCs w:val="18"/>
          <w:i w:val="1"/>
          <w:iCs w:val="1"/>
          <w:color w:val="auto"/>
        </w:rPr>
      </w:pPr>
    </w:p>
    <w:p>
      <w:pPr>
        <w:ind w:left="820" w:hanging="785"/>
        <w:spacing w:after="0"/>
        <w:tabs>
          <w:tab w:leader="none" w:pos="8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10.1 to the Registrant's Current Report on Form 8-K (File No. 001-33296) filed on September 17, 2019.</w:t>
      </w:r>
    </w:p>
    <w:p>
      <w:pPr>
        <w:spacing w:after="0" w:line="63" w:lineRule="exact"/>
        <w:rPr>
          <w:rFonts w:ascii="Times New Roman" w:cs="Times New Roman" w:eastAsia="Times New Roman" w:hAnsi="Times New Roman"/>
          <w:sz w:val="18"/>
          <w:szCs w:val="18"/>
          <w:i w:val="1"/>
          <w:iCs w:val="1"/>
          <w:color w:val="auto"/>
        </w:rPr>
      </w:pPr>
    </w:p>
    <w:p>
      <w:pPr>
        <w:ind w:left="820" w:hanging="785"/>
        <w:spacing w:after="0"/>
        <w:tabs>
          <w:tab w:leader="none" w:pos="8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Incorporated by reference to Exhibit 10.2 to the Registrant's Current Report on Form 8-K (File No. 001-33296) filed on September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240" w:top="792" w:right="639" w:bottom="1440" w:gutter="0" w:footer="0" w:header="0"/>
        </w:sectPr>
      </w:pPr>
    </w:p>
    <w:bookmarkStart w:id="53" w:name="page54"/>
    <w:bookmarkEnd w:id="5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NATIONAL CINEMEDIA, INC.</w:t>
      </w:r>
    </w:p>
    <w:p>
      <w:pPr>
        <w:spacing w:after="0" w:line="6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(Registrant)</w:t>
      </w:r>
    </w:p>
    <w:p>
      <w:pPr>
        <w:spacing w:after="0" w:line="360" w:lineRule="exact"/>
        <w:rPr>
          <w:sz w:val="20"/>
          <w:szCs w:val="20"/>
          <w:color w:val="auto"/>
        </w:rPr>
      </w:pPr>
    </w:p>
    <w:p>
      <w:pPr>
        <w:ind w:left="40"/>
        <w:spacing w:after="0"/>
        <w:tabs>
          <w:tab w:leader="none" w:pos="700" w:val="left"/>
          <w:tab w:leader="none" w:pos="64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2019</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6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2" w:lineRule="exact"/>
        <w:rPr>
          <w:sz w:val="20"/>
          <w:szCs w:val="20"/>
          <w:color w:val="auto"/>
        </w:rPr>
      </w:pPr>
    </w:p>
    <w:p>
      <w:pPr>
        <w:ind w:left="40"/>
        <w:spacing w:after="0"/>
        <w:tabs>
          <w:tab w:leader="none" w:pos="700" w:val="left"/>
          <w:tab w:leader="none" w:pos="64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2019</w:t>
      </w:r>
      <w:r>
        <w:rPr>
          <w:sz w:val="20"/>
          <w:szCs w:val="20"/>
          <w:color w:val="auto"/>
        </w:rPr>
        <w:tab/>
      </w:r>
      <w:r>
        <w:rPr>
          <w:rFonts w:ascii="Times New Roman" w:cs="Times New Roman" w:eastAsia="Times New Roman" w:hAnsi="Times New Roman"/>
          <w:sz w:val="17"/>
          <w:szCs w:val="17"/>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Katherine L. Scherping</w:t>
      </w:r>
    </w:p>
    <w:p>
      <w:pPr>
        <w:spacing w:after="0" w:line="6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20"/>
          </w:cols>
          <w:pgMar w:left="240" w:top="792" w:right="8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BYLAWS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NATIONAL CINEMEDIA, INC.</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amended August 1, 2019</w:t>
      </w:r>
    </w:p>
    <w:p>
      <w:pPr>
        <w:sectPr>
          <w:pgSz w:w="11900" w:h="16838" w:orient="portrait"/>
          <w:cols w:equalWidth="0" w:num="1">
            <w:col w:w="9019"/>
          </w:cols>
          <w:pgMar w:left="1440" w:top="1440" w:right="1440" w:bottom="1440" w:gutter="0" w:footer="0" w:header="0"/>
        </w:sectPr>
      </w:pPr>
    </w:p>
    <w:bookmarkStart w:id="55" w:name="page56"/>
    <w:bookmarkEnd w:id="5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INDEX TO AMENDED AND RESTATED BYLAWS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OF</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NATIONAL CINEMEDIA,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8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1"/>
        </w:trPr>
        <w:tc>
          <w:tcPr>
            <w:tcW w:w="19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05"/>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ARTICLE I Offices</w:t>
            </w:r>
          </w:p>
        </w:tc>
        <w:tc>
          <w:tcPr>
            <w:tcW w:w="8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Business Offices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Registered Office</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446"/>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Stockholders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Annual Meeting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Special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Place of Meeting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 of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Fixing Date for Determination of Stockholders of Record.</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Voting List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Proxies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Quorum and Manner of Acting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Nominations for the Election of Directors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Stockholder Proposals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Stockholder Action by Written Consent Without a Meeting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Conduct of 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Inspector of Elections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446"/>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Board of Directors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General Powers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Number, Tenure and Qualifications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Resignation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Regular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Special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Meetings by Telephone</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 of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Quorum and Manner of Acting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Action Without a Meeting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3.10</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and Other Committees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3.11</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3.12</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Removal of Directors; Vacancies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446"/>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ARTICLE IV Officers</w:t>
            </w:r>
          </w:p>
        </w:tc>
        <w:tc>
          <w:tcPr>
            <w:tcW w:w="8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Number and Qualifications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Election and Term of Office</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4.03</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4.04</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Resignation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Section 4.05</w:t>
            </w:r>
          </w:p>
        </w:tc>
        <w:tc>
          <w:tcPr>
            <w:tcW w:w="8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Removal</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bl>
    <w:p>
      <w:pPr>
        <w:sectPr>
          <w:pgSz w:w="11900" w:h="16838" w:orient="portrait"/>
          <w:cols w:equalWidth="0" w:num="1">
            <w:col w:w="10420"/>
          </w:cols>
          <w:pgMar w:left="760" w:top="801" w:right="71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4.06</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Vacancies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4.07</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Authority and Duties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4.08</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Surety Bonds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446"/>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ARTICLE V Stock</w:t>
            </w:r>
          </w:p>
        </w:tc>
        <w:tc>
          <w:tcPr>
            <w:tcW w:w="61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Issuance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Transfer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Registered Holders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5.04</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Transfer Agents, Registrars and Paying Agents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5.05</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Lost, Stolen or Destroyed Certificates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46"/>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 to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Insurance</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46"/>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7.01</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 by Electronic Transmission</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7.02</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Waivers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7.03</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Presumption of Assent</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7.04</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Voting of Securities by the Corporation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7.05</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Authorized Signatories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7.06</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Seal</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7.07</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Fiscal Year</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Section 7.08</w:t>
            </w:r>
          </w:p>
        </w:tc>
        <w:tc>
          <w:tcPr>
            <w:tcW w:w="6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Amendments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bl>
    <w:p>
      <w:pPr>
        <w:sectPr>
          <w:pgSz w:w="11900" w:h="16838" w:orient="portrait"/>
          <w:cols w:equalWidth="0" w:num="1">
            <w:col w:w="10380"/>
          </w:cols>
          <w:pgMar w:left="760" w:top="738" w:right="7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NATIONAL CINEMEDIA,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Offices</w:t>
      </w:r>
    </w:p>
    <w:p>
      <w:pPr>
        <w:spacing w:after="0" w:line="194" w:lineRule="exact"/>
        <w:rPr>
          <w:sz w:val="20"/>
          <w:szCs w:val="20"/>
          <w:color w:val="auto"/>
        </w:rPr>
      </w:pPr>
    </w:p>
    <w:p>
      <w:pPr>
        <w:ind w:right="180" w:firstLine="324"/>
        <w:spacing w:after="0" w:line="296"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Business Offices</w:t>
      </w:r>
      <w:r>
        <w:rPr>
          <w:rFonts w:ascii="Times New Roman" w:cs="Times New Roman" w:eastAsia="Times New Roman" w:hAnsi="Times New Roman"/>
          <w:sz w:val="19"/>
          <w:szCs w:val="19"/>
          <w:color w:val="auto"/>
        </w:rPr>
        <w:t>. National CineMedia, Inc. (the “</w:t>
      </w:r>
      <w:r>
        <w:rPr>
          <w:rFonts w:ascii="Times New Roman" w:cs="Times New Roman" w:eastAsia="Times New Roman" w:hAnsi="Times New Roman"/>
          <w:sz w:val="19"/>
          <w:szCs w:val="19"/>
          <w:u w:val="single" w:color="auto"/>
          <w:color w:val="auto"/>
        </w:rPr>
        <w:t>Corporation</w:t>
      </w:r>
      <w:r>
        <w:rPr>
          <w:rFonts w:ascii="Times New Roman" w:cs="Times New Roman" w:eastAsia="Times New Roman" w:hAnsi="Times New Roman"/>
          <w:sz w:val="19"/>
          <w:szCs w:val="19"/>
          <w:color w:val="auto"/>
        </w:rPr>
        <w:t>”) may have such offices, either within or outside Delaware, as the board of directors of the Corporation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may from time to time determine or as the business of the Corporation may require.</w:t>
      </w:r>
    </w:p>
    <w:p>
      <w:pPr>
        <w:spacing w:after="0" w:line="13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Registered Office</w:t>
      </w:r>
      <w:r>
        <w:rPr>
          <w:rFonts w:ascii="Times New Roman" w:cs="Times New Roman" w:eastAsia="Times New Roman" w:hAnsi="Times New Roman"/>
          <w:sz w:val="20"/>
          <w:szCs w:val="20"/>
          <w:color w:val="auto"/>
        </w:rPr>
        <w:t>. The registered office of the Corporation required by the General Corporation Law of the State of Delaware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 to be maintained in Delaware shall be as set forth in the certificate of incorporation of the Corporation (the “</w:t>
      </w:r>
      <w:r>
        <w:rPr>
          <w:rFonts w:ascii="Times New Roman" w:cs="Times New Roman" w:eastAsia="Times New Roman" w:hAnsi="Times New Roman"/>
          <w:sz w:val="20"/>
          <w:szCs w:val="20"/>
          <w:u w:val="single" w:color="auto"/>
          <w:color w:val="auto"/>
        </w:rPr>
        <w:t>Certificate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Incorporation</w:t>
      </w:r>
      <w:r>
        <w:rPr>
          <w:rFonts w:ascii="Times New Roman" w:cs="Times New Roman" w:eastAsia="Times New Roman" w:hAnsi="Times New Roman"/>
          <w:sz w:val="20"/>
          <w:szCs w:val="20"/>
          <w:color w:val="auto"/>
        </w:rPr>
        <w:t>”), unless changed as provided by law.</w:t>
      </w:r>
    </w:p>
    <w:p>
      <w:pPr>
        <w:spacing w:after="0" w:line="1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ARTICLE II</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Stockholders</w:t>
      </w:r>
    </w:p>
    <w:p>
      <w:pPr>
        <w:spacing w:after="0" w:line="194"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Annual Meeting</w:t>
      </w:r>
      <w:r>
        <w:rPr>
          <w:rFonts w:ascii="Times New Roman" w:cs="Times New Roman" w:eastAsia="Times New Roman" w:hAnsi="Times New Roman"/>
          <w:sz w:val="20"/>
          <w:szCs w:val="20"/>
          <w:color w:val="auto"/>
        </w:rPr>
        <w:t>. An annual meeting of the stockholders of the Corporation shall be held on such date as may be determined by the Board, for the purpose of electing directors and for the transaction of such other business as may come before such meeting. If the election of directors of the Corporation shall not be held on the day designated for any such meeting, or at any adjournment thereof, the Board shall cause the election to be held at a meeting of the stockholders of the Corporation as soon thereafter as conveniently may be held. Failure to hold an annual meeting of the stockholders of the Corporation as required by these Bylaws shall not invalidate any action taken by the Board or by the officers of the Corporation.</w:t>
      </w:r>
    </w:p>
    <w:p>
      <w:pPr>
        <w:spacing w:after="0" w:line="185" w:lineRule="exact"/>
        <w:rPr>
          <w:sz w:val="20"/>
          <w:szCs w:val="20"/>
          <w:color w:val="auto"/>
        </w:rPr>
      </w:pPr>
    </w:p>
    <w:p>
      <w:pPr>
        <w:ind w:right="40"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the stockholders of the Corporation, for any purpose or purposes, unless otherwise prescribed by law or the Certificate of Incorporation, may be called only by the Board pursuant to a resolution approved by the affirmative vote of a majority of the directors of the Corporation then in office. Such resolution of the Board shall state the purpose or purposes of such proposed meeting. Business transacted at any special meetings of the stockholders shall be limited to the purpose or purposes stated in the notice.</w:t>
      </w:r>
    </w:p>
    <w:p>
      <w:pPr>
        <w:spacing w:after="0" w:line="181" w:lineRule="exact"/>
        <w:rPr>
          <w:sz w:val="20"/>
          <w:szCs w:val="20"/>
          <w:color w:val="auto"/>
        </w:rPr>
      </w:pPr>
    </w:p>
    <w:p>
      <w:pPr>
        <w:ind w:right="26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Place of Meeting</w:t>
      </w:r>
      <w:r>
        <w:rPr>
          <w:rFonts w:ascii="Times New Roman" w:cs="Times New Roman" w:eastAsia="Times New Roman" w:hAnsi="Times New Roman"/>
          <w:sz w:val="20"/>
          <w:szCs w:val="20"/>
          <w:color w:val="auto"/>
        </w:rPr>
        <w:t>. Each meeting of the stockholders of the Corporation shall be held at such place, either within or outside Delaware, as may be designated in the notice of such meeting, or, if no place is designated in such notice, at the principal office of the Corporation. The Board may, in its sole discretion, determine that a meeting of stockholders shall not be held at any time, but may instead be held solely by means of remote communications in accordance with the DGCL.</w:t>
      </w:r>
    </w:p>
    <w:p>
      <w:pPr>
        <w:spacing w:after="0" w:line="180"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Except as otherwise required herein, by the Certificate of Incorporation or by law and whenever stockholders are required or permitted to take any action at a meeting, notice in writing or by electronic transmission of each meeting of the stockholders of the Corporation stating the place, if any, day and hour of such meeting, the means of remote communications, if any, by which stockholders and proxy holders may be deemed to be present in person and vote at such meeting and, in the case of a special meeting of the stockholders of the Corporation, the purpose or purposes for which such meeting is called, shall be given, either personally (including delivery by private courier) or by first class, certified or registered mail, or by electronic transmission, to each stockholder of record entitled to notice of such meeting, not less than 10 nor more than 60 days before the date of such meeting. Such notice shall be deemed to be given, if personally delivered, when delivered to the stockholder, and, if mailed, when deposited in the United States mail, postage prepaid, directed to the stockholder at his address as it appears on the records of the Corporation, and if by electronic transmission, when posted on an electronic network or directed to the stockholder at an electronic mail address at which the stockholder has consented to receive notice. An affidavit of the secretary or an assistant secretary of the Corporation or of the transfer agent or any other agent of the Corporation that the notice has been given by personal delivery, by mail or</w:t>
      </w:r>
    </w:p>
    <w:p>
      <w:pPr>
        <w:sectPr>
          <w:pgSz w:w="11900" w:h="16838" w:orient="portrait"/>
          <w:cols w:equalWidth="0" w:num="1">
            <w:col w:w="11420"/>
          </w:cols>
          <w:pgMar w:left="240" w:top="802" w:right="239" w:bottom="1440" w:gutter="0" w:footer="0" w:header="0"/>
        </w:sectPr>
      </w:pPr>
    </w:p>
    <w:bookmarkStart w:id="58" w:name="page59"/>
    <w:bookmarkEnd w:id="58"/>
    <w:p>
      <w:pPr>
        <w:ind w:right="20"/>
        <w:spacing w:after="0" w:line="242" w:lineRule="auto"/>
        <w:rPr>
          <w:sz w:val="20"/>
          <w:szCs w:val="20"/>
          <w:color w:val="auto"/>
        </w:rPr>
      </w:pPr>
      <w:r>
        <w:rPr>
          <w:rFonts w:ascii="Times New Roman" w:cs="Times New Roman" w:eastAsia="Times New Roman" w:hAnsi="Times New Roman"/>
          <w:sz w:val="20"/>
          <w:szCs w:val="20"/>
          <w:color w:val="auto"/>
        </w:rPr>
        <w:t>by a form of electronic transmission, as applicable, shall, in the absence of fraud, be prima facie evidence of the facts stated therein. If notice of two consecutive annual meetings of the stockholders of the Corporation and all notices of other meetings of the stockholders of the Corporation to any stockholder during the period between such two consecutive annual meetings, or all, and at least two, payments (if sent by first class mail) of dividends or interest on securities of the Corporation during a 12 month period, have been mailed to such person at his address as shown on the records of the Corporation and have been returned undeliverable, the giving of such notice to such person shall not be required until another address for such person is delivered to the Corporation. When a meeting of the stockholders of the Corporation is adjourned to another time or place, if any, notice need not be given of the adjourned meeting if the time and place thereof are announced at the meeting at which the adjournment is taken. At such adjourned meeting the Corporation may transact any business that might have been transacted at the original meeting of the stockholders of the Corporation. If the adjournment is for more than 30 days, or if after the adjournment a new record date is fixed for such adjourned meeting, notice of such adjourned meeting shall be given to each stockholder of record of the Corporation entitled to vote at the meeting in accordance with the foregoing provisions of this Section 2.04.</w:t>
      </w:r>
    </w:p>
    <w:p>
      <w:pPr>
        <w:spacing w:after="0" w:line="191"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Fixing Date for Determination of Stockholders of Record</w:t>
      </w:r>
      <w:r>
        <w:rPr>
          <w:rFonts w:ascii="Times New Roman" w:cs="Times New Roman" w:eastAsia="Times New Roman" w:hAnsi="Times New Roman"/>
          <w:sz w:val="20"/>
          <w:szCs w:val="20"/>
          <w:color w:val="auto"/>
        </w:rPr>
        <w:t xml:space="preserve">. For the purpose of determining the stockholders of the Corporation entitled to notice of or to vote at any meeting of the stockholders of the Corporation or any adjournment thereof, or entitled to receive payment of any dividend or other distribution or allotment of any rights, or entitled to exercise any rights in respect of any change, conversion or exchange of capital stock of the Corporation or for any other lawful action, the Board may fix, in advance, a date as the record date for any such determination of stockholders, which date shall not precede the date upon which the record date is adopted by the Board, and which shall not be more than 60 nor less than 10 days before the date of such meeting, and not more than 60 days prior to any other action. If no record date is fixed then the record date shall be, for determining the stockholders of the Corporation entitled to notice of or to vote at a meeting of such stockholders, the close of business on the day next preceding the day on which notice is given, or, if notice is waived, the close of business on the day next preceding the day on which such meeting is held, or, for determining stockholders of the Corporation for any other purpose, the close of business on the day on which the Board adopts the resolution relating thereto. A determination of the stockholders of record of the Corporation entitled to notice of or to vote at a meeting of such stockholders shall apply to any adjournment of such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Board may fix a new record date for the adjourned meeting.</w:t>
      </w:r>
    </w:p>
    <w:p>
      <w:pPr>
        <w:spacing w:after="0" w:line="18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9"/>
          <w:szCs w:val="19"/>
          <w:color w:val="auto"/>
        </w:rPr>
        <w:t xml:space="preserve">Section 2.06 </w:t>
      </w:r>
      <w:r>
        <w:rPr>
          <w:rFonts w:ascii="Times New Roman" w:cs="Times New Roman" w:eastAsia="Times New Roman" w:hAnsi="Times New Roman"/>
          <w:sz w:val="19"/>
          <w:szCs w:val="19"/>
          <w:u w:val="single" w:color="auto"/>
          <w:color w:val="auto"/>
        </w:rPr>
        <w:t>Voting List</w:t>
      </w:r>
      <w:r>
        <w:rPr>
          <w:rFonts w:ascii="Times New Roman" w:cs="Times New Roman" w:eastAsia="Times New Roman" w:hAnsi="Times New Roman"/>
          <w:sz w:val="19"/>
          <w:szCs w:val="19"/>
          <w:color w:val="auto"/>
        </w:rPr>
        <w:t>. The officer of the Corporation who has charge of the stock ledger of the Corporation shall prepare, or cause to be prepared, at least 10 days before every meeting of the stockholders of the Corporation, a complete list of such stockholders entitled to vote at the meeting, arranged in alphabetical order, and showing the address of each such stockholder and the number of shares of capital stock of the Corporation registered in the name of each such stockholder. Nothing contained in this Section 2.06 shall require the Corporation to include electronic mail addresses or other electronic contact information on such list. Such list shall be open to the examination of any stockholder of the Corporation, for any purpose germane to such meeting, for a period of at least 10 days prior to such meeting, either (a) on a reasonably accessible electronic network, provided that the information required to gain access to such list is provided with the notice of such meeting, or</w:t>
      </w:r>
    </w:p>
    <w:p>
      <w:pPr>
        <w:spacing w:after="0" w:line="4" w:lineRule="exact"/>
        <w:rPr>
          <w:sz w:val="20"/>
          <w:szCs w:val="20"/>
          <w:color w:val="auto"/>
        </w:rPr>
      </w:pPr>
    </w:p>
    <w:p>
      <w:pPr>
        <w:ind w:firstLine="8"/>
        <w:spacing w:after="0"/>
        <w:tabs>
          <w:tab w:leader="none" w:pos="2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If such meeting is to be held at a place, the list shall also be produced and kept at the time and place of such meeting during the whole time thereof, and may be inspected by any stockholder of the Corporation who is present. If such meeting is to be held solely by means of remote communication, then the list shall also be open to the examination of any stockholder of the Corporation during the whole time of such meeting on a reasonably accessible electronic network, and the information required to access such list shall be provided with the notice of such meeting. Except as otherwise provided by law, the list of stockholders shall be the only evidence as to which stockholders are entitled to examine to determine the stockholders entitled to vote in person or by proxy at any meeting of the stockholders.</w:t>
      </w:r>
    </w:p>
    <w:p>
      <w:pPr>
        <w:spacing w:after="0" w:line="1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Proxies</w:t>
      </w:r>
      <w:r>
        <w:rPr>
          <w:rFonts w:ascii="Times New Roman" w:cs="Times New Roman" w:eastAsia="Times New Roman" w:hAnsi="Times New Roman"/>
          <w:sz w:val="20"/>
          <w:szCs w:val="20"/>
          <w:color w:val="auto"/>
        </w:rPr>
        <w:t>. Each stockholder of the Corporation entitled to vote at a meeting of stockholders of the Corporation may authorize another person or persons to act for him, her or it by proxy, but no such proxy shall be voted or acted upon after three years from its date, unless the proxy provides for a longer period. Except as</w:t>
      </w:r>
    </w:p>
    <w:p>
      <w:pPr>
        <w:sectPr>
          <w:pgSz w:w="11900" w:h="16838" w:orient="portrait"/>
          <w:cols w:equalWidth="0" w:num="1">
            <w:col w:w="11420"/>
          </w:cols>
          <w:pgMar w:left="240" w:top="576" w:right="239" w:bottom="1440" w:gutter="0" w:footer="0" w:header="0"/>
        </w:sectPr>
      </w:pPr>
    </w:p>
    <w:bookmarkStart w:id="59" w:name="page60"/>
    <w:bookmarkEnd w:id="59"/>
    <w:p>
      <w:pPr>
        <w:ind w:right="100"/>
        <w:spacing w:after="0" w:line="274" w:lineRule="auto"/>
        <w:rPr>
          <w:sz w:val="20"/>
          <w:szCs w:val="20"/>
          <w:color w:val="auto"/>
        </w:rPr>
      </w:pPr>
      <w:r>
        <w:rPr>
          <w:rFonts w:ascii="Times New Roman" w:cs="Times New Roman" w:eastAsia="Times New Roman" w:hAnsi="Times New Roman"/>
          <w:sz w:val="19"/>
          <w:szCs w:val="19"/>
          <w:color w:val="auto"/>
        </w:rPr>
        <w:t>otherwise provided by law,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57"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Quorum and Manner of Acting</w:t>
      </w:r>
      <w:r>
        <w:rPr>
          <w:rFonts w:ascii="Times New Roman" w:cs="Times New Roman" w:eastAsia="Times New Roman" w:hAnsi="Times New Roman"/>
          <w:sz w:val="20"/>
          <w:szCs w:val="20"/>
          <w:color w:val="auto"/>
        </w:rPr>
        <w:t>. Except as otherwise provided by law, the Certificate of Incorporation or these Bylaws, at a meeting of stockholders of the Corporation, a majority of the combined voting power of the outstanding shares of capital stock of the Corporation entitled to vote at such meeting, represented in person or by proxy, shall constitute a quorum. If a quorum is present, at all meetings of stockholders for the election of directors, the directors of the Corporation will be elected by the plurality of the votes cast by the holders of shares of Common Stock (as defined in the Certificate of Incorporation). Unless otherwise provided by the Certificate of Incorporation, these Bylaws, the rules or regulations of any stock exchange applicable to the Corporation or applicable law or pursuant to any regulation applicable to the Corporation or its securities, if a quorum is present, the affirmative vote of a majority of the votes held by such shares represented at such meeting at which a quorum is present and entitled to vote on the subject matter shall be the act of such stockholders. In the absence of a quorum, a majority of the shares of capital stock of the Corporation so represented may adjourn such meeting from time to time in accordance with Section 2.04, until a quorum shall be present or represented.</w:t>
      </w:r>
    </w:p>
    <w:p>
      <w:pPr>
        <w:spacing w:after="0" w:line="193" w:lineRule="exact"/>
        <w:rPr>
          <w:sz w:val="20"/>
          <w:szCs w:val="20"/>
          <w:color w:val="auto"/>
        </w:rPr>
      </w:pPr>
    </w:p>
    <w:p>
      <w:pPr>
        <w:ind w:firstLine="324"/>
        <w:spacing w:after="0" w:line="228" w:lineRule="auto"/>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Nominations for the Election of Directors</w:t>
      </w:r>
      <w:r>
        <w:rPr>
          <w:rFonts w:ascii="Times New Roman" w:cs="Times New Roman" w:eastAsia="Times New Roman" w:hAnsi="Times New Roman"/>
          <w:sz w:val="20"/>
          <w:szCs w:val="20"/>
          <w:color w:val="auto"/>
        </w:rPr>
        <w:t>. Except as otherwise provided in the Certificate of Incorporation, nominations for election to the Board must be made by the Board or by a committee appointed by the Board for such purpose or by any stockholder of any outstanding shares of capital stock of the Corporation entitled to vote for the election of directors of the Corporation. Except as otherwise provided in the Certificate of Incorporation, nominations by the stockholders of the Corporation must be preceded by timely notice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nor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the first anniversary of the preceding year’s annual meeting of the stockholders of the Corporation;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p>
    <w:p>
      <w:pPr>
        <w:spacing w:after="0" w:line="19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as a director:</w:t>
      </w:r>
    </w:p>
    <w:p>
      <w:pPr>
        <w:spacing w:after="0" w:line="215" w:lineRule="exact"/>
        <w:rPr>
          <w:rFonts w:ascii="Times New Roman" w:cs="Times New Roman" w:eastAsia="Times New Roman" w:hAnsi="Times New Roman"/>
          <w:sz w:val="20"/>
          <w:szCs w:val="20"/>
          <w:color w:val="auto"/>
        </w:rPr>
      </w:pPr>
    </w:p>
    <w:p>
      <w:pPr>
        <w:ind w:left="980" w:right="420" w:hanging="324"/>
        <w:spacing w:after="0" w:line="254" w:lineRule="auto"/>
        <w:tabs>
          <w:tab w:leader="none" w:pos="9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written consent to being named in the proxy statement as a nominee and to serving as a director if elected; and</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 nomination is made:</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Corporation’s books, and of such beneficial owner,</w:t>
      </w:r>
    </w:p>
    <w:p>
      <w:pPr>
        <w:spacing w:after="0" w:line="215" w:lineRule="exact"/>
        <w:rPr>
          <w:rFonts w:ascii="Times New Roman" w:cs="Times New Roman" w:eastAsia="Times New Roman" w:hAnsi="Times New Roman"/>
          <w:sz w:val="20"/>
          <w:szCs w:val="20"/>
          <w:color w:val="auto"/>
        </w:rPr>
      </w:pPr>
    </w:p>
    <w:p>
      <w:pPr>
        <w:ind w:left="980" w:right="100" w:hanging="324"/>
        <w:spacing w:after="0" w:line="269" w:lineRule="auto"/>
        <w:tabs>
          <w:tab w:leader="none" w:pos="9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of capital stock of the Corporation which are owned beneficially and of record by such stockholder and such beneficial owner,</w:t>
      </w:r>
    </w:p>
    <w:p>
      <w:pPr>
        <w:sectPr>
          <w:pgSz w:w="11900" w:h="16838" w:orient="portrait"/>
          <w:cols w:equalWidth="0" w:num="1">
            <w:col w:w="11400"/>
          </w:cols>
          <w:pgMar w:left="240" w:top="576" w:right="259" w:bottom="1440" w:gutter="0" w:footer="0" w:header="0"/>
        </w:sectPr>
      </w:pPr>
    </w:p>
    <w:bookmarkStart w:id="60" w:name="page61"/>
    <w:bookmarkEnd w:id="60"/>
    <w:p>
      <w:pPr>
        <w:ind w:left="980" w:right="40" w:hanging="324"/>
        <w:spacing w:after="0" w:line="269" w:lineRule="auto"/>
        <w:tabs>
          <w:tab w:leader="none" w:pos="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stockholder is a holder of record of stock of the Corporation entitled to vote at such meeting and intends to appear in person or by proxy at the meeting to propose nomination, and</w:t>
      </w:r>
    </w:p>
    <w:p>
      <w:pPr>
        <w:spacing w:after="0" w:line="159" w:lineRule="exact"/>
        <w:rPr>
          <w:rFonts w:ascii="Times New Roman" w:cs="Times New Roman" w:eastAsia="Times New Roman" w:hAnsi="Times New Roman"/>
          <w:sz w:val="20"/>
          <w:szCs w:val="20"/>
          <w:color w:val="auto"/>
        </w:rPr>
      </w:pPr>
    </w:p>
    <w:p>
      <w:pPr>
        <w:ind w:left="980" w:right="40" w:hanging="324"/>
        <w:spacing w:after="0" w:line="254" w:lineRule="auto"/>
        <w:tabs>
          <w:tab w:leader="none" w:pos="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regarding whether the stockholder or the beneficial owner, if any,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w:t>
      </w:r>
    </w:p>
    <w:p>
      <w:pPr>
        <w:spacing w:after="0" w:line="175" w:lineRule="exact"/>
        <w:rPr>
          <w:sz w:val="20"/>
          <w:szCs w:val="20"/>
          <w:color w:val="auto"/>
        </w:rPr>
      </w:pPr>
    </w:p>
    <w:p>
      <w:pPr>
        <w:ind w:right="60" w:firstLine="324"/>
        <w:spacing w:after="0" w:line="247" w:lineRule="auto"/>
        <w:rPr>
          <w:sz w:val="20"/>
          <w:szCs w:val="20"/>
          <w:color w:val="auto"/>
        </w:rPr>
      </w:pPr>
      <w:r>
        <w:rPr>
          <w:rFonts w:ascii="Times New Roman" w:cs="Times New Roman" w:eastAsia="Times New Roman" w:hAnsi="Times New Roman"/>
          <w:sz w:val="20"/>
          <w:szCs w:val="20"/>
          <w:color w:val="auto"/>
        </w:rPr>
        <w:t>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director nominee to furnish such other information as it may reasonably require to determine the eligibility of such proposed nominee to serve as a director of the Corporation.</w:t>
      </w:r>
    </w:p>
    <w:p>
      <w:pPr>
        <w:spacing w:after="0" w:line="181"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20"/>
          <w:szCs w:val="20"/>
          <w:color w:val="auto"/>
        </w:rPr>
        <w:t>The presiding officer of the annual meeting of the stockholders of the Corporation shall have the authority to determine and declare to such meeting that a nomination not preceded by notification made in accordance with the foregoing procedure shall be disregarded.</w:t>
      </w:r>
    </w:p>
    <w:p>
      <w:pPr>
        <w:spacing w:after="0" w:line="160" w:lineRule="exact"/>
        <w:rPr>
          <w:sz w:val="20"/>
          <w:szCs w:val="20"/>
          <w:color w:val="auto"/>
        </w:rPr>
      </w:pPr>
    </w:p>
    <w:p>
      <w:pPr>
        <w:ind w:firstLine="324"/>
        <w:spacing w:after="0" w:line="226"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Other Stockholder Proposals</w:t>
      </w:r>
      <w:r>
        <w:rPr>
          <w:rFonts w:ascii="Times New Roman" w:cs="Times New Roman" w:eastAsia="Times New Roman" w:hAnsi="Times New Roman"/>
          <w:sz w:val="20"/>
          <w:szCs w:val="20"/>
          <w:color w:val="auto"/>
        </w:rPr>
        <w:t>. For business other than the nomination for election of directors to the Board to be properly brought before any meeting by a stockholder of the Corporation, such stockholder must have given timely notice thereof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nor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the first anniversary of the preceding year’s annual meeting of the stockholders of the Corporation;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p>
    <w:p>
      <w:pPr>
        <w:spacing w:after="0" w:line="19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business that the stockholder proposes to bring before the meeting:</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business desired to be brought before the meeting,</w:t>
      </w:r>
    </w:p>
    <w:p>
      <w:pPr>
        <w:spacing w:after="0" w:line="215" w:lineRule="exact"/>
        <w:rPr>
          <w:rFonts w:ascii="Times New Roman" w:cs="Times New Roman" w:eastAsia="Times New Roman" w:hAnsi="Times New Roman"/>
          <w:sz w:val="20"/>
          <w:szCs w:val="20"/>
          <w:color w:val="auto"/>
        </w:rPr>
      </w:pPr>
    </w:p>
    <w:p>
      <w:pPr>
        <w:ind w:left="980" w:right="480" w:hanging="324"/>
        <w:spacing w:after="0" w:line="269" w:lineRule="auto"/>
        <w:tabs>
          <w:tab w:leader="none" w:pos="9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proposal or business (including the text of any resolutions proposed for consideration and in the event that such business includes a proposal to amend these Bylaws, the language of the proposed amendment), and</w:t>
      </w:r>
    </w:p>
    <w:p>
      <w:pPr>
        <w:spacing w:after="0" w:line="15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reasons for conducting such business at the meeting; and</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 proposal is made:</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Corporation’s books, and of such beneficial owner,</w:t>
      </w:r>
    </w:p>
    <w:p>
      <w:pPr>
        <w:spacing w:after="0" w:line="215" w:lineRule="exact"/>
        <w:rPr>
          <w:rFonts w:ascii="Times New Roman" w:cs="Times New Roman" w:eastAsia="Times New Roman" w:hAnsi="Times New Roman"/>
          <w:sz w:val="20"/>
          <w:szCs w:val="20"/>
          <w:color w:val="auto"/>
        </w:rPr>
      </w:pPr>
    </w:p>
    <w:p>
      <w:pPr>
        <w:ind w:left="980" w:right="120" w:hanging="324"/>
        <w:spacing w:after="0" w:line="269" w:lineRule="auto"/>
        <w:tabs>
          <w:tab w:leader="none" w:pos="9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of capital stock of the Corporation which are owned beneficially and of record by such stockholder and such beneficial owner,</w:t>
      </w:r>
    </w:p>
    <w:p>
      <w:pPr>
        <w:sectPr>
          <w:pgSz w:w="11900" w:h="16838" w:orient="portrait"/>
          <w:cols w:equalWidth="0" w:num="1">
            <w:col w:w="11420"/>
          </w:cols>
          <w:pgMar w:left="240" w:top="576" w:right="239" w:bottom="1440" w:gutter="0" w:footer="0" w:header="0"/>
        </w:sectPr>
      </w:pPr>
    </w:p>
    <w:bookmarkStart w:id="61" w:name="page62"/>
    <w:bookmarkEnd w:id="61"/>
    <w:p>
      <w:pPr>
        <w:ind w:left="980" w:right="40" w:hanging="324"/>
        <w:spacing w:after="0" w:line="269" w:lineRule="auto"/>
        <w:tabs>
          <w:tab w:leader="none" w:pos="9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interest in such business of such stockholder and the beneficial owner, if any, on whose behalf the proposal is made as to each matter such stockholder proposes to bring before such meeting,</w:t>
      </w:r>
    </w:p>
    <w:p>
      <w:pPr>
        <w:spacing w:after="0" w:line="159"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stockholder is a holder of record of stock of the Corporation entitled to vote at such meeting and intends to appear in person or by proxy at the meeting to propose such business, and</w:t>
      </w:r>
    </w:p>
    <w:p>
      <w:pPr>
        <w:spacing w:after="0" w:line="159" w:lineRule="exact"/>
        <w:rPr>
          <w:rFonts w:ascii="Times New Roman" w:cs="Times New Roman" w:eastAsia="Times New Roman" w:hAnsi="Times New Roman"/>
          <w:sz w:val="20"/>
          <w:szCs w:val="20"/>
          <w:color w:val="auto"/>
        </w:rPr>
      </w:pPr>
    </w:p>
    <w:p>
      <w:pPr>
        <w:ind w:left="980" w:right="20" w:hanging="324"/>
        <w:spacing w:after="0" w:line="274" w:lineRule="auto"/>
        <w:tabs>
          <w:tab w:leader="none" w:pos="98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representation regarding whether the stockholder or the beneficial owner, if any, intends or is part of a group which intends (A) to deliver a proxy statement and/or form of proxy to holders of at least the percentage of the Corporation’s outstanding capital stock required to approve or adopt the proposal and/or (B) otherwise to solicit proxies from stockholders in support of such proposal.</w:t>
      </w:r>
    </w:p>
    <w:p>
      <w:pPr>
        <w:spacing w:after="0" w:line="157" w:lineRule="exact"/>
        <w:rPr>
          <w:sz w:val="20"/>
          <w:szCs w:val="20"/>
          <w:color w:val="auto"/>
        </w:rPr>
      </w:pPr>
    </w:p>
    <w:p>
      <w:pPr>
        <w:ind w:right="40"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Stockholder Action by Written Consent Without a Meeting</w:t>
      </w:r>
      <w:r>
        <w:rPr>
          <w:rFonts w:ascii="Times New Roman" w:cs="Times New Roman" w:eastAsia="Times New Roman" w:hAnsi="Times New Roman"/>
          <w:sz w:val="20"/>
          <w:szCs w:val="20"/>
          <w:color w:val="auto"/>
        </w:rPr>
        <w:t>. Except as provided in any preferred stock designation adopted in accordance with the Certificate of Incorporation and the DGCL (a “</w:t>
      </w:r>
      <w:r>
        <w:rPr>
          <w:rFonts w:ascii="Times New Roman" w:cs="Times New Roman" w:eastAsia="Times New Roman" w:hAnsi="Times New Roman"/>
          <w:sz w:val="20"/>
          <w:szCs w:val="20"/>
          <w:u w:val="single" w:color="auto"/>
          <w:color w:val="auto"/>
        </w:rPr>
        <w:t>Preferred Stock Designation</w:t>
      </w:r>
      <w:r>
        <w:rPr>
          <w:rFonts w:ascii="Times New Roman" w:cs="Times New Roman" w:eastAsia="Times New Roman" w:hAnsi="Times New Roman"/>
          <w:sz w:val="20"/>
          <w:szCs w:val="20"/>
          <w:color w:val="auto"/>
        </w:rPr>
        <w:t>”), after the Corporation first has a class of securities registered under Section 12(g) of the Exchange Act or its equivalent, any action required or permitted to be taken by the stockholders of the Corporation must be taken at a duly called annual or special meeting of the stockholders and may not be taken by consent in writing or otherwise.</w:t>
      </w:r>
    </w:p>
    <w:p>
      <w:pPr>
        <w:spacing w:after="0" w:line="1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Conduct of Business</w:t>
      </w:r>
      <w:r>
        <w:rPr>
          <w:rFonts w:ascii="Times New Roman" w:cs="Times New Roman" w:eastAsia="Times New Roman" w:hAnsi="Times New Roman"/>
          <w:sz w:val="19"/>
          <w:szCs w:val="19"/>
          <w:color w:val="auto"/>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The date and time of the opening and the closing of the polls for each matter upon which the stockholders will vote at a meeting shall be announced at the meeting by the presiding officer of the meeting. The Board may adopt by resolution such rules and regulations for the conduct of the meeting of stockholders as it shall deem appropriate. Except to the extent inconsistent with these Bylaws or such rules and regulations as adopted by the Board, the presiding officer of the meeting of stockholders shall have the right and authority to convene the meeting, to prescribe such rules, regulations and procedures and to do all such acts as, in the judgment of such presiding officer,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w:t>
      </w:r>
    </w:p>
    <w:p>
      <w:pPr>
        <w:spacing w:after="0" w:line="12" w:lineRule="exact"/>
        <w:rPr>
          <w:sz w:val="20"/>
          <w:szCs w:val="20"/>
          <w:color w:val="auto"/>
        </w:rPr>
      </w:pPr>
    </w:p>
    <w:p>
      <w:pPr>
        <w:ind w:firstLine="8"/>
        <w:spacing w:after="0" w:line="252" w:lineRule="auto"/>
        <w:tabs>
          <w:tab w:leader="none" w:pos="29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officer of the meeting shall determine; (iv) restrictions on entry to the meeting after the time fixed for the commencement thereof; and</w:t>
      </w:r>
    </w:p>
    <w:p>
      <w:pPr>
        <w:ind w:firstLine="8"/>
        <w:spacing w:after="0"/>
        <w:tabs>
          <w:tab w:leader="none" w:pos="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the time allotted to questions or comments by participants. The presiding officer of the meeting,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presiding officer shall so declare to the meeting, and any such matter or business not properly brought before the meeting shall not be transacted or considered. Unless and to the extent determined by the Board or the presiding officer of the meeting, meetings of stockholders shall not be required to be held in accordance with the rules of parliamentary procedure.</w:t>
      </w:r>
    </w:p>
    <w:p>
      <w:pPr>
        <w:spacing w:after="0" w:line="192"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Inspector of Elections</w:t>
      </w:r>
      <w:r>
        <w:rPr>
          <w:rFonts w:ascii="Times New Roman" w:cs="Times New Roman" w:eastAsia="Times New Roman" w:hAnsi="Times New Roman"/>
          <w:sz w:val="20"/>
          <w:szCs w:val="20"/>
          <w:color w:val="auto"/>
        </w:rPr>
        <w:t>. The Corporation shall, in advance of any meeting of stockholders, appoint one or more inspectors of election, who may be employees of the Corporation or otherwise serve the Corporation in other capacities,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w:t>
      </w:r>
    </w:p>
    <w:p>
      <w:pPr>
        <w:sectPr>
          <w:pgSz w:w="11900" w:h="16838" w:orient="portrait"/>
          <w:cols w:equalWidth="0" w:num="1">
            <w:col w:w="11400"/>
          </w:cols>
          <w:pgMar w:left="240" w:top="576" w:right="259" w:bottom="1440" w:gutter="0" w:footer="0" w:header="0"/>
        </w:sectPr>
      </w:pPr>
    </w:p>
    <w:bookmarkStart w:id="62" w:name="page63"/>
    <w:bookmarkEnd w:id="62"/>
    <w:p>
      <w:pPr>
        <w:spacing w:after="0" w:line="242" w:lineRule="auto"/>
        <w:rPr>
          <w:sz w:val="20"/>
          <w:szCs w:val="20"/>
          <w:color w:val="auto"/>
        </w:rPr>
      </w:pPr>
      <w:r>
        <w:rPr>
          <w:rFonts w:ascii="Times New Roman" w:cs="Times New Roman" w:eastAsia="Times New Roman" w:hAnsi="Times New Roman"/>
          <w:sz w:val="20"/>
          <w:szCs w:val="20"/>
          <w:color w:val="auto"/>
        </w:rPr>
        <w:t>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in person or by proxy and the validity of proxies and ballots, (iii) count all votes and ballots and report the results,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III</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194" w:lineRule="exact"/>
        <w:rPr>
          <w:sz w:val="20"/>
          <w:szCs w:val="20"/>
          <w:color w:val="auto"/>
        </w:rPr>
      </w:pPr>
    </w:p>
    <w:p>
      <w:pPr>
        <w:ind w:right="160" w:firstLine="324"/>
        <w:spacing w:after="0" w:line="269"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General Powers</w:t>
      </w:r>
      <w:r>
        <w:rPr>
          <w:rFonts w:ascii="Times New Roman" w:cs="Times New Roman" w:eastAsia="Times New Roman" w:hAnsi="Times New Roman"/>
          <w:sz w:val="20"/>
          <w:szCs w:val="20"/>
          <w:color w:val="auto"/>
        </w:rPr>
        <w:t>. The business and affairs of the Corporation shall be managed by or under the direction of the Board, except as otherwise provided in the DGCL or the Certificate of Incorporation.</w:t>
      </w:r>
    </w:p>
    <w:p>
      <w:pPr>
        <w:spacing w:after="0" w:line="160"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Number, Tenure and Qualifications</w:t>
      </w:r>
      <w:r>
        <w:rPr>
          <w:rFonts w:ascii="Times New Roman" w:cs="Times New Roman" w:eastAsia="Times New Roman" w:hAnsi="Times New Roman"/>
          <w:sz w:val="20"/>
          <w:szCs w:val="20"/>
          <w:color w:val="auto"/>
        </w:rPr>
        <w:t>. The number of directors of the Corporation, other than those who may be elected by the holders of one or more series of preferred stock of the Corporation (“</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voting separately by class or series, shall be nine (9). However, in the event that either an Investor Nominee (as such term is defined in the letter agreement, dated June 1, 2018, by and between the Corporation and Standard General L.P. (the “</w:t>
      </w:r>
      <w:r>
        <w:rPr>
          <w:rFonts w:ascii="Times New Roman" w:cs="Times New Roman" w:eastAsia="Times New Roman" w:hAnsi="Times New Roman"/>
          <w:sz w:val="20"/>
          <w:szCs w:val="20"/>
          <w:u w:val="single" w:color="auto"/>
          <w:color w:val="auto"/>
        </w:rPr>
        <w:t>Settlement Agreement</w:t>
      </w:r>
      <w:r>
        <w:rPr>
          <w:rFonts w:ascii="Times New Roman" w:cs="Times New Roman" w:eastAsia="Times New Roman" w:hAnsi="Times New Roman"/>
          <w:sz w:val="20"/>
          <w:szCs w:val="20"/>
          <w:color w:val="auto"/>
        </w:rPr>
        <w:t>”)) is not nominated, appointed or elected to the Board under circumstances in which the Corporation is required to nominate or appoint such individual in accordance with the terms of the Settlement Agreement, then the number of directors of the Corporation may be increased only by that number necessary to permit the Investor Nominee(s) to be appointed as directors, and may not be increased to more than nine (9) directors for any other purpose, but in no event shall the number of directors be increased to more than eleven (11). Each director of the Corporation shall hold office until his or her successor shall be qualified and elected, subject, however, to such director’s earlier death, resignation, retirement or removal. Any newly created directorship or vacancy shall be filled as set forth in the Certificate of Incorporation. Directors of the Corporation need not be residents of Delaware or stockholders of the Corporation.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186"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director of the Corporation may resign at any time by giving notice to the Corporation in writing or by electronic transmission. A director’s resignation shall take effect upon receipt or, if a different time of effectiveness is specified therein, at the time specified therein. Unless otherwise specified therein, the acceptance of such resignation shall not be necessary to make it effective.</w:t>
      </w:r>
    </w:p>
    <w:p>
      <w:pPr>
        <w:spacing w:after="0" w:line="175" w:lineRule="exact"/>
        <w:rPr>
          <w:sz w:val="20"/>
          <w:szCs w:val="20"/>
          <w:color w:val="auto"/>
        </w:rPr>
      </w:pPr>
    </w:p>
    <w:p>
      <w:pPr>
        <w:ind w:right="140" w:firstLine="324"/>
        <w:spacing w:after="0" w:line="269"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Regular Meetings</w:t>
      </w:r>
      <w:r>
        <w:rPr>
          <w:rFonts w:ascii="Times New Roman" w:cs="Times New Roman" w:eastAsia="Times New Roman" w:hAnsi="Times New Roman"/>
          <w:sz w:val="20"/>
          <w:szCs w:val="20"/>
          <w:color w:val="auto"/>
        </w:rPr>
        <w:t>. Regular meetings of the Board may be held at such time and at such place, if any (either within or outside Delaware), as shall from time to time be determined by the Board.</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the Board for any purpose or purposes may be called at any time by the chairman of the Board, by the chief executive officer or by a majority of the directors of the Corporation. Any such special meeting may take place at any place either within or outside Delaware.</w:t>
      </w:r>
    </w:p>
    <w:p>
      <w:pPr>
        <w:spacing w:after="0" w:line="175" w:lineRule="exact"/>
        <w:rPr>
          <w:sz w:val="20"/>
          <w:szCs w:val="20"/>
          <w:color w:val="auto"/>
        </w:rPr>
      </w:pPr>
    </w:p>
    <w:p>
      <w:pPr>
        <w:ind w:right="14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Meetings by Telephone</w:t>
      </w:r>
      <w:r>
        <w:rPr>
          <w:rFonts w:ascii="Times New Roman" w:cs="Times New Roman" w:eastAsia="Times New Roman" w:hAnsi="Times New Roman"/>
          <w:sz w:val="20"/>
          <w:szCs w:val="20"/>
          <w:color w:val="auto"/>
        </w:rPr>
        <w:t>. Unless otherwise restricted by the Certificate of Incorporation, the directors of the Corporation may participate in a meeting of the Board by means of conference telephone or other communications equipment by means of which all persons participating in such meeting can hear each other, and such participation in such meeting in such manner shall constitute presence in person at such meeting.</w:t>
      </w:r>
    </w:p>
    <w:p>
      <w:pPr>
        <w:sectPr>
          <w:pgSz w:w="11900" w:h="16838" w:orient="portrait"/>
          <w:cols w:equalWidth="0" w:num="1">
            <w:col w:w="11400"/>
          </w:cols>
          <w:pgMar w:left="240" w:top="576" w:right="259" w:bottom="1440" w:gutter="0" w:footer="0" w:header="0"/>
        </w:sectPr>
      </w:pPr>
    </w:p>
    <w:bookmarkStart w:id="63" w:name="page64"/>
    <w:bookmarkEnd w:id="63"/>
    <w:p>
      <w:pPr>
        <w:ind w:right="20" w:firstLine="324"/>
        <w:spacing w:after="0" w:line="242"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Notice of each meeting of the Board (except those regular meetings for which notice is not required) stating the place, if any, day and hour of such meeting shall be given to each director of the Corporation at least two days prior thereto by the mailing of written notice by first class, certified or registered mail, or at least one day prior thereto by personal delivery (including delivery by private courier) of written notice or by telephone, telegram, telex, cablegram, electronic transmission (including email) or other similar method, except that in the case of a meeting of the Board to be held pursuant to Section 3.06 notice may be given by telephone at any time prior thereto. The method of notice need not be the same to each director of the Corporation. Notice shall be deemed to be given when deposited in the United States mail, with postage thereon prepaid, addressed to such director at his business or residence address, when delivered or communicated to such director or when the telegram, telex, cablegram, electronic transmission (including email) or other form of notice is personally delivered to such director or delivered to the last address of such director furnished by him to the Corporation for such purpose. Notice may be waived pursuant to Section 7.02 hereof. Neither the business to be transacted at, nor the purpose of, any meeting of the Board need be specified in the notice or waiver of notice of such meeting.</w:t>
      </w:r>
    </w:p>
    <w:p>
      <w:pPr>
        <w:spacing w:after="0" w:line="191" w:lineRule="exact"/>
        <w:rPr>
          <w:sz w:val="20"/>
          <w:szCs w:val="20"/>
          <w:color w:val="auto"/>
        </w:rPr>
      </w:pPr>
    </w:p>
    <w:p>
      <w:pPr>
        <w:ind w:right="40" w:firstLine="324"/>
        <w:spacing w:after="0" w:line="243"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Quorum and Manner of Acting</w:t>
      </w:r>
      <w:r>
        <w:rPr>
          <w:rFonts w:ascii="Times New Roman" w:cs="Times New Roman" w:eastAsia="Times New Roman" w:hAnsi="Times New Roman"/>
          <w:sz w:val="20"/>
          <w:szCs w:val="20"/>
          <w:color w:val="auto"/>
        </w:rPr>
        <w:t>. Except as otherwise may be required by law, the Certificate of Incorporation or these Bylaws, a majority of the number of directors of the Corporation fixed in accordance with these Bylaws, present at the meeting, shall constitute a quorum for the transaction of business at any meeting of the Board, and the vote of a majority of the directors of the Corporation present at a meeting of the Board at which a quorum is present shall be the act of the Board. If less than a quorum is present at a meeting of the Board, the directors of the Corporation present may adjourn such meeting from time to time without further notice other than announcement at such meeting, until a quorum shall be present. Subject to the terms of the Certificate of Incorporation, a meeting at which a quorum is initially present may continue to transact business notwithstanding the withdrawal of directors, if any action taken is approved by at least a majority of the required quorum for that meeting.</w:t>
      </w:r>
    </w:p>
    <w:p>
      <w:pPr>
        <w:spacing w:after="0" w:line="190" w:lineRule="exact"/>
        <w:rPr>
          <w:sz w:val="20"/>
          <w:szCs w:val="20"/>
          <w:color w:val="auto"/>
        </w:rPr>
      </w:pPr>
    </w:p>
    <w:p>
      <w:pPr>
        <w:ind w:right="12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Action Without a Meeting</w:t>
      </w:r>
      <w:r>
        <w:rPr>
          <w:rFonts w:ascii="Times New Roman" w:cs="Times New Roman" w:eastAsia="Times New Roman" w:hAnsi="Times New Roman"/>
          <w:sz w:val="20"/>
          <w:szCs w:val="20"/>
          <w:color w:val="auto"/>
        </w:rPr>
        <w:t>. Any action required or permitted to be taken at any meeting of the Board or of any committee thereof may be taken without a meeting, without prior notice and without a vote, if all members of the Board or committee thereof entitled to vote thereon, as the case may be, consent thereto in writing or by electronic transmission and the writing or writings or electronic transmission or transmissions are filed with the minutes of the proceedings of the Board or committee thereof, as the case may be.</w:t>
      </w:r>
    </w:p>
    <w:p>
      <w:pPr>
        <w:spacing w:after="0" w:line="180"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Executive and Other Committees</w:t>
      </w:r>
      <w:r>
        <w:rPr>
          <w:rFonts w:ascii="Times New Roman" w:cs="Times New Roman" w:eastAsia="Times New Roman" w:hAnsi="Times New Roman"/>
          <w:sz w:val="20"/>
          <w:szCs w:val="20"/>
          <w:color w:val="auto"/>
        </w:rPr>
        <w:t>. The Board may designate by resolution one or more committees of the Board, each committee to consist of one or more of the directors of the Corporation. The Board may designate one or more directors as alternate members of any such committee, who may replace any absent or disqualified member at any meeting of such committee, and may dissolve any such committee. In the absence or disqualification of a member of a committee of the Board, the member or members present at any meeting of such committee of the Board and not disqualified from voting, whether or not such member or members constitute a quorum, may unanimously appoint another member of the Board to act at the meeting in the place of any such absent or disqualified member. Except as otherwise provided in the charter of such committee or as otherwise required by the corporation governance rules and listing standards of any national securities exchange or automated quotation system upon which the Corporation’s securities are then listed, any such committee shall present its findings and recommendations to the Board, as set forth in the applicable Board resolution. The Board shall delegate certain of its powers and authority to any such committee as set forth in the charters of such committee or by resolution of the Board in the Board’s discretion or as otherwise required by the corporation governance rules and listing standards of any national securities exchange or automated quotation system upon which the Corporation’s securities are then listed. To the extent the Board does not establish other procedures, and subject to the immediately preceding sentence, each such committee shall be governed by the procedures set forth in Sections 3.04 (except as they relate to an annual meeting), 3.05 through 3.09, 7.01 and 7.02 as if such committee were the Board. Each such committee shall keep regular minutes of its meetings, which shall be reported to the Board when required and submitted to the secretary of the Corporation for inclusion in the corporate records of the Corporation.</w:t>
      </w:r>
    </w:p>
    <w:p>
      <w:pPr>
        <w:sectPr>
          <w:pgSz w:w="11900" w:h="16838" w:orient="portrait"/>
          <w:cols w:equalWidth="0" w:num="1">
            <w:col w:w="11400"/>
          </w:cols>
          <w:pgMar w:left="240" w:top="576" w:right="259" w:bottom="1440" w:gutter="0" w:footer="0" w:header="0"/>
        </w:sectPr>
      </w:pPr>
    </w:p>
    <w:bookmarkStart w:id="64" w:name="page65"/>
    <w:bookmarkEnd w:id="64"/>
    <w:p>
      <w:pPr>
        <w:ind w:right="40"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Unless otherwise restricted by the Certificate of Incorporation, the Board shall have the authority to fix the compensation of directors of the Corporation. Such directors may be paid their expenses, if any, of attendance at each meeting of the Board and each meeting of any committee of the Board of which he or she is a member and may be paid a fixed sum for attendance at each such meeting or a stated salary or both a fixed sum and a stated salary. No such payment shall preclude any such director from serving the Corporation in any other capacity and receiving compensation therefor.</w:t>
      </w:r>
    </w:p>
    <w:p>
      <w:pPr>
        <w:spacing w:after="0" w:line="181" w:lineRule="exact"/>
        <w:rPr>
          <w:sz w:val="20"/>
          <w:szCs w:val="20"/>
          <w:color w:val="auto"/>
        </w:rPr>
      </w:pPr>
    </w:p>
    <w:p>
      <w:pPr>
        <w:ind w:right="180" w:firstLine="324"/>
        <w:spacing w:after="0" w:line="269"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Removal of Directors; Vacancies</w:t>
      </w:r>
      <w:r>
        <w:rPr>
          <w:rFonts w:ascii="Times New Roman" w:cs="Times New Roman" w:eastAsia="Times New Roman" w:hAnsi="Times New Roman"/>
          <w:sz w:val="20"/>
          <w:szCs w:val="20"/>
          <w:color w:val="auto"/>
        </w:rPr>
        <w:t>. The removal of directors of the Corporation and the filling of vacancies on the Board shall be as provided in the Certificate of Incorporation.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IV</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Officers</w:t>
      </w:r>
    </w:p>
    <w:p>
      <w:pPr>
        <w:spacing w:after="0" w:line="194"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Number and Qualifications</w:t>
      </w:r>
      <w:r>
        <w:rPr>
          <w:rFonts w:ascii="Times New Roman" w:cs="Times New Roman" w:eastAsia="Times New Roman" w:hAnsi="Times New Roman"/>
          <w:sz w:val="20"/>
          <w:szCs w:val="20"/>
          <w:color w:val="auto"/>
        </w:rPr>
        <w:t>. The officers of the Corporation shall consist of a chairman of the Board, a chief executive officer, a president, a chief operating officer, a chief financial officer, a secretary and such other officers, including a vice-chairman or vice-chairmen of the Board, one or more vice-presidents, a treasurer and a controller, as may from time to time be elected or appointed by the Board. In addition, the Board or the chief executive officer of the Corporation may elect or appoint such assistant and other subordinate officers, including assistant vice-presidents, assistant secretaries and assistant treasurers, as it or he shall deem necessary or appropriate. Any number of offices of the Corporation may be held by the same person, except that no person may simultaneously hold the offices of president and secretary of the Corporation.</w:t>
      </w:r>
    </w:p>
    <w:p>
      <w:pPr>
        <w:spacing w:after="0" w:line="187" w:lineRule="exact"/>
        <w:rPr>
          <w:sz w:val="20"/>
          <w:szCs w:val="20"/>
          <w:color w:val="auto"/>
        </w:rPr>
      </w:pPr>
    </w:p>
    <w:p>
      <w:pPr>
        <w:ind w:right="100"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Election and Term of Office</w:t>
      </w:r>
      <w:r>
        <w:rPr>
          <w:rFonts w:ascii="Times New Roman" w:cs="Times New Roman" w:eastAsia="Times New Roman" w:hAnsi="Times New Roman"/>
          <w:sz w:val="20"/>
          <w:szCs w:val="20"/>
          <w:color w:val="auto"/>
        </w:rPr>
        <w:t>. Except as provided in the Certificate of Incorporation and Sections 4.01 and 4.06 of these Bylaws, the officers of the Corporation shall be elected by the Board. If such election shall not be held as provided herein, such election shall be held as soon thereafter as may be convenient. Each officer of the Corporation shall hold office until his or her successor shall be elected and shall qualify or until the expiration of his or her term in office if elected or appointed for a specified period of time, subject, however, to prior death, resignation, retirement or removal.</w:t>
      </w:r>
    </w:p>
    <w:p>
      <w:pPr>
        <w:spacing w:after="0" w:line="181" w:lineRule="exact"/>
        <w:rPr>
          <w:sz w:val="20"/>
          <w:szCs w:val="20"/>
          <w:color w:val="auto"/>
        </w:rPr>
      </w:pPr>
    </w:p>
    <w:p>
      <w:pPr>
        <w:ind w:right="10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4.03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Officers of the Corporation shall receive such compensation for their services as may be authorized or ratified by the Board or a compensation committee of the Board, and no such officer shall be prevented from receiving compensation by reason of the fact that he or she is also a director of the Corporation. Election or appointment as an officer of the Corporation shall not of itself create a contract or other right to compensation for services performed by such officer.</w:t>
      </w:r>
    </w:p>
    <w:p>
      <w:pPr>
        <w:spacing w:after="0" w:line="180" w:lineRule="exact"/>
        <w:rPr>
          <w:sz w:val="20"/>
          <w:szCs w:val="20"/>
          <w:color w:val="auto"/>
        </w:rPr>
      </w:pPr>
    </w:p>
    <w:p>
      <w:pPr>
        <w:ind w:right="12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4.04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officer of the Corporation may resign at any time, subject to any rights or obligations under any existing contracts between such officer and the Corporation, by giving notice to the Corporation in writing or by electronic transmission. Such officer’s resignation shall take effect upon receipt or, if a different time of effectiveness is specified therein, at the time stated therein. Unless otherwise specified therein, the acceptance of such resignation shall not be necessary to make it effective.</w:t>
      </w:r>
    </w:p>
    <w:p>
      <w:pPr>
        <w:spacing w:after="0" w:line="180" w:lineRule="exact"/>
        <w:rPr>
          <w:sz w:val="20"/>
          <w:szCs w:val="20"/>
          <w:color w:val="auto"/>
        </w:rPr>
      </w:pPr>
    </w:p>
    <w:p>
      <w:pPr>
        <w:ind w:right="80"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4.05 </w:t>
      </w: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Unless otherwise provided in the Certificate of Incorporation, any officer of the Corporation may be removed with or without cause at any time by the Board, or, in the case of assistant and other subordinate officers of the Corporation, by the chief executive officer of the Corporation, whenever in its, his or her judgment, as the case may be, the best interests of the Corporation will be served thereby, but such removal shall be without prejudice to the contract rights, if any, of the person so removed. Election or appointment of an officer of the Corporation shall not in itself create contract rights.</w:t>
      </w:r>
    </w:p>
    <w:p>
      <w:pPr>
        <w:spacing w:after="0" w:line="181" w:lineRule="exact"/>
        <w:rPr>
          <w:sz w:val="20"/>
          <w:szCs w:val="20"/>
          <w:color w:val="auto"/>
        </w:rPr>
      </w:pPr>
    </w:p>
    <w:p>
      <w:pPr>
        <w:ind w:right="860" w:firstLine="324"/>
        <w:spacing w:after="0" w:line="269" w:lineRule="auto"/>
        <w:rPr>
          <w:sz w:val="20"/>
          <w:szCs w:val="20"/>
          <w:color w:val="auto"/>
        </w:rPr>
      </w:pPr>
      <w:r>
        <w:rPr>
          <w:rFonts w:ascii="Times New Roman" w:cs="Times New Roman" w:eastAsia="Times New Roman" w:hAnsi="Times New Roman"/>
          <w:sz w:val="20"/>
          <w:szCs w:val="20"/>
          <w:color w:val="auto"/>
        </w:rPr>
        <w:t xml:space="preserve">Section 4.06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Except as otherwise provided in the Certificate of Incorporation, a vacancy occurring in any office of the Corporation by death, resignation, retirement, removal or otherwise may be filled by the Board.</w:t>
      </w:r>
    </w:p>
    <w:p>
      <w:pPr>
        <w:spacing w:after="0" w:line="16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20"/>
          <w:szCs w:val="20"/>
          <w:color w:val="auto"/>
        </w:rPr>
        <w:t xml:space="preserve">Section 4.07 </w:t>
      </w:r>
      <w:r>
        <w:rPr>
          <w:rFonts w:ascii="Times New Roman" w:cs="Times New Roman" w:eastAsia="Times New Roman" w:hAnsi="Times New Roman"/>
          <w:sz w:val="20"/>
          <w:szCs w:val="20"/>
          <w:u w:val="single" w:color="auto"/>
          <w:color w:val="auto"/>
        </w:rPr>
        <w:t>Authority and Duties</w:t>
      </w:r>
      <w:r>
        <w:rPr>
          <w:rFonts w:ascii="Times New Roman" w:cs="Times New Roman" w:eastAsia="Times New Roman" w:hAnsi="Times New Roman"/>
          <w:sz w:val="20"/>
          <w:szCs w:val="20"/>
          <w:color w:val="auto"/>
        </w:rPr>
        <w:t>. The officers of the Corporation shall have the authority and shall exercise the powers and perform the duties specified below and as may be additionally specified by the chief executive officer of the Corporation, the Board or these Bylaws (and in all cases where the duties of any officer of the</w:t>
      </w:r>
    </w:p>
    <w:p>
      <w:pPr>
        <w:sectPr>
          <w:pgSz w:w="11900" w:h="16838" w:orient="portrait"/>
          <w:cols w:equalWidth="0" w:num="1">
            <w:col w:w="11420"/>
          </w:cols>
          <w:pgMar w:left="240" w:top="576" w:right="239" w:bottom="1440" w:gutter="0" w:footer="0" w:header="0"/>
        </w:sectPr>
      </w:pPr>
    </w:p>
    <w:bookmarkStart w:id="65" w:name="page66"/>
    <w:bookmarkEnd w:id="65"/>
    <w:p>
      <w:pPr>
        <w:ind w:right="40"/>
        <w:spacing w:after="0" w:line="296" w:lineRule="auto"/>
        <w:rPr>
          <w:sz w:val="20"/>
          <w:szCs w:val="20"/>
          <w:color w:val="auto"/>
        </w:rPr>
      </w:pPr>
      <w:r>
        <w:rPr>
          <w:rFonts w:ascii="Times New Roman" w:cs="Times New Roman" w:eastAsia="Times New Roman" w:hAnsi="Times New Roman"/>
          <w:sz w:val="19"/>
          <w:szCs w:val="19"/>
          <w:color w:val="auto"/>
        </w:rPr>
        <w:t>Corporation are not prescribed by these Bylaws or the Board, such officer shall follow the orders and instructions of the chief executive officer of the Corporation), except that in any event each such officer shall exercise such powers and perform such duties as may be required by law:</w:t>
      </w:r>
    </w:p>
    <w:p>
      <w:pPr>
        <w:spacing w:after="0" w:line="136" w:lineRule="exact"/>
        <w:rPr>
          <w:sz w:val="20"/>
          <w:szCs w:val="20"/>
          <w:color w:val="auto"/>
        </w:rPr>
      </w:pPr>
    </w:p>
    <w:p>
      <w:pPr>
        <w:ind w:right="20" w:firstLine="332"/>
        <w:spacing w:after="0" w:line="254" w:lineRule="auto"/>
        <w:tabs>
          <w:tab w:leader="none" w:pos="72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The chairman of the Board of the Corporation, who shall be elected from among the directors of the Corporation, shall preside, when present, at all meetings of the Corporation’s stockholders and the Board and perform such other duties as may be assigned to him or her from time to time by the Board.</w:t>
      </w:r>
    </w:p>
    <w:p>
      <w:pPr>
        <w:spacing w:after="0" w:line="174" w:lineRule="exact"/>
        <w:rPr>
          <w:rFonts w:ascii="Times New Roman" w:cs="Times New Roman" w:eastAsia="Times New Roman" w:hAnsi="Times New Roman"/>
          <w:sz w:val="20"/>
          <w:szCs w:val="20"/>
          <w:color w:val="auto"/>
        </w:rPr>
      </w:pPr>
    </w:p>
    <w:p>
      <w:pPr>
        <w:ind w:left="740" w:hanging="408"/>
        <w:spacing w:after="0"/>
        <w:tabs>
          <w:tab w:leader="none" w:pos="74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Chief Executive Officer</w:t>
      </w:r>
      <w:r>
        <w:rPr>
          <w:rFonts w:ascii="Times New Roman" w:cs="Times New Roman" w:eastAsia="Times New Roman" w:hAnsi="Times New Roman"/>
          <w:sz w:val="20"/>
          <w:szCs w:val="20"/>
          <w:color w:val="auto"/>
        </w:rPr>
        <w:t>. The chief executive officer of the Corporation shall, subject to the direction and supervision of the Board,</w:t>
      </w:r>
    </w:p>
    <w:p>
      <w:pPr>
        <w:spacing w:after="0" w:line="21" w:lineRule="exact"/>
        <w:rPr>
          <w:rFonts w:ascii="Times New Roman" w:cs="Times New Roman" w:eastAsia="Times New Roman" w:hAnsi="Times New Roman"/>
          <w:sz w:val="20"/>
          <w:szCs w:val="20"/>
          <w:color w:val="auto"/>
        </w:rPr>
      </w:pPr>
    </w:p>
    <w:p>
      <w:pPr>
        <w:ind w:firstLine="8"/>
        <w:spacing w:after="0" w:line="241" w:lineRule="auto"/>
        <w:tabs>
          <w:tab w:leader="none" w:pos="2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general and active control of the affairs of the Corporation and general supervision of its officers, agents and employees; (ii) in the absence of the chairman of the Board of the Corporation, preside, when present, at all meetings of the Corporation’s stockholders and the Board; (iii) see that all orders and resolutions of the Board are carried into effect; and (iv) perform all other duties incident to the office of chief executive officer and as from time to time may be assigned to him or her by the Board.</w:t>
      </w:r>
    </w:p>
    <w:p>
      <w:pPr>
        <w:spacing w:after="0" w:line="188" w:lineRule="exact"/>
        <w:rPr>
          <w:rFonts w:ascii="Times New Roman" w:cs="Times New Roman" w:eastAsia="Times New Roman" w:hAnsi="Times New Roman"/>
          <w:sz w:val="20"/>
          <w:szCs w:val="20"/>
          <w:color w:val="auto"/>
        </w:rPr>
      </w:pPr>
    </w:p>
    <w:p>
      <w:pPr>
        <w:ind w:right="40" w:firstLine="332"/>
        <w:spacing w:after="0" w:line="247" w:lineRule="auto"/>
        <w:tabs>
          <w:tab w:leader="none" w:pos="72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President</w:t>
      </w:r>
      <w:r>
        <w:rPr>
          <w:rFonts w:ascii="Times New Roman" w:cs="Times New Roman" w:eastAsia="Times New Roman" w:hAnsi="Times New Roman"/>
          <w:sz w:val="20"/>
          <w:szCs w:val="20"/>
          <w:color w:val="auto"/>
        </w:rPr>
        <w:t>. The president of the Corporation shall, subject to the direction and supervision of the Board, perform all duties incident to the office of president and as from time to time may be assigned to him by the Board. At the request of the chief executive officer of the Corporation or in his or her absence or in the event of his or her inability or refusal to act, the president of the Corporation shall perform the duties of the chief executive officer of the Corporation, and when so acting shall have all the powers and be subject to all the restrictions of the chief executive officer of the Corporation.</w:t>
      </w:r>
    </w:p>
    <w:p>
      <w:pPr>
        <w:spacing w:after="0" w:line="180" w:lineRule="exact"/>
        <w:rPr>
          <w:rFonts w:ascii="Times New Roman" w:cs="Times New Roman" w:eastAsia="Times New Roman" w:hAnsi="Times New Roman"/>
          <w:sz w:val="20"/>
          <w:szCs w:val="20"/>
          <w:color w:val="auto"/>
        </w:rPr>
      </w:pPr>
    </w:p>
    <w:p>
      <w:pPr>
        <w:ind w:right="20" w:firstLine="332"/>
        <w:spacing w:after="0" w:line="245" w:lineRule="auto"/>
        <w:tabs>
          <w:tab w:leader="none" w:pos="735"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Chief Operating Officer</w:t>
      </w:r>
      <w:r>
        <w:rPr>
          <w:rFonts w:ascii="Times New Roman" w:cs="Times New Roman" w:eastAsia="Times New Roman" w:hAnsi="Times New Roman"/>
          <w:sz w:val="20"/>
          <w:szCs w:val="20"/>
          <w:color w:val="auto"/>
        </w:rPr>
        <w:t>. The chief operating officer of the Corporation shall, subject to the direction and supervision of the Board, supervise the day to day operations of the Corporation and perform all other duties incident to the office of chief operating officer as from time to time may be assigned to him or her by the chairman of the Board of the Corporation, the Board or the chief executive officer of the Corporation. At the request of the president of the Corporation, or in his or her absence or inability or refusal to act, the chief operating officer of the Corporation shall perform the duties of the president of the Corporation, and when so acting shall have all the power of and be subject to all the restrictions upon the president of the Corporation.</w:t>
      </w:r>
    </w:p>
    <w:p>
      <w:pPr>
        <w:spacing w:after="0" w:line="185" w:lineRule="exact"/>
        <w:rPr>
          <w:rFonts w:ascii="Times New Roman" w:cs="Times New Roman" w:eastAsia="Times New Roman" w:hAnsi="Times New Roman"/>
          <w:sz w:val="20"/>
          <w:szCs w:val="20"/>
          <w:color w:val="auto"/>
        </w:rPr>
      </w:pPr>
    </w:p>
    <w:p>
      <w:pPr>
        <w:ind w:right="20" w:firstLine="332"/>
        <w:spacing w:after="0" w:line="242" w:lineRule="auto"/>
        <w:tabs>
          <w:tab w:leader="none" w:pos="72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Chief Financial Officer</w:t>
      </w:r>
      <w:r>
        <w:rPr>
          <w:rFonts w:ascii="Times New Roman" w:cs="Times New Roman" w:eastAsia="Times New Roman" w:hAnsi="Times New Roman"/>
          <w:sz w:val="20"/>
          <w:szCs w:val="20"/>
          <w:color w:val="auto"/>
        </w:rPr>
        <w:t>. The chief financial officer of the Corporation shall: (i) be the principal financial officer and treasurer of the Corporation and have the care and custody of all funds, securities, evidences of indebtedness and other personal property of the Corporation and deposit the same in accordance with the instructions of the Board; (ii) receive and give receipts and acquittances for moneys paid in on account of the Corporation, and pay out of the funds on hand all bills, payrolls and other just debts of the Corporation of whatever nature upon maturity; (iii) unless there is a controller of the Corporation, be the principal accounting officer of the Corporation and as such prescribe and maintain the methods and systems of accounting to be followed, keep complete books and records of account, prepare and file all local, state and federal tax returns, prescribe and maintain an adequate system of internal audit and prepare and furnish to the chief executive officer of the Corporation and the Board statements of account showing the financial position of the Corporation and the results of its operations; (iv) upon request of the Board, make such reports to it as may be required at any time; and (v) perform all other duties incident to the office of chief financial officer and treasurer and such other duties as from time to time may be assigned to him or her by the Board or by the chief executive officer of the Corporation. Assistant treasurers of the Corporation, if any, shall have the same powers and duties, subject to the supervision by the chief financial officer of the Corporation. If there is no chief financial officer of the Corporation, these duties shall be performed by the secretary or chief executive officer of the Corporation or other person appointed by the Board.</w:t>
      </w:r>
    </w:p>
    <w:p>
      <w:pPr>
        <w:spacing w:after="0" w:line="186" w:lineRule="exact"/>
        <w:rPr>
          <w:rFonts w:ascii="Times New Roman" w:cs="Times New Roman" w:eastAsia="Times New Roman" w:hAnsi="Times New Roman"/>
          <w:sz w:val="20"/>
          <w:szCs w:val="20"/>
          <w:color w:val="auto"/>
        </w:rPr>
      </w:pPr>
    </w:p>
    <w:p>
      <w:pPr>
        <w:jc w:val="both"/>
        <w:ind w:right="100" w:firstLine="332"/>
        <w:spacing w:after="0" w:line="249" w:lineRule="auto"/>
        <w:tabs>
          <w:tab w:leader="none" w:pos="702"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Vice-Presidents</w:t>
      </w:r>
      <w:r>
        <w:rPr>
          <w:rFonts w:ascii="Times New Roman" w:cs="Times New Roman" w:eastAsia="Times New Roman" w:hAnsi="Times New Roman"/>
          <w:sz w:val="20"/>
          <w:szCs w:val="20"/>
          <w:color w:val="auto"/>
        </w:rPr>
        <w:t>. The vice-president of the Corporation, if any (or if there is more than one then each such vice-president), shall assist the chief executive officer of the Corporation and shall perform such duties as may be assigned to him or her by the chief executive officer of the Corporation or the Board. Assistant vice-presidents of the Corporation, if any, shall have such powers and perform such duties as may be assigned to them by the chief executive officer of the Corporation or by the Board.</w:t>
      </w:r>
    </w:p>
    <w:p>
      <w:pPr>
        <w:sectPr>
          <w:pgSz w:w="11900" w:h="16838" w:orient="portrait"/>
          <w:cols w:equalWidth="0" w:num="1">
            <w:col w:w="11360"/>
          </w:cols>
          <w:pgMar w:left="240" w:top="576" w:right="299" w:bottom="1440" w:gutter="0" w:footer="0" w:header="0"/>
        </w:sectPr>
      </w:pPr>
    </w:p>
    <w:bookmarkStart w:id="66" w:name="page67"/>
    <w:bookmarkEnd w:id="66"/>
    <w:p>
      <w:pPr>
        <w:ind w:right="60" w:firstLine="332"/>
        <w:spacing w:after="0" w:line="243" w:lineRule="auto"/>
        <w:tabs>
          <w:tab w:leader="none" w:pos="73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w:t>
      </w:r>
      <w:r>
        <w:rPr>
          <w:rFonts w:ascii="Times New Roman" w:cs="Times New Roman" w:eastAsia="Times New Roman" w:hAnsi="Times New Roman"/>
          <w:sz w:val="20"/>
          <w:szCs w:val="20"/>
          <w:color w:val="auto"/>
        </w:rPr>
        <w:t>. The secretary of the Corporation shall: (i) keep the minutes of the proceedings of the stockholders of the Corporation, the Board and any committees of the Board; (ii) see that all notices are duly given in accordance with the provisions of these Bylaws or as required by law; (iii) be custodian of the corporate records and seal of the Corporation; (iv) keep at the Corporation’s registered office or principal place of business within or outside Delaware a record containing the names and addresses of all stockholders of the Corporation and the number and class of shares held by each, unless such a record shall be kept at the office of the Corporation’s transfer agent or registrar; (v) have general charge of the stock books of the Corporation, unless the Corporation has a transfer agent; and (vi) in general, perform all duties incident to the office of secretary and such other duties as from time to time may be assigned to him or her by the chief executive officer of the Corporation or the Board. Assistant secretaries of the Corporation, if any, shall have the same duties and powers, subject to supervision by the secretary of the Corporation.</w:t>
      </w:r>
    </w:p>
    <w:p>
      <w:pPr>
        <w:spacing w:after="0" w:line="187"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4.08 </w:t>
      </w:r>
      <w:r>
        <w:rPr>
          <w:rFonts w:ascii="Times New Roman" w:cs="Times New Roman" w:eastAsia="Times New Roman" w:hAnsi="Times New Roman"/>
          <w:sz w:val="20"/>
          <w:szCs w:val="20"/>
          <w:u w:val="single" w:color="auto"/>
          <w:color w:val="auto"/>
        </w:rPr>
        <w:t>Surety Bonds</w:t>
      </w:r>
      <w:r>
        <w:rPr>
          <w:rFonts w:ascii="Times New Roman" w:cs="Times New Roman" w:eastAsia="Times New Roman" w:hAnsi="Times New Roman"/>
          <w:sz w:val="20"/>
          <w:szCs w:val="20"/>
          <w:color w:val="auto"/>
        </w:rPr>
        <w:t>. The Board may require any officer or agent of the Corporation to execute to the Corporation a bond in such sums and with such sureties as shall be satisfactory to the Board, conditioned upon the faithful performance of his or her duties and for the restoration to the Corporation of all books, papers, vouchers, money and other property of whatever kind in his or her possession or under his or her control belonging to the Corporation.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Stock</w:t>
      </w:r>
    </w:p>
    <w:p>
      <w:pPr>
        <w:spacing w:after="0" w:line="194" w:lineRule="exact"/>
        <w:rPr>
          <w:sz w:val="20"/>
          <w:szCs w:val="20"/>
          <w:color w:val="auto"/>
        </w:rPr>
      </w:pPr>
    </w:p>
    <w:p>
      <w:pPr>
        <w:ind w:right="2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Except as otherwise may be provided by law or in the Certificate of Incorporation, the issuance or sale by the Corporation of any shares of its authorized capital stock of any class, including treasury shares, shall be made only upon authorization by the Board. Every issuance of shares of authorized capital stock of the Corporation shall be recorded on the books of the Corporation maintained for such purpose by or on behalf of the Corporation.</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9"/>
          <w:szCs w:val="19"/>
          <w:color w:val="auto"/>
        </w:rPr>
        <w:t xml:space="preserve">Section 5.02 </w:t>
      </w:r>
      <w:r>
        <w:rPr>
          <w:rFonts w:ascii="Times New Roman" w:cs="Times New Roman" w:eastAsia="Times New Roman" w:hAnsi="Times New Roman"/>
          <w:sz w:val="19"/>
          <w:szCs w:val="19"/>
          <w:u w:val="single" w:color="auto"/>
          <w:color w:val="auto"/>
        </w:rPr>
        <w:t>Transfer of Shares</w:t>
      </w:r>
      <w:r>
        <w:rPr>
          <w:rFonts w:ascii="Times New Roman" w:cs="Times New Roman" w:eastAsia="Times New Roman" w:hAnsi="Times New Roman"/>
          <w:sz w:val="19"/>
          <w:szCs w:val="19"/>
          <w:color w:val="auto"/>
        </w:rPr>
        <w:t>. Upon presentation and surrender to the Corporation or to a transfer agent of the Corporation of a certificate of stock of the Corporation duly endorsed or accompanied by proper evidence of succession, assignment or authority to transfer, payment of all transfer taxes, if any, and the satisfaction of any other requirements of law, including inquiry into and discharge of any adverse claims of which the Corporation has notice, the Corporation or its transfer agent shall issue a new certificate to the person entitled thereto, cancel the old certificate and record the transaction on the books maintained for such purpose by or on behalf of the Corporation. No transfer of shares of authorized capital stock of the Corporation shall be effective until it has been entered on such books. The Corporation or its transfer agent may require a signature guaranty or other reasonable evidence that any signature is genuine and effective before making any transfer. Transfers of uncertificated shares of authorized capital stock of the Corporation shall be made in accordance with applicable provisions of law.</w:t>
      </w:r>
    </w:p>
    <w:p>
      <w:pPr>
        <w:spacing w:after="0" w:line="174"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Registered Holders</w:t>
      </w:r>
      <w:r>
        <w:rPr>
          <w:rFonts w:ascii="Times New Roman" w:cs="Times New Roman" w:eastAsia="Times New Roman" w:hAnsi="Times New Roman"/>
          <w:sz w:val="20"/>
          <w:szCs w:val="20"/>
          <w:color w:val="auto"/>
        </w:rPr>
        <w:t>. The Corporation shall be entitled to recognize the exclusive right of a person registered on its books as the owner of shares of authorized capital stock of the Corporation to inspect for any proper purpose the stock ledger and the other books and records, to receive dividends, and to vote as such owner, and to hold liable for calls and assessments a person registered on its books as the owner of such shares, and shall not be bound to recognize any equitable or other claim to or interest in such shares on the part of any other person, whether or not it shall have express or other notice thereof, except as otherwise provided by applicable law.</w:t>
      </w:r>
    </w:p>
    <w:p>
      <w:pPr>
        <w:spacing w:after="0" w:line="181" w:lineRule="exact"/>
        <w:rPr>
          <w:sz w:val="20"/>
          <w:szCs w:val="20"/>
          <w:color w:val="auto"/>
        </w:rPr>
      </w:pPr>
    </w:p>
    <w:p>
      <w:pPr>
        <w:ind w:right="4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Transfer Agents, Registrars and Paying Agents</w:t>
      </w:r>
      <w:r>
        <w:rPr>
          <w:rFonts w:ascii="Times New Roman" w:cs="Times New Roman" w:eastAsia="Times New Roman" w:hAnsi="Times New Roman"/>
          <w:sz w:val="20"/>
          <w:szCs w:val="20"/>
          <w:color w:val="auto"/>
        </w:rPr>
        <w:t>. The Board may at its discretion appoint one or more transfer agents, registrars and agents for making payment upon any class of stock, bond, debenture or other security of the Corporation. Such agents and registrars may be located either within or outside Delaware. They shall have such rights and duties and shall be entitled to such compensation as may be agreed.</w:t>
      </w:r>
    </w:p>
    <w:p>
      <w:pPr>
        <w:spacing w:after="0" w:line="180" w:lineRule="exact"/>
        <w:rPr>
          <w:sz w:val="20"/>
          <w:szCs w:val="20"/>
          <w:color w:val="auto"/>
        </w:rPr>
      </w:pPr>
    </w:p>
    <w:p>
      <w:pPr>
        <w:ind w:right="6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Lost, Stolen or Destroyed Certificates</w:t>
      </w:r>
      <w:r>
        <w:rPr>
          <w:rFonts w:ascii="Times New Roman" w:cs="Times New Roman" w:eastAsia="Times New Roman" w:hAnsi="Times New Roman"/>
          <w:sz w:val="20"/>
          <w:szCs w:val="20"/>
          <w:color w:val="auto"/>
        </w:rPr>
        <w:t>. Except as provided in this Section 5.05, no new certificate representing shares of the Corporation’s authorized capital stock shall be issued to replace a previously issued certificate representing such shares unless the previously issued certificate is surrendered to the Corporation and immediately cancelled. The Corporation may issue a new certificate representing shares of its authorized capital</w:t>
      </w:r>
    </w:p>
    <w:p>
      <w:pPr>
        <w:sectPr>
          <w:pgSz w:w="11900" w:h="16838" w:orient="portrait"/>
          <w:cols w:equalWidth="0" w:num="1">
            <w:col w:w="11420"/>
          </w:cols>
          <w:pgMar w:left="240" w:top="576" w:right="239" w:bottom="1440" w:gutter="0" w:footer="0" w:header="0"/>
        </w:sectPr>
      </w:pPr>
    </w:p>
    <w:bookmarkStart w:id="67" w:name="page68"/>
    <w:bookmarkEnd w:id="67"/>
    <w:p>
      <w:pPr>
        <w:ind w:right="200"/>
        <w:spacing w:after="0" w:line="249" w:lineRule="auto"/>
        <w:rPr>
          <w:sz w:val="20"/>
          <w:szCs w:val="20"/>
          <w:color w:val="auto"/>
        </w:rPr>
      </w:pPr>
      <w:r>
        <w:rPr>
          <w:rFonts w:ascii="Times New Roman" w:cs="Times New Roman" w:eastAsia="Times New Roman" w:hAnsi="Times New Roman"/>
          <w:sz w:val="20"/>
          <w:szCs w:val="20"/>
          <w:color w:val="auto"/>
        </w:rPr>
        <w:t>stock or uncertificated shares in the place of any certificate theretofore issued by it that is alleged by a stockholder to have been lost, stolen or destroyed, and the Corporation may require such stockholder, or such stockholder’s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Indemnification</w:t>
      </w:r>
    </w:p>
    <w:p>
      <w:pPr>
        <w:spacing w:after="0" w:line="194" w:lineRule="exact"/>
        <w:rPr>
          <w:sz w:val="20"/>
          <w:szCs w:val="20"/>
          <w:color w:val="auto"/>
        </w:rPr>
      </w:pPr>
    </w:p>
    <w:p>
      <w:pPr>
        <w:ind w:right="240" w:firstLine="324"/>
        <w:spacing w:after="0" w:line="249"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Right to Indemnification</w:t>
      </w:r>
      <w:r>
        <w:rPr>
          <w:rFonts w:ascii="Times New Roman" w:cs="Times New Roman" w:eastAsia="Times New Roman" w:hAnsi="Times New Roman"/>
          <w:sz w:val="20"/>
          <w:szCs w:val="20"/>
          <w:color w:val="auto"/>
        </w:rPr>
        <w:t>. The Corporation shall indemnify and pay the expenses of directors, officers and individuals who have agreed to serve as directors or officers of the Corporation as provided in the Certificate of Incorporation and, if applicable, in any indemnification agreement between the Corporation and such individuals. The Corporation has the right, but not the obligation, to indemnify and pay the expenses of other persons authorized by a majority of the Board as provided in the Certificate of Incorporation.</w:t>
      </w:r>
    </w:p>
    <w:p>
      <w:pPr>
        <w:spacing w:after="0" w:line="180" w:lineRule="exact"/>
        <w:rPr>
          <w:sz w:val="20"/>
          <w:szCs w:val="20"/>
          <w:color w:val="auto"/>
        </w:rPr>
      </w:pPr>
    </w:p>
    <w:p>
      <w:pPr>
        <w:jc w:val="both"/>
        <w:ind w:right="220"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Corporation may purchase and maintain insurance on behalf of any person who is or was a director, officer, employee or agent of the Corporation, or is or was serving at the request of the Corporation as a director, officer, employee or agent of any of its affiliates or another corporation, partnership, limited liability company,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ARTICLE VII</w:t>
      </w:r>
    </w:p>
    <w:p>
      <w:pPr>
        <w:spacing w:after="0" w:line="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Miscellaneous</w:t>
      </w:r>
    </w:p>
    <w:p>
      <w:pPr>
        <w:spacing w:after="0" w:line="194" w:lineRule="exact"/>
        <w:rPr>
          <w:sz w:val="20"/>
          <w:szCs w:val="20"/>
          <w:color w:val="auto"/>
        </w:rPr>
      </w:pPr>
    </w:p>
    <w:p>
      <w:pPr>
        <w:ind w:right="20"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Notice by Electronic Transmission</w:t>
      </w:r>
      <w:r>
        <w:rPr>
          <w:rFonts w:ascii="Times New Roman" w:cs="Times New Roman" w:eastAsia="Times New Roman" w:hAnsi="Times New Roman"/>
          <w:sz w:val="20"/>
          <w:szCs w:val="20"/>
          <w:color w:val="auto"/>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such notice is given. Any such consent shall be revocable by such stockholder by written notice to the Corporation.</w:t>
      </w:r>
    </w:p>
    <w:p>
      <w:pPr>
        <w:spacing w:after="0" w:line="18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consent shall be deemed revoked if:</w:t>
      </w:r>
    </w:p>
    <w:p>
      <w:pPr>
        <w:spacing w:after="0" w:line="215" w:lineRule="exact"/>
        <w:rPr>
          <w:rFonts w:ascii="Times New Roman" w:cs="Times New Roman" w:eastAsia="Times New Roman" w:hAnsi="Times New Roman"/>
          <w:sz w:val="20"/>
          <w:szCs w:val="20"/>
          <w:color w:val="auto"/>
        </w:rPr>
      </w:pPr>
    </w:p>
    <w:p>
      <w:pPr>
        <w:ind w:left="980" w:right="380" w:hanging="324"/>
        <w:spacing w:after="0" w:line="269" w:lineRule="auto"/>
        <w:tabs>
          <w:tab w:leader="none" w:pos="9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unable to deliver by electronic transmission two consecutive notices given by the Corporation in accordance with such consent; and</w:t>
      </w:r>
    </w:p>
    <w:p>
      <w:pPr>
        <w:spacing w:after="0" w:line="159" w:lineRule="exact"/>
        <w:rPr>
          <w:rFonts w:ascii="Times New Roman" w:cs="Times New Roman" w:eastAsia="Times New Roman" w:hAnsi="Times New Roman"/>
          <w:sz w:val="20"/>
          <w:szCs w:val="20"/>
          <w:color w:val="auto"/>
        </w:rPr>
      </w:pPr>
    </w:p>
    <w:p>
      <w:pPr>
        <w:ind w:left="980" w:right="980" w:hanging="324"/>
        <w:spacing w:after="0" w:line="269" w:lineRule="auto"/>
        <w:tabs>
          <w:tab w:leader="none" w:pos="9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inability becomes known to the secretary or an assistant secretary of the Corporation or to the transfer agent of the Corporation, or other person responsible for the giving of notice.</w:t>
      </w:r>
    </w:p>
    <w:p>
      <w:pPr>
        <w:spacing w:after="0" w:line="160" w:lineRule="exact"/>
        <w:rPr>
          <w:sz w:val="20"/>
          <w:szCs w:val="20"/>
          <w:color w:val="auto"/>
        </w:rPr>
      </w:pPr>
    </w:p>
    <w:p>
      <w:pPr>
        <w:ind w:right="920" w:firstLine="324"/>
        <w:spacing w:after="0" w:line="269" w:lineRule="auto"/>
        <w:rPr>
          <w:sz w:val="20"/>
          <w:szCs w:val="20"/>
          <w:color w:val="auto"/>
        </w:rPr>
      </w:pPr>
      <w:r>
        <w:rPr>
          <w:rFonts w:ascii="Times New Roman" w:cs="Times New Roman" w:eastAsia="Times New Roman" w:hAnsi="Times New Roman"/>
          <w:sz w:val="20"/>
          <w:szCs w:val="20"/>
          <w:color w:val="auto"/>
        </w:rPr>
        <w:t>However, the inadvertent failure to treat such inability as a revocation shall not invalidate any meeting of the stockholders of the Corporation or other action by the Corporation.</w:t>
      </w:r>
    </w:p>
    <w:p>
      <w:pPr>
        <w:spacing w:after="0" w:line="160"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given pursuant to this Section 7.01 shall be deemed given:</w:t>
      </w:r>
    </w:p>
    <w:p>
      <w:pPr>
        <w:spacing w:after="0" w:line="215" w:lineRule="exact"/>
        <w:rPr>
          <w:rFonts w:ascii="Times New Roman" w:cs="Times New Roman" w:eastAsia="Times New Roman" w:hAnsi="Times New Roman"/>
          <w:sz w:val="20"/>
          <w:szCs w:val="20"/>
          <w:color w:val="auto"/>
        </w:rPr>
      </w:pPr>
    </w:p>
    <w:p>
      <w:pPr>
        <w:ind w:left="980" w:right="40" w:hanging="324"/>
        <w:spacing w:after="0" w:line="269" w:lineRule="auto"/>
        <w:tabs>
          <w:tab w:leader="none" w:pos="9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facsimile telecommunication, when directed to a number at which the stockholder of the Corporation has consented to receive notice;</w:t>
      </w:r>
    </w:p>
    <w:p>
      <w:pPr>
        <w:spacing w:after="0" w:line="159" w:lineRule="exact"/>
        <w:rPr>
          <w:rFonts w:ascii="Times New Roman" w:cs="Times New Roman" w:eastAsia="Times New Roman" w:hAnsi="Times New Roman"/>
          <w:sz w:val="20"/>
          <w:szCs w:val="20"/>
          <w:color w:val="auto"/>
        </w:rPr>
      </w:pPr>
    </w:p>
    <w:p>
      <w:pPr>
        <w:ind w:left="980" w:right="460" w:hanging="324"/>
        <w:spacing w:after="0" w:line="269" w:lineRule="auto"/>
        <w:tabs>
          <w:tab w:leader="none" w:pos="9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electronic mail, when directed to an electronic mail address at which the stockholder of the Corporation has consented to receive notice;</w:t>
      </w:r>
    </w:p>
    <w:p>
      <w:pPr>
        <w:spacing w:after="0" w:line="159"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 posting on an electronic network together with separate notice to the stockholder of the Corporation of such specific posting, upon the later of such posting and the giving of such separate notice; and</w:t>
      </w:r>
    </w:p>
    <w:p>
      <w:pPr>
        <w:sectPr>
          <w:pgSz w:w="11900" w:h="16838" w:orient="portrait"/>
          <w:cols w:equalWidth="0" w:num="1">
            <w:col w:w="11420"/>
          </w:cols>
          <w:pgMar w:left="240" w:top="576" w:right="2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0"/>
          <w:szCs w:val="20"/>
          <w:color w:val="auto"/>
        </w:rPr>
        <w:t>(iv) if by any other form of electronic transmission, when directed to the stockholder of the Corporation.</w:t>
      </w:r>
    </w:p>
    <w:p>
      <w:pPr>
        <w:spacing w:after="0" w:line="216" w:lineRule="exact"/>
        <w:rPr>
          <w:sz w:val="20"/>
          <w:szCs w:val="20"/>
          <w:color w:val="auto"/>
        </w:rPr>
      </w:pPr>
    </w:p>
    <w:p>
      <w:pPr>
        <w:ind w:right="260" w:firstLine="324"/>
        <w:spacing w:after="0" w:line="296" w:lineRule="auto"/>
        <w:rPr>
          <w:sz w:val="20"/>
          <w:szCs w:val="20"/>
          <w:color w:val="auto"/>
        </w:rPr>
      </w:pPr>
      <w:r>
        <w:rPr>
          <w:rFonts w:ascii="Times New Roman" w:cs="Times New Roman" w:eastAsia="Times New Roman" w:hAnsi="Times New Roman"/>
          <w:sz w:val="19"/>
          <w:szCs w:val="19"/>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36" w:lineRule="exact"/>
        <w:rPr>
          <w:sz w:val="20"/>
          <w:szCs w:val="20"/>
          <w:color w:val="auto"/>
        </w:rPr>
      </w:pPr>
    </w:p>
    <w:p>
      <w:pPr>
        <w:jc w:val="both"/>
        <w:ind w:left="660" w:right="80" w:hanging="328"/>
        <w:spacing w:after="0" w:line="254" w:lineRule="auto"/>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4"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by a form of electronic transmission shall not apply to Sections 164, 296, 311, 312 or 324 of the DGCL.</w:t>
      </w:r>
    </w:p>
    <w:p>
      <w:pPr>
        <w:spacing w:after="0" w:line="216" w:lineRule="exact"/>
        <w:rPr>
          <w:sz w:val="20"/>
          <w:szCs w:val="20"/>
          <w:color w:val="auto"/>
        </w:rPr>
      </w:pPr>
    </w:p>
    <w:p>
      <w:pPr>
        <w:ind w:right="100" w:firstLine="324"/>
        <w:spacing w:after="0" w:line="244" w:lineRule="auto"/>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Waivers of Notice</w:t>
      </w:r>
      <w:r>
        <w:rPr>
          <w:rFonts w:ascii="Times New Roman" w:cs="Times New Roman" w:eastAsia="Times New Roman" w:hAnsi="Times New Roman"/>
          <w:sz w:val="20"/>
          <w:szCs w:val="20"/>
          <w:color w:val="auto"/>
        </w:rPr>
        <w:t>. Whenever notice is required to be given by law, by the Certificate of Incorporation or by these Bylaws, a written waiver thereof, signed by the person entitled to such notice or a waiver by electronic transmission by the person entitled to such notice, whether before or after the time stated therein, shall be deemed equivalent to notice. Attendance of a person at a meeting or (in the case of a stockholder of the Corporation) by proxy shall constitute a waiver of notice of such meeting, except when the person attends such meeting for the express purpose of objecting, at the beginning of such meeting, to the transaction of any business because such meeting was not lawfully called or convened. Neither the business to be transacted at, nor the purpose of, any meeting need be specified in any written waiver of notice or waiver of notice by electronic transmission unless required by these Bylaws to be included in the notice of such meeting.</w:t>
      </w:r>
    </w:p>
    <w:p>
      <w:pPr>
        <w:spacing w:after="0" w:line="187"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Presumption of Assent</w:t>
      </w:r>
      <w:r>
        <w:rPr>
          <w:rFonts w:ascii="Times New Roman" w:cs="Times New Roman" w:eastAsia="Times New Roman" w:hAnsi="Times New Roman"/>
          <w:sz w:val="20"/>
          <w:szCs w:val="20"/>
          <w:color w:val="auto"/>
        </w:rPr>
        <w:t>. A director or stockholder of the Corporation who is present at a meeting of the Board or stockholders of the Corporation at which action on any corporate matter is taken shall be presumed to have assented to the action taken unless his or her dissent shall be entered in the minutes of such meeting or unless he or she shall file his or her written dissent to such action with the person acting as the secretary of such meeting before the adjournment thereof or shall forward such dissent by registered mail to the secretary of the Corporation immediately after the adjournment of such meeting. Such right to dissent shall not apply to a director or stockholder of the Corporation who voted in favor of such action.</w:t>
      </w:r>
    </w:p>
    <w:p>
      <w:pPr>
        <w:spacing w:after="0" w:line="185"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20"/>
          <w:szCs w:val="20"/>
          <w:color w:val="auto"/>
        </w:rPr>
        <w:t xml:space="preserve">Section 7.04 </w:t>
      </w:r>
      <w:r>
        <w:rPr>
          <w:rFonts w:ascii="Times New Roman" w:cs="Times New Roman" w:eastAsia="Times New Roman" w:hAnsi="Times New Roman"/>
          <w:sz w:val="20"/>
          <w:szCs w:val="20"/>
          <w:u w:val="single" w:color="auto"/>
          <w:color w:val="auto"/>
        </w:rPr>
        <w:t>Voting of Securities by the Corporation</w:t>
      </w:r>
      <w:r>
        <w:rPr>
          <w:rFonts w:ascii="Times New Roman" w:cs="Times New Roman" w:eastAsia="Times New Roman" w:hAnsi="Times New Roman"/>
          <w:sz w:val="20"/>
          <w:szCs w:val="20"/>
          <w:color w:val="auto"/>
        </w:rPr>
        <w:t>. Unless otherwise provided by resolution of the Board, on behalf of the Corporation the chairman of the Board, chief executive officer, chief operating officer, chief financial officer, president, secretary, treasurer or any vice-president of the Corporation shall attend in person or by substitute appointed by him or her, or shall execute written instruments appointing a proxy or proxies to represent the Corporation at, all meetings of the stockholders of any other corporation, association or other entity in which the Corporation holds any stock or other securities, and may execute written waivers of notice with respect to any such meetings. At all such meetings and otherwise, the chairman of the Board, chief executive officer, chief operating officer, chief financial officer, president, secretary, treasurer or any vice-president of the Corporation, in person or by substitute or proxy as aforesaid, may vote the stock or other securities so held by the Corporation and may execute written consents and any other instruments with respect to such stock or securities and may exercise any and all rights and powers incident to the ownership of said stock or securities, subject, however, to the instructions, if any, of the Board.</w:t>
      </w:r>
    </w:p>
    <w:p>
      <w:pPr>
        <w:spacing w:after="0" w:line="187" w:lineRule="exact"/>
        <w:rPr>
          <w:sz w:val="20"/>
          <w:szCs w:val="20"/>
          <w:color w:val="auto"/>
        </w:rPr>
      </w:pPr>
    </w:p>
    <w:p>
      <w:pPr>
        <w:ind w:right="160" w:firstLine="324"/>
        <w:spacing w:after="0" w:line="247" w:lineRule="auto"/>
        <w:rPr>
          <w:sz w:val="20"/>
          <w:szCs w:val="20"/>
          <w:color w:val="auto"/>
        </w:rPr>
      </w:pPr>
      <w:r>
        <w:rPr>
          <w:rFonts w:ascii="Times New Roman" w:cs="Times New Roman" w:eastAsia="Times New Roman" w:hAnsi="Times New Roman"/>
          <w:sz w:val="20"/>
          <w:szCs w:val="20"/>
          <w:color w:val="auto"/>
        </w:rPr>
        <w:t xml:space="preserve">Section 7.05 </w:t>
      </w:r>
      <w:r>
        <w:rPr>
          <w:rFonts w:ascii="Times New Roman" w:cs="Times New Roman" w:eastAsia="Times New Roman" w:hAnsi="Times New Roman"/>
          <w:sz w:val="20"/>
          <w:szCs w:val="20"/>
          <w:u w:val="single" w:color="auto"/>
          <w:color w:val="auto"/>
        </w:rPr>
        <w:t>Authorized Signatories</w:t>
      </w:r>
      <w:r>
        <w:rPr>
          <w:rFonts w:ascii="Times New Roman" w:cs="Times New Roman" w:eastAsia="Times New Roman" w:hAnsi="Times New Roman"/>
          <w:sz w:val="20"/>
          <w:szCs w:val="20"/>
          <w:color w:val="auto"/>
        </w:rPr>
        <w:t>. The Board may authorize any officer or officers of the Corporation, or agent or agents, to enter into any contract or execute any instrument in the name of and on behalf of the Corporation; such authority may be general or restricted to specific instances. Unless so authorized or ratified by the Board or within the agency power of an officer of the Corporation, no officer, agent or employee of the Corporation shall have any power or authority to bind the Corporation by any contract or to pledge its credit or to render it liable for any purpose or for any amount</w:t>
      </w:r>
    </w:p>
    <w:p>
      <w:pPr>
        <w:sectPr>
          <w:pgSz w:w="11900" w:h="16838" w:orient="portrait"/>
          <w:cols w:equalWidth="0" w:num="1">
            <w:col w:w="11420"/>
          </w:cols>
          <w:pgMar w:left="240" w:top="576" w:right="239" w:bottom="1440" w:gutter="0" w:footer="0" w:header="0"/>
        </w:sectPr>
      </w:pPr>
    </w:p>
    <w:bookmarkStart w:id="69" w:name="page70"/>
    <w:bookmarkEnd w:id="69"/>
    <w:p>
      <w:pPr>
        <w:ind w:firstLine="324"/>
        <w:spacing w:after="0" w:line="296" w:lineRule="auto"/>
        <w:rPr>
          <w:sz w:val="20"/>
          <w:szCs w:val="20"/>
          <w:color w:val="auto"/>
        </w:rPr>
      </w:pPr>
      <w:r>
        <w:rPr>
          <w:rFonts w:ascii="Times New Roman" w:cs="Times New Roman" w:eastAsia="Times New Roman" w:hAnsi="Times New Roman"/>
          <w:sz w:val="19"/>
          <w:szCs w:val="19"/>
          <w:color w:val="auto"/>
        </w:rPr>
        <w:t xml:space="preserve">Section 7.06 </w:t>
      </w:r>
      <w:r>
        <w:rPr>
          <w:rFonts w:ascii="Times New Roman" w:cs="Times New Roman" w:eastAsia="Times New Roman" w:hAnsi="Times New Roman"/>
          <w:sz w:val="19"/>
          <w:szCs w:val="19"/>
          <w:u w:val="single" w:color="auto"/>
          <w:color w:val="auto"/>
        </w:rPr>
        <w:t>Seal</w:t>
      </w:r>
      <w:r>
        <w:rPr>
          <w:rFonts w:ascii="Times New Roman" w:cs="Times New Roman" w:eastAsia="Times New Roman" w:hAnsi="Times New Roman"/>
          <w:sz w:val="19"/>
          <w:szCs w:val="19"/>
          <w:color w:val="auto"/>
        </w:rPr>
        <w:t>. The corporate seal of the Corporation shall be in such form as adopted by the Board, and any officer of the Corporation may, when and as required, affix or impress the seal, or a facsimile thereof, to or on any instrument or document of the Corporation.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7.07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The fiscal year of the Corporation shall be as established by resolution of the Board.</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 xml:space="preserve">Section 7.08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These Bylaws may be amended or repealed only in the manner set forth in the Certificate of Incorporation.</w:t>
      </w:r>
    </w:p>
    <w:p>
      <w:pPr>
        <w:sectPr>
          <w:pgSz w:w="11900" w:h="16838" w:orient="portrait"/>
          <w:cols w:equalWidth="0" w:num="1">
            <w:col w:w="11260"/>
          </w:cols>
          <w:pgMar w:left="240" w:top="576" w:right="39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National CineMedia, Inc. (the “</w:t>
      </w:r>
      <w:r>
        <w:rPr>
          <w:rFonts w:ascii="Times New Roman" w:cs="Times New Roman" w:eastAsia="Times New Roman" w:hAnsi="Times New Roman"/>
          <w:sz w:val="18"/>
          <w:szCs w:val="18"/>
          <w:u w:val="single" w:color="auto"/>
          <w:color w:val="auto"/>
        </w:rPr>
        <w:t>Company or Employer</w:t>
      </w:r>
      <w:r>
        <w:rPr>
          <w:rFonts w:ascii="Times New Roman" w:cs="Times New Roman" w:eastAsia="Times New Roman" w:hAnsi="Times New Roman"/>
          <w:sz w:val="18"/>
          <w:szCs w:val="18"/>
          <w:color w:val="auto"/>
        </w:rPr>
        <w:t>”), and Thomas F. Lesinski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or Employer,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is entered into as of August 1, 2019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In consideration of the covenants and agreements contained herein, the Parties agree as follows:</w:t>
      </w:r>
    </w:p>
    <w:p>
      <w:pPr>
        <w:spacing w:after="0" w:line="176" w:lineRule="exact"/>
        <w:rPr>
          <w:sz w:val="20"/>
          <w:szCs w:val="20"/>
          <w:color w:val="auto"/>
        </w:rPr>
      </w:pPr>
    </w:p>
    <w:p>
      <w:pPr>
        <w:jc w:val="both"/>
        <w:ind w:firstLine="440"/>
        <w:spacing w:after="0" w:line="254" w:lineRule="auto"/>
        <w:tabs>
          <w:tab w:leader="none" w:pos="6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Employer agrees to employ Executive and Executive agrees to be employed by the Employer, beginning as of August 2, 2019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Executive’s employment under this Agreement shall terminate on the earlier of (i) the third anniversary of the Effective Date, or (ii) the termination of Executive’s employment under this Agreement. The period from the Effective Date until the termination of Executive’s employment under this Agreement is referred to as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Employer will provide notice to Executive at least ninety (90) days prior to the third anniversary of the Effective Date (unless the Agreement is terminated earlier) of its intent to either extend the term of this Agreement, enter into a new employment agreement or allow the Agreement to expire; provided that this provision shall not operate to increase the amount of severance benefits payable under this Agreement or otherwise limit the Company’s ability to terminate the Executive without “Cause” without notice. To the extent Executive remains employed by the Company after the expiration of the Employment Period, such employment will be subject to the terms and conditions to which the Company and Executive at that time will agree.</w:t>
      </w:r>
    </w:p>
    <w:p>
      <w:pPr>
        <w:spacing w:after="0" w:line="189" w:lineRule="exact"/>
        <w:rPr>
          <w:rFonts w:ascii="Times New Roman" w:cs="Times New Roman" w:eastAsia="Times New Roman" w:hAnsi="Times New Roman"/>
          <w:sz w:val="18"/>
          <w:szCs w:val="18"/>
          <w:color w:val="auto"/>
        </w:rPr>
      </w:pPr>
    </w:p>
    <w:p>
      <w:pPr>
        <w:jc w:val="both"/>
        <w:ind w:firstLine="440"/>
        <w:spacing w:after="0" w:line="266" w:lineRule="auto"/>
        <w:tabs>
          <w:tab w:leader="none" w:pos="6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Positions and Authority</w:t>
      </w:r>
      <w:r>
        <w:rPr>
          <w:rFonts w:ascii="Times New Roman" w:cs="Times New Roman" w:eastAsia="Times New Roman" w:hAnsi="Times New Roman"/>
          <w:sz w:val="18"/>
          <w:szCs w:val="18"/>
          <w:color w:val="auto"/>
        </w:rPr>
        <w:t>. Executive shall serve in the position of Chief Executive Officer of the Employer, reporting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in such other positions as the Parties may agree. Executive’s primary place of business shall be at Company headquarters in the Denver, Colorado metropolitan area, or such other location as the Parties may hereafter agree.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Executive agrees to serve in the position referred to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to perform diligently and to the best of his abilities the duties and services as are normally associated with the office of Chief Executive Officer, and shall have other duties, responsibilities, power and authority as reasonably may be designated from time to time by the Board and that are consistent with Executive’s position as Chief Executive Officer of the Employer.</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During the Employment Period, Executive shall devote his full business time and efforts to the business and affairs of the Company and its subsidiaries, provided that Executive shall be entitled to manage Executive’s personal and family finances and investments, serve as a member of the board of directors of a reasonable number of other companies, to serve on civic, charitable, educational, religious, public interest or public service boards, in each case, to the extent such activities do not materially interfere with the performance of Executive’s duties and responsibilities hereunder and do not conflict with Executive’s obligations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Executive shall not become a director of any entity without first obtaining the approval of the Board, which shall not be unreasonably withheld.</w:t>
      </w:r>
    </w:p>
    <w:p>
      <w:pPr>
        <w:spacing w:after="0" w:line="188" w:lineRule="exact"/>
        <w:rPr>
          <w:sz w:val="20"/>
          <w:szCs w:val="20"/>
          <w:color w:val="auto"/>
        </w:rPr>
      </w:pPr>
    </w:p>
    <w:p>
      <w:pPr>
        <w:ind w:left="620" w:hanging="180"/>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firstLine="872"/>
        <w:spacing w:after="0" w:line="269" w:lineRule="auto"/>
        <w:tabs>
          <w:tab w:leader="none" w:pos="112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Equity Grant</w:t>
      </w:r>
      <w:r>
        <w:rPr>
          <w:rFonts w:ascii="Times New Roman" w:cs="Times New Roman" w:eastAsia="Times New Roman" w:hAnsi="Times New Roman"/>
          <w:sz w:val="18"/>
          <w:szCs w:val="18"/>
          <w:color w:val="auto"/>
        </w:rPr>
        <w:t>. In consideration of the commencement of Executive’s employment hereunder, Executive shall receive (i) a time-based restricted share award granted effective on the commencement of employment, with the number of shares to be determined by dividing $125,000 by the average closing share price of the Company’s common stock as reported on the NASDAQ for the 30 days immediately prior to the Execution Date, with vesting to occur in three equal installments on each of the first three anniversaries of the grant date, subject to Executive’s continued employment through each applicable vesting date, (ii) a performance-based restricted share award granted effective on the commencement of employment, with the number of shares to be determined by dividing $375,000 by the average closing share price of the Company’s common stock as reported on the NASDAQ for the 30 days immediately prior to the Execution Date, with vesting to be subject to the satisfaction of pre-established performance criteria, and (iii) a time-based stock option award granted effective on the commencement of employment, with a grant date fair value of $500,000 and an exercise price equal to $8.00, with vesting to occur in three equal installments on each of the first through third anniversaries of the grant date, subject to Executive’s continued employment through each applicable vesting date (each of (i), (ii) and (iii), the “</w:t>
      </w:r>
      <w:r>
        <w:rPr>
          <w:rFonts w:ascii="Times New Roman" w:cs="Times New Roman" w:eastAsia="Times New Roman" w:hAnsi="Times New Roman"/>
          <w:sz w:val="18"/>
          <w:szCs w:val="18"/>
          <w:u w:val="single" w:color="auto"/>
          <w:color w:val="auto"/>
        </w:rPr>
        <w:t>Initial Equity</w:t>
      </w:r>
      <w:r>
        <w:rPr>
          <w:rFonts w:ascii="Times New Roman" w:cs="Times New Roman" w:eastAsia="Times New Roman" w:hAnsi="Times New Roman"/>
          <w:sz w:val="18"/>
          <w:szCs w:val="18"/>
          <w:color w:val="auto"/>
        </w:rPr>
        <w:t>”). The Initial Equity shall (i) be issued under the Company’s current Incentive Compensation Plan (the “</w:t>
      </w:r>
      <w:r>
        <w:rPr>
          <w:rFonts w:ascii="Times New Roman" w:cs="Times New Roman" w:eastAsia="Times New Roman" w:hAnsi="Times New Roman"/>
          <w:sz w:val="18"/>
          <w:szCs w:val="18"/>
          <w:u w:val="single" w:color="auto"/>
          <w:color w:val="auto"/>
        </w:rPr>
        <w:t>Current Plan</w:t>
      </w:r>
      <w:r>
        <w:rPr>
          <w:rFonts w:ascii="Times New Roman" w:cs="Times New Roman" w:eastAsia="Times New Roman" w:hAnsi="Times New Roman"/>
          <w:sz w:val="18"/>
          <w:szCs w:val="18"/>
          <w:color w:val="auto"/>
        </w:rPr>
        <w:t>”) and (ii) be subject to the Company’s standard form of time-based and performance-based restricted share and option award agreements.</w:t>
      </w:r>
    </w:p>
    <w:p>
      <w:pPr>
        <w:spacing w:after="0" w:line="173" w:lineRule="exact"/>
        <w:rPr>
          <w:rFonts w:ascii="Times New Roman" w:cs="Times New Roman" w:eastAsia="Times New Roman" w:hAnsi="Times New Roman"/>
          <w:sz w:val="18"/>
          <w:szCs w:val="18"/>
          <w:color w:val="auto"/>
        </w:rPr>
      </w:pPr>
    </w:p>
    <w:p>
      <w:pPr>
        <w:jc w:val="both"/>
        <w:ind w:firstLine="872"/>
        <w:spacing w:after="0" w:line="258" w:lineRule="auto"/>
        <w:tabs>
          <w:tab w:leader="none" w:pos="111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compensation for Executive’s performance of Executive’s duties hereunder, Company shall pay to Executive an initial Base Salary of $750,000 per year, payable in accordance with the normal payroll practices of the Company (but not less frequently than monthly), less required deductions for state and federal withholding tax, social security and all other employment taxes and payroll deductions. The Base Salary shall be reviewed by the Board not less often than annually and shall be subject to increase, but not decrease, based on such annual review. The term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refer to the Base Salary as may be in effect from time to time.</w:t>
      </w:r>
    </w:p>
    <w:p>
      <w:pPr>
        <w:sectPr>
          <w:pgSz w:w="11900" w:h="16838" w:orient="portrait"/>
          <w:cols w:equalWidth="0" w:num="1">
            <w:col w:w="11420"/>
          </w:cols>
          <w:pgMar w:left="240" w:top="792" w:right="239" w:bottom="1440" w:gutter="0" w:footer="0" w:header="0"/>
        </w:sectPr>
      </w:pPr>
    </w:p>
    <w:bookmarkStart w:id="71" w:name="page72"/>
    <w:bookmarkEnd w:id="71"/>
    <w:p>
      <w:pPr>
        <w:jc w:val="both"/>
        <w:ind w:left="-440" w:firstLine="872"/>
        <w:spacing w:after="0" w:line="255" w:lineRule="auto"/>
        <w:tabs>
          <w:tab w:leader="none" w:pos="66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Incentive Compensation</w:t>
      </w:r>
      <w:r>
        <w:rPr>
          <w:rFonts w:ascii="Times New Roman" w:cs="Times New Roman" w:eastAsia="Times New Roman" w:hAnsi="Times New Roman"/>
          <w:sz w:val="18"/>
          <w:szCs w:val="18"/>
          <w:color w:val="auto"/>
        </w:rPr>
        <w:t>. During the Employment Period, Executive shall be eligible to participate in an annual cash bonus program maintained for senior executive officers of the Company (the “</w:t>
      </w:r>
      <w:r>
        <w:rPr>
          <w:rFonts w:ascii="Times New Roman" w:cs="Times New Roman" w:eastAsia="Times New Roman" w:hAnsi="Times New Roman"/>
          <w:sz w:val="18"/>
          <w:szCs w:val="18"/>
          <w:u w:val="single" w:color="auto"/>
          <w:color w:val="auto"/>
        </w:rPr>
        <w:t>Annual Incentive Program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with a target and maximum annual bonus equal to 100% of Base Salary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provided, however, that any bonus related to fiscal year 2019 shall be prorated for the period between the Effective Date and December 26, 2019. The actual amount of the annual bonus earned by and payable to Executive for any year or portion of a year, as applicable, shall be determined upon the satisfaction of goals and objectives established by the Compensation Committee pursuant to the Plan, and shall be subject to such other terms and conditions of the Annual Incentive Program as in effect from time to time. Subject to Section 4(b), Executive must be employed by the Company on the day that the bonus is scheduled to be paid in order to earn and receive the bonus. Each bonus paid under the Annual Incentive Program shall be paid no later than March 15th of the calendar year following the bonus fiscal year.</w:t>
      </w:r>
    </w:p>
    <w:p>
      <w:pPr>
        <w:spacing w:after="0" w:line="185" w:lineRule="exact"/>
        <w:rPr>
          <w:rFonts w:ascii="Times New Roman" w:cs="Times New Roman" w:eastAsia="Times New Roman" w:hAnsi="Times New Roman"/>
          <w:sz w:val="18"/>
          <w:szCs w:val="18"/>
          <w:color w:val="auto"/>
        </w:rPr>
      </w:pPr>
    </w:p>
    <w:p>
      <w:pPr>
        <w:jc w:val="both"/>
        <w:ind w:left="-440" w:firstLine="872"/>
        <w:spacing w:after="0" w:line="256" w:lineRule="auto"/>
        <w:tabs>
          <w:tab w:leader="none" w:pos="67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Grants</w:t>
      </w:r>
      <w:r>
        <w:rPr>
          <w:rFonts w:ascii="Times New Roman" w:cs="Times New Roman" w:eastAsia="Times New Roman" w:hAnsi="Times New Roman"/>
          <w:sz w:val="18"/>
          <w:szCs w:val="18"/>
          <w:color w:val="auto"/>
        </w:rPr>
        <w:t>. The Company shall provide to Executive, on an annual basis during the Employment Period, the opportunity to receive a long-term incentive award with grant date fair market value of at least $1,000,0000 per annum, in such amount and pursuant to such terms as may be determined in the sole discretion of the Board, provided that a minimum of 50% of such amount shall be granted in the form of restricted share awards or restricted share unit awards and no more than 50% of such amount shall be granted in the form of stock options and any such stock options will be granted with an exercise price that is not greater than 120% of the Fair Market Value as defined in the Current Plan, or any successor thereto, of a share of the Company’s common stock on the date of grant.</w:t>
      </w:r>
    </w:p>
    <w:p>
      <w:pPr>
        <w:spacing w:after="0" w:line="187" w:lineRule="exact"/>
        <w:rPr>
          <w:rFonts w:ascii="Times New Roman" w:cs="Times New Roman" w:eastAsia="Times New Roman" w:hAnsi="Times New Roman"/>
          <w:sz w:val="18"/>
          <w:szCs w:val="18"/>
          <w:color w:val="auto"/>
        </w:rPr>
      </w:pPr>
    </w:p>
    <w:p>
      <w:pPr>
        <w:ind w:left="680" w:hanging="248"/>
        <w:spacing w:after="0"/>
        <w:tabs>
          <w:tab w:leader="none" w:pos="6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p>
    <w:p>
      <w:pPr>
        <w:spacing w:after="0" w:line="117" w:lineRule="exact"/>
        <w:rPr>
          <w:rFonts w:ascii="Times New Roman" w:cs="Times New Roman" w:eastAsia="Times New Roman" w:hAnsi="Times New Roman"/>
          <w:sz w:val="18"/>
          <w:szCs w:val="18"/>
          <w:color w:val="auto"/>
        </w:rPr>
      </w:pPr>
    </w:p>
    <w:p>
      <w:pPr>
        <w:jc w:val="both"/>
        <w:ind w:left="-440" w:firstLine="1102"/>
        <w:spacing w:after="0" w:line="266" w:lineRule="auto"/>
        <w:tabs>
          <w:tab w:leader="none" w:pos="869"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Savings and Retirement Plans</w:t>
      </w:r>
      <w:r>
        <w:rPr>
          <w:rFonts w:ascii="Times New Roman" w:cs="Times New Roman" w:eastAsia="Times New Roman" w:hAnsi="Times New Roman"/>
          <w:sz w:val="18"/>
          <w:szCs w:val="18"/>
          <w:color w:val="auto"/>
        </w:rPr>
        <w:t>. Except as otherwise limited by applicable law, Executive shall be entitled to participate in all qualified and non-qualified savings and retirement plans applicable generally to other senior executive officers of the Company, in accordance with the terms of the plans, as may be amended from time to time.</w:t>
      </w:r>
    </w:p>
    <w:p>
      <w:pPr>
        <w:spacing w:after="0" w:line="122" w:lineRule="exact"/>
        <w:rPr>
          <w:rFonts w:ascii="Times New Roman" w:cs="Times New Roman" w:eastAsia="Times New Roman" w:hAnsi="Times New Roman"/>
          <w:sz w:val="18"/>
          <w:szCs w:val="18"/>
          <w:color w:val="auto"/>
        </w:rPr>
      </w:pPr>
    </w:p>
    <w:p>
      <w:pPr>
        <w:jc w:val="both"/>
        <w:ind w:left="-440" w:firstLine="1102"/>
        <w:spacing w:after="0" w:line="255" w:lineRule="auto"/>
        <w:tabs>
          <w:tab w:leader="none" w:pos="94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Benefit Plans</w:t>
      </w:r>
      <w:r>
        <w:rPr>
          <w:rFonts w:ascii="Times New Roman" w:cs="Times New Roman" w:eastAsia="Times New Roman" w:hAnsi="Times New Roman"/>
          <w:sz w:val="18"/>
          <w:szCs w:val="18"/>
          <w:color w:val="auto"/>
        </w:rPr>
        <w:t>. Except as otherwise limited by applicable law, Executive and/or his eligible dependents shall be eligible to participate in and shall receive all benefits under the Company’s welfare benefit plans and programs applicable generally to other senior executive officers of the Company in accordance with the terms of the plans, as may be amended from time to time. For the period commencing on the Effective Date until such time as Executive becomes eligible to participate in the Company’s applicable welfare benefit programs, the Company shall reimburse Executive for the monthly cost of Executive’s (and his spouse and eligible dependents) medical, dental and vision benefit coverage under COBRA provided by Executive’s prior employer, plus an additional amount, payable at least monthly, to make Executive whole with respect to any tax liabilities related to such COBRA reimbursement payments.</w:t>
      </w:r>
    </w:p>
    <w:p>
      <w:pPr>
        <w:spacing w:after="0" w:line="81" w:lineRule="exact"/>
        <w:rPr>
          <w:rFonts w:ascii="Times New Roman" w:cs="Times New Roman" w:eastAsia="Times New Roman" w:hAnsi="Times New Roman"/>
          <w:sz w:val="18"/>
          <w:szCs w:val="18"/>
          <w:color w:val="auto"/>
        </w:rPr>
      </w:pPr>
    </w:p>
    <w:p>
      <w:pPr>
        <w:jc w:val="both"/>
        <w:ind w:left="-440" w:firstLine="1102"/>
        <w:spacing w:after="0" w:line="266" w:lineRule="auto"/>
        <w:tabs>
          <w:tab w:leader="none" w:pos="99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Executive shall be reimbursed for reasonable travel and other expenses incurred in the performance of Executive’s duties on behalf of the Company in a manner consistent with the Company’s policies regarding such reimbursements, as may be in effect from time to time.</w:t>
      </w:r>
    </w:p>
    <w:p>
      <w:pPr>
        <w:spacing w:after="0" w:line="68" w:lineRule="exact"/>
        <w:rPr>
          <w:rFonts w:ascii="Times New Roman" w:cs="Times New Roman" w:eastAsia="Times New Roman" w:hAnsi="Times New Roman"/>
          <w:sz w:val="18"/>
          <w:szCs w:val="18"/>
          <w:color w:val="auto"/>
        </w:rPr>
      </w:pPr>
    </w:p>
    <w:p>
      <w:pPr>
        <w:jc w:val="both"/>
        <w:ind w:left="-440" w:firstLine="1102"/>
        <w:spacing w:after="0" w:line="261" w:lineRule="auto"/>
        <w:tabs>
          <w:tab w:leader="none" w:pos="985"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Executive shall be reimbursed for (i) reasonable, documented temporary living and moving expenses, and automobile expenses incurred during the Employment Period as follows: (1) up to $25,000 for calendar year 2019, (2) up to $50,000 for calendar year 2020, (3) up to $50,000 for calendar year 2021, and (4) up to $25,000 for calendar year 2022, provided that the gross amounts paid to Executive shall be in such an amount that, after taxation, the payments equal the amounts set forth in this section.</w:t>
      </w:r>
    </w:p>
    <w:p>
      <w:pPr>
        <w:spacing w:after="0" w:line="71" w:lineRule="exact"/>
        <w:rPr>
          <w:rFonts w:ascii="Times New Roman" w:cs="Times New Roman" w:eastAsia="Times New Roman" w:hAnsi="Times New Roman"/>
          <w:sz w:val="18"/>
          <w:szCs w:val="18"/>
          <w:color w:val="auto"/>
        </w:rPr>
      </w:pPr>
    </w:p>
    <w:p>
      <w:pPr>
        <w:ind w:left="-440" w:right="20" w:firstLine="1102"/>
        <w:spacing w:after="0" w:line="282" w:lineRule="auto"/>
        <w:tabs>
          <w:tab w:leader="none" w:pos="90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 Fees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Executive shall be reimbursed for all documented attorneys’ and tax advisors’ fees associated with the Executive’s review and negotiation of the terms of this Agreement and the Initial Equity documents, in an amount not to exceed $25,000 in the aggregate.</w:t>
      </w:r>
    </w:p>
    <w:p>
      <w:pPr>
        <w:spacing w:after="0" w:line="53" w:lineRule="exact"/>
        <w:rPr>
          <w:rFonts w:ascii="Times New Roman" w:cs="Times New Roman" w:eastAsia="Times New Roman" w:hAnsi="Times New Roman"/>
          <w:sz w:val="18"/>
          <w:szCs w:val="18"/>
          <w:color w:val="auto"/>
        </w:rPr>
      </w:pPr>
    </w:p>
    <w:p>
      <w:pPr>
        <w:jc w:val="both"/>
        <w:ind w:left="-440" w:firstLine="1102"/>
        <w:spacing w:after="0" w:line="266" w:lineRule="auto"/>
        <w:tabs>
          <w:tab w:leader="none" w:pos="972"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Executive shall receive such other benefits as are then customarily provided generally to the other senior officers of the Company and of its subsidiaries, as determined from time to time by the Board, including, without limitation, 4 weeks paid vacation in accordance with, and subject to increase under, the Company’s practices as in effect from time to time.</w:t>
      </w:r>
    </w:p>
    <w:p>
      <w:pPr>
        <w:spacing w:after="0" w:line="284" w:lineRule="exact"/>
        <w:rPr>
          <w:rFonts w:ascii="Times New Roman" w:cs="Times New Roman" w:eastAsia="Times New Roman" w:hAnsi="Times New Roman"/>
          <w:sz w:val="18"/>
          <w:szCs w:val="18"/>
          <w:color w:val="auto"/>
        </w:rPr>
      </w:pPr>
    </w:p>
    <w:p>
      <w:pPr>
        <w:ind w:left="180" w:hanging="180"/>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872"/>
        <w:spacing w:after="0" w:line="258" w:lineRule="auto"/>
        <w:tabs>
          <w:tab w:leader="none" w:pos="6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Executive’s employment and this Agreement may be terminated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Any reference to the date of the Executive’s Disability or death, as applicable, or the date of delivery of a notice of termination or resignation by either the Company or the Executive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constitute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unless otherwise set forth herein. Upon the termination of Executive’s employment with the Company for any reason, Executive shall be deemed to have resigned from the Board if a member at such time and all other positions with the Employer or any of its Affiliates (defined below) held by Executive as of the date immediately preceding his termination of employment.</w:t>
      </w:r>
    </w:p>
    <w:p>
      <w:pPr>
        <w:sectPr>
          <w:pgSz w:w="11900" w:h="16838" w:orient="portrait"/>
          <w:cols w:equalWidth="0" w:num="1">
            <w:col w:w="10980"/>
          </w:cols>
          <w:pgMar w:left="680" w:top="796" w:right="239" w:bottom="1440" w:gutter="0" w:footer="0" w:header="0"/>
        </w:sectPr>
      </w:pPr>
    </w:p>
    <w:bookmarkStart w:id="72" w:name="page73"/>
    <w:bookmarkEnd w:id="72"/>
    <w:p>
      <w:pPr>
        <w:jc w:val="both"/>
        <w:ind w:firstLine="872"/>
        <w:spacing w:after="0" w:line="261" w:lineRule="auto"/>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Executive’s employment ends for any reason, except as otherwise contemplated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Executive shall cease to have any rights to salary, bonus (if any) or other benefits, other than (i) the earned but unpaid portion of Executive’s Base Salary through the date of termination or resignation,</w:t>
      </w:r>
    </w:p>
    <w:p>
      <w:pPr>
        <w:jc w:val="both"/>
        <w:ind w:right="20" w:firstLine="8"/>
        <w:spacing w:after="0" w:line="250" w:lineRule="auto"/>
        <w:tabs>
          <w:tab w:leader="none" w:pos="2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long-term, or other incentive award that relates to a completed fiscal year or performance period, as applicable, and is payable (but not yet paid) on or before the date of termination or resignation, which shall be paid in accordance with the terms of such award, (iii) a lump-sum payment in respect of accrued but unused vacation days at Executive’s per-business-day Base Salary rate, (iv) any unpaid expense or other reimbursements due to Executive, and</w:t>
      </w:r>
    </w:p>
    <w:p>
      <w:pPr>
        <w:spacing w:after="0" w:line="1" w:lineRule="exact"/>
        <w:rPr>
          <w:rFonts w:ascii="Times New Roman" w:cs="Times New Roman" w:eastAsia="Times New Roman" w:hAnsi="Times New Roman"/>
          <w:sz w:val="18"/>
          <w:szCs w:val="18"/>
          <w:color w:val="auto"/>
        </w:rPr>
      </w:pPr>
    </w:p>
    <w:p>
      <w:pPr>
        <w:jc w:val="both"/>
        <w:ind w:firstLine="8"/>
        <w:spacing w:after="0" w:line="254" w:lineRule="auto"/>
        <w:tabs>
          <w:tab w:leader="none" w:pos="2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or benefits required to be paid or provided by law or under any plan, program, policy or practice of the Company, provided that Executive shall not be entitled to any payment or benefit under any Company severance plan, or any replacement or successor plan (subsections 4(b)(i)-(v),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The Accrued Benefits shall be paid as soon as administratively practicable following the Date of Termination, in accordance with Employer’s policy and applicable law, subject to all required payroll deductions and withholdings.</w:t>
      </w:r>
    </w:p>
    <w:p>
      <w:pPr>
        <w:spacing w:after="0" w:line="185"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w:t>
      </w:r>
      <w:r>
        <w:rPr>
          <w:rFonts w:ascii="Times New Roman" w:cs="Times New Roman" w:eastAsia="Times New Roman" w:hAnsi="Times New Roman"/>
          <w:sz w:val="18"/>
          <w:szCs w:val="18"/>
          <w:color w:val="auto"/>
        </w:rPr>
        <w:t>. In the event that Executive’s employment is terminated by death, then in addition to the Accrued Benefits and subject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872"/>
        <w:spacing w:after="0" w:line="276" w:lineRule="auto"/>
        <w:tabs>
          <w:tab w:leader="none" w:pos="10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beneficiaries shall be entitled to: (x) Executive’s Base Salary, at the rate in effect on the date of Executive’s death, through the end of the month in which his death occurs (excluding any amounts payable as part of the Accrued Benefits), payable within thirty (30) days after the date of Executive’s death, and (y) other benefits (other than the payment of severance) to which Executive would be entitled, that are made available to employees of the Company in general upon termination of employment under similar circumstances in accordance with applicable plans and programs of the Company; and</w:t>
      </w:r>
    </w:p>
    <w:p>
      <w:pPr>
        <w:spacing w:after="0" w:line="168" w:lineRule="exact"/>
        <w:rPr>
          <w:rFonts w:ascii="Times New Roman" w:cs="Times New Roman" w:eastAsia="Times New Roman" w:hAnsi="Times New Roman"/>
          <w:sz w:val="18"/>
          <w:szCs w:val="18"/>
          <w:color w:val="auto"/>
        </w:rPr>
      </w:pPr>
    </w:p>
    <w:p>
      <w:pPr>
        <w:jc w:val="both"/>
        <w:ind w:firstLine="872"/>
        <w:spacing w:after="0" w:line="261" w:lineRule="auto"/>
        <w:tabs>
          <w:tab w:leader="none" w:pos="11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spouse and eligible dependents, as applicable, were covered under the Employer’s medical plan or plans immediately prior to the termination of Executive’s employment, and timely elect continued coverage under such medical plan or plans pursuant to COBRA, Employer will pay Executive’s spouse monthly an amount equal to 100% of the monthly premium paid by the Executive for COBRA coverage for Executive’s spouse and dependents under the Company’s group health and dental plans until the first anniversary of the date of Executive’s death.</w:t>
      </w:r>
    </w:p>
    <w:p>
      <w:pPr>
        <w:spacing w:after="0" w:line="180"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Executive shall be entitled to select (and change, to the extent permitted under any applicable law) a beneficiary or beneficiaries to receive any compensation or benefit payable hereunder following Executive’s death by giving the Company written notice thereof. In the event of Executive’s death or of a judicial determination of his incompetence, reference in this Agreement to Executive shall be deemed to refer to his beneficiary, and if Executive shall not have designated a beneficiary, his estate or legal representative (as the case may be).</w:t>
      </w:r>
    </w:p>
    <w:p>
      <w:pPr>
        <w:spacing w:after="0" w:line="180" w:lineRule="exact"/>
        <w:rPr>
          <w:sz w:val="20"/>
          <w:szCs w:val="20"/>
          <w:color w:val="auto"/>
        </w:rPr>
      </w:pPr>
    </w:p>
    <w:p>
      <w:pPr>
        <w:jc w:val="both"/>
        <w:ind w:firstLine="872"/>
        <w:spacing w:after="0" w:line="266" w:lineRule="auto"/>
        <w:tabs>
          <w:tab w:leader="none" w:pos="11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xml:space="preserve">. In the event that Executive’s employment is terminated by the Employer or Executive due to Executive’s Disability, such termination to be effective 30 days after delivery of written notice thereof, then in addition to the Accrued Benefits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Executive’s continuing compliance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jc w:val="both"/>
        <w:ind w:firstLine="872"/>
        <w:spacing w:after="0" w:line="266" w:lineRule="auto"/>
        <w:tabs>
          <w:tab w:leader="none" w:pos="10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Executive is not eligible to receive benefits following the Date of Termination under the Company’s long-term disability plan and any supplement thereto the Company shall pay Executive an amount equal to 50% of Base Salary, payable in a lump sum on the first payroll date that occurs after the 55th day following the effective date of his termination; and</w:t>
      </w:r>
    </w:p>
    <w:p>
      <w:pPr>
        <w:spacing w:after="0" w:line="176" w:lineRule="exact"/>
        <w:rPr>
          <w:rFonts w:ascii="Times New Roman" w:cs="Times New Roman" w:eastAsia="Times New Roman" w:hAnsi="Times New Roman"/>
          <w:sz w:val="18"/>
          <w:szCs w:val="18"/>
          <w:color w:val="auto"/>
        </w:rPr>
      </w:pPr>
    </w:p>
    <w:p>
      <w:pPr>
        <w:jc w:val="both"/>
        <w:ind w:firstLine="872"/>
        <w:spacing w:after="0" w:line="266" w:lineRule="auto"/>
        <w:tabs>
          <w:tab w:leader="none" w:pos="113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Executive receives equivalent coverage in benefits, for a period up to twelve months, the Company (or its successor-in-interest) shall pay Executive monthly an amount equal to 100% of the monthly premium paid by the Executive for COBRA coverage elected by Executive (as may be applicable to Executive, Executive’s spouse and dependents) under the Company’s group health and dental plans.</w:t>
      </w:r>
    </w:p>
    <w:p>
      <w:pPr>
        <w:spacing w:after="0" w:line="190" w:lineRule="exact"/>
        <w:rPr>
          <w:sz w:val="20"/>
          <w:szCs w:val="20"/>
          <w:color w:val="auto"/>
        </w:rPr>
      </w:pPr>
    </w:p>
    <w:p>
      <w:pPr>
        <w:ind w:firstLine="872"/>
        <w:spacing w:after="0" w:line="298" w:lineRule="auto"/>
        <w:tabs>
          <w:tab w:leader="none" w:pos="11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In the event that Executive’s employment is terminated by the Employer for Cause, Executive will be entitled to the Accrued Benefits.</w:t>
      </w:r>
    </w:p>
    <w:p>
      <w:pPr>
        <w:spacing w:after="0" w:line="147" w:lineRule="exact"/>
        <w:rPr>
          <w:rFonts w:ascii="Times New Roman" w:cs="Times New Roman" w:eastAsia="Times New Roman" w:hAnsi="Times New Roman"/>
          <w:sz w:val="18"/>
          <w:szCs w:val="18"/>
          <w:color w:val="auto"/>
        </w:rPr>
      </w:pPr>
    </w:p>
    <w:p>
      <w:pPr>
        <w:ind w:firstLine="872"/>
        <w:spacing w:after="0" w:line="282" w:lineRule="auto"/>
        <w:tabs>
          <w:tab w:leader="none" w:pos="10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xml:space="preserve">. If Executive’s employment hereunder shall be terminated in a manner constituting an Involuntary Termination, then in addition to the Accrued Benefits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Executive’s continuing compliance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w:t>
      </w:r>
    </w:p>
    <w:p>
      <w:pPr>
        <w:spacing w:after="0" w:line="53" w:lineRule="exact"/>
        <w:rPr>
          <w:rFonts w:ascii="Times New Roman" w:cs="Times New Roman" w:eastAsia="Times New Roman" w:hAnsi="Times New Roman"/>
          <w:sz w:val="18"/>
          <w:szCs w:val="18"/>
          <w:color w:val="auto"/>
        </w:rPr>
      </w:pPr>
    </w:p>
    <w:p>
      <w:pPr>
        <w:ind w:left="1320" w:hanging="218"/>
        <w:spacing w:after="0"/>
        <w:tabs>
          <w:tab w:leader="none" w:pos="13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Executive the Severance Amount (defined below); and</w:t>
      </w:r>
    </w:p>
    <w:p>
      <w:pPr>
        <w:spacing w:after="0" w:line="279" w:lineRule="exact"/>
        <w:rPr>
          <w:rFonts w:ascii="Times New Roman" w:cs="Times New Roman" w:eastAsia="Times New Roman" w:hAnsi="Times New Roman"/>
          <w:sz w:val="18"/>
          <w:szCs w:val="18"/>
          <w:color w:val="auto"/>
        </w:rPr>
      </w:pPr>
    </w:p>
    <w:p>
      <w:pPr>
        <w:jc w:val="both"/>
        <w:ind w:firstLine="1102"/>
        <w:spacing w:after="0" w:line="266" w:lineRule="auto"/>
        <w:tabs>
          <w:tab w:leader="none" w:pos="137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Executive receives equivalent coverage in benefits, for a period up to twelve (12) months, the Company (or its successor-in-interest) shall pay Executive monthly an amount such that, after taxation, the payment is sufficient to cover COBRA premiums for COBRA coverage elected by Executive (as may be applicable to Executive, Executive’s spouse and dependents) under the Company’s group health and dental plans.</w:t>
      </w:r>
    </w:p>
    <w:p>
      <w:pPr>
        <w:sectPr>
          <w:pgSz w:w="11900" w:h="16838" w:orient="portrait"/>
          <w:cols w:equalWidth="0" w:num="1">
            <w:col w:w="11420"/>
          </w:cols>
          <w:pgMar w:left="240" w:top="796" w:right="239" w:bottom="1440" w:gutter="0" w:footer="0" w:header="0"/>
        </w:sectPr>
      </w:pPr>
    </w:p>
    <w:bookmarkStart w:id="73" w:name="page74"/>
    <w:bookmarkEnd w:id="73"/>
    <w:p>
      <w:pPr>
        <w:jc w:val="both"/>
        <w:ind w:firstLine="872"/>
        <w:spacing w:after="0" w:line="256" w:lineRule="auto"/>
        <w:tabs>
          <w:tab w:leader="none" w:pos="113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by Executive</w:t>
      </w:r>
      <w:r>
        <w:rPr>
          <w:rFonts w:ascii="Times New Roman" w:cs="Times New Roman" w:eastAsia="Times New Roman" w:hAnsi="Times New Roman"/>
          <w:sz w:val="18"/>
          <w:szCs w:val="18"/>
          <w:color w:val="auto"/>
        </w:rPr>
        <w:t>. Executive may voluntarily terminate his employment with the Company at any time with or without notice and with or without reason. Such voluntary termination by Executive shall include, without limitation, Executive’s decision not to renew this Agreement upon expiration of the Employment Period if the Company offers to renew this Agreement on economic terms and conditions at least equal to this Agreement and for a term at least equal to one year. In the event Executive voluntarily terminates his employment, Executive’s salary shall cease on the termination date and Executive will not be entitled to severance pay, pay in lieu of notice, or any other compensation other than payment of the Accrued Benefits.</w:t>
      </w:r>
    </w:p>
    <w:p>
      <w:pPr>
        <w:spacing w:after="0" w:line="187" w:lineRule="exact"/>
        <w:rPr>
          <w:rFonts w:ascii="Times New Roman" w:cs="Times New Roman" w:eastAsia="Times New Roman" w:hAnsi="Times New Roman"/>
          <w:sz w:val="18"/>
          <w:szCs w:val="18"/>
          <w:color w:val="auto"/>
        </w:rPr>
      </w:pPr>
    </w:p>
    <w:p>
      <w:pPr>
        <w:jc w:val="both"/>
        <w:ind w:firstLine="872"/>
        <w:spacing w:after="0" w:line="253" w:lineRule="auto"/>
        <w:tabs>
          <w:tab w:leader="none" w:pos="12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Excise Tax Gross-Up; Possible Reduction in Payments</w:t>
      </w:r>
      <w:r>
        <w:rPr>
          <w:rFonts w:ascii="Times New Roman" w:cs="Times New Roman" w:eastAsia="Times New Roman" w:hAnsi="Times New Roman"/>
          <w:sz w:val="18"/>
          <w:szCs w:val="18"/>
          <w:color w:val="auto"/>
        </w:rPr>
        <w:t>. Executive is not entitled to any gross-up or other payment for golden parachute excise taxes Executive may owe pursuant to Section 4999 of the Code. In the event that any amounts payable pursuant to this Agreement or other payments or benefits otherwise payable to Executive (a) constitute “parachute payments” within the meaning of Section 280G of the Code, and (b) but for this Section 4 would be subject to the excise tax imposed by Section 4999 of the Code, then such amounts payable under this Agreement and under such other plans, programs and agreements shall be either (i) delivered in full, or (ii) delivered as to such lesser extent which would result in no portion of such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benefits may be taxable under Section 4999 of the Code. Any reduction in payments and/or benefits required by this Section 4 shall occur in the following order: (1) reduction of amounts payable under Section 4(b) or other cash payments, beginning with payments scheduled to occur soonest; (2) reduction of vesting acceleration of equity awards (in reverse order of the date of the grant); and (3) reduction of other benefits paid or provided to Executive.</w:t>
      </w:r>
    </w:p>
    <w:p>
      <w:pPr>
        <w:spacing w:after="0" w:line="192" w:lineRule="exact"/>
        <w:rPr>
          <w:rFonts w:ascii="Times New Roman" w:cs="Times New Roman" w:eastAsia="Times New Roman" w:hAnsi="Times New Roman"/>
          <w:sz w:val="18"/>
          <w:szCs w:val="18"/>
          <w:color w:val="auto"/>
        </w:rPr>
      </w:pPr>
    </w:p>
    <w:p>
      <w:pPr>
        <w:jc w:val="both"/>
        <w:ind w:firstLine="872"/>
        <w:spacing w:after="0" w:line="258" w:lineRule="auto"/>
        <w:tabs>
          <w:tab w:leader="none" w:pos="107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 No Offset</w:t>
      </w:r>
      <w:r>
        <w:rPr>
          <w:rFonts w:ascii="Times New Roman" w:cs="Times New Roman" w:eastAsia="Times New Roman" w:hAnsi="Times New Roman"/>
          <w:sz w:val="18"/>
          <w:szCs w:val="18"/>
          <w:color w:val="auto"/>
        </w:rPr>
        <w:t xml:space="preserve">. In the event of any termination of employment under this Section 4, Executive shall be under no obligation to seek other employment, and except as provided in Section 4(d)(ii) or Section 4(f)(ii), he shall have no obligation to offset or repay any payments he receives under this Agreement by any payments he receives from a subsequent employer;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limiting any rights of the Company for any breach of this Agreement under law, equity or otherwise), if Executive violates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any obligation of Employer to make payments to Executive under Section 4 of this Agreement (other than the Accrued Benefits) shall immediately cease.</w:t>
      </w:r>
    </w:p>
    <w:p>
      <w:pPr>
        <w:spacing w:after="0" w:line="183" w:lineRule="exact"/>
        <w:rPr>
          <w:rFonts w:ascii="Times New Roman" w:cs="Times New Roman" w:eastAsia="Times New Roman" w:hAnsi="Times New Roman"/>
          <w:sz w:val="18"/>
          <w:szCs w:val="18"/>
          <w:color w:val="auto"/>
        </w:rPr>
      </w:pPr>
    </w:p>
    <w:p>
      <w:pPr>
        <w:jc w:val="both"/>
        <w:ind w:firstLine="872"/>
        <w:spacing w:after="0" w:line="255" w:lineRule="auto"/>
        <w:tabs>
          <w:tab w:leader="none" w:pos="107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Executive’s execution of a complete and general release of any and all of his potential claims (other than for benefits and payments described in this Agreement or any other vested benefits from the Employer and/or their Affiliates) against the Employer, any of its affiliated companies, and their respective successors and any officers, employees, agents, directors, attorneys, insurers, underwriters, and assigns of the Employer or its affiliates and/or successors, in a form provided by Employer (which form shall be generally consistent with the form of severance agreement and general release then used by Employer for senior executives), and any legally required revocation period applicable to such release having expired without Executive revoking such release, is an express condition of Executive’s right to receive termination payments, severance, vesting, and other benefits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Executive shall be required to execute within 45 days after Executive’s termination of employment a general waiver and release agreement which documents the release required under this </w:t>
      </w:r>
      <w:r>
        <w:rPr>
          <w:rFonts w:ascii="Times New Roman" w:cs="Times New Roman" w:eastAsia="Times New Roman" w:hAnsi="Times New Roman"/>
          <w:sz w:val="18"/>
          <w:szCs w:val="18"/>
          <w:u w:val="single" w:color="auto"/>
          <w:color w:val="auto"/>
        </w:rPr>
        <w:t>Section 4(j)</w:t>
      </w:r>
      <w:r>
        <w:rPr>
          <w:rFonts w:ascii="Times New Roman" w:cs="Times New Roman" w:eastAsia="Times New Roman" w:hAnsi="Times New Roman"/>
          <w:sz w:val="18"/>
          <w:szCs w:val="18"/>
          <w:color w:val="auto"/>
        </w:rPr>
        <w:t>.</w:t>
      </w:r>
    </w:p>
    <w:p>
      <w:pPr>
        <w:spacing w:after="0" w:line="293" w:lineRule="exact"/>
        <w:rPr>
          <w:rFonts w:ascii="Times New Roman" w:cs="Times New Roman" w:eastAsia="Times New Roman" w:hAnsi="Times New Roman"/>
          <w:sz w:val="18"/>
          <w:szCs w:val="18"/>
          <w:color w:val="auto"/>
        </w:rPr>
      </w:pPr>
    </w:p>
    <w:p>
      <w:pPr>
        <w:ind w:left="620" w:hanging="180"/>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 shall mean the occurrence of any one of the following, as determined by an express resolution of the independent members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w:t>
      </w:r>
    </w:p>
    <w:p>
      <w:pPr>
        <w:spacing w:after="0" w:line="98" w:lineRule="exact"/>
        <w:rPr>
          <w:rFonts w:ascii="Times New Roman" w:cs="Times New Roman" w:eastAsia="Times New Roman" w:hAnsi="Times New Roman"/>
          <w:sz w:val="18"/>
          <w:szCs w:val="18"/>
          <w:color w:val="auto"/>
        </w:rPr>
      </w:pPr>
    </w:p>
    <w:p>
      <w:pPr>
        <w:jc w:val="both"/>
        <w:ind w:left="660" w:firstLine="428"/>
        <w:spacing w:after="0" w:line="266" w:lineRule="auto"/>
        <w:tabs>
          <w:tab w:leader="none" w:pos="1325"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or willful misconduct in the performance of the material duties and services required for Executive’s position with the Company, which neglect or misconduct, if remediable, remains unremedied for thirty (30) days following written notice of such by the Company to Executive;</w:t>
      </w:r>
    </w:p>
    <w:p>
      <w:pPr>
        <w:spacing w:after="0" w:line="122" w:lineRule="exact"/>
        <w:rPr>
          <w:rFonts w:ascii="Times New Roman" w:cs="Times New Roman" w:eastAsia="Times New Roman" w:hAnsi="Times New Roman"/>
          <w:sz w:val="18"/>
          <w:szCs w:val="18"/>
          <w:color w:val="auto"/>
        </w:rPr>
      </w:pPr>
    </w:p>
    <w:p>
      <w:pPr>
        <w:ind w:left="1360" w:hanging="272"/>
        <w:spacing w:after="0"/>
        <w:tabs>
          <w:tab w:leader="none" w:pos="13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or plea of nolo contendere for any crime involving moral turpitude or a felony;</w:t>
      </w:r>
    </w:p>
    <w:p>
      <w:pPr>
        <w:spacing w:after="0" w:line="117" w:lineRule="exact"/>
        <w:rPr>
          <w:rFonts w:ascii="Times New Roman" w:cs="Times New Roman" w:eastAsia="Times New Roman" w:hAnsi="Times New Roman"/>
          <w:sz w:val="18"/>
          <w:szCs w:val="18"/>
          <w:color w:val="auto"/>
        </w:rPr>
      </w:pPr>
    </w:p>
    <w:p>
      <w:pPr>
        <w:ind w:left="660" w:firstLine="428"/>
        <w:spacing w:after="0" w:line="282" w:lineRule="auto"/>
        <w:tabs>
          <w:tab w:leader="none" w:pos="1407"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an act of deceit or fraud intended to result in personal and unauthorized enrichment of Executive at the expense of the Company or any of its affiliates; or</w:t>
      </w:r>
    </w:p>
    <w:p>
      <w:pPr>
        <w:spacing w:after="0" w:line="53" w:lineRule="exact"/>
        <w:rPr>
          <w:rFonts w:ascii="Times New Roman" w:cs="Times New Roman" w:eastAsia="Times New Roman" w:hAnsi="Times New Roman"/>
          <w:sz w:val="18"/>
          <w:szCs w:val="18"/>
          <w:color w:val="auto"/>
        </w:rPr>
      </w:pPr>
    </w:p>
    <w:p>
      <w:pPr>
        <w:jc w:val="both"/>
        <w:ind w:left="660" w:firstLine="428"/>
        <w:spacing w:after="0" w:line="261" w:lineRule="auto"/>
        <w:tabs>
          <w:tab w:leader="none" w:pos="1416"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willful and material violation of the written policies of the Company or any of its affiliates as in effect from time to time, Executive’s willful breach of a material obligation of Executive to the Company pursuant to Executive’s duties and obligations under the Company’s Bylaws, or Executive’s willful and material breach of a material obligation of Executive to the Company or any of its affiliates pursuant to this Agreement or any written award or other written agreement between Executive and the Company or any of its affiliates.</w:t>
      </w:r>
    </w:p>
    <w:p>
      <w:pPr>
        <w:spacing w:after="0" w:line="18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auto"/>
        </w:rPr>
        <w:t>Section 5(a)(iv)</w:t>
      </w:r>
      <w:r>
        <w:rPr>
          <w:rFonts w:ascii="Times New Roman" w:cs="Times New Roman" w:eastAsia="Times New Roman" w:hAnsi="Times New Roman"/>
          <w:sz w:val="18"/>
          <w:szCs w:val="18"/>
          <w:color w:val="auto"/>
        </w:rPr>
        <w:t>, no act or failure to act, on the part of the Executive, shall be considered “willful” unless it is done, or omitted to be done, by the Executive in bad faith or without reasonable belief that the Executive’s action or omission</w:t>
      </w:r>
    </w:p>
    <w:p>
      <w:pPr>
        <w:sectPr>
          <w:pgSz w:w="11900" w:h="16838" w:orient="portrait"/>
          <w:cols w:equalWidth="0" w:num="1">
            <w:col w:w="11420"/>
          </w:cols>
          <w:pgMar w:left="240" w:top="796" w:right="2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was in the best interests of the Employer; and provided further that no act or omission by the Executive shall constitute Cause hereunder unless the Employer has given written notice thereof to the Executive, and the Executive has failed to remedy such act or omission for thirty (30) days following written notice. By way of clarification, but not limitation, for purposes of this definition of the term Cause, materiality shall be determined relative to this Agreement and Executive’s employment, rather than the financial status of the Company as a whole.</w:t>
      </w:r>
    </w:p>
    <w:p>
      <w:pPr>
        <w:spacing w:after="0" w:line="180" w:lineRule="exact"/>
        <w:rPr>
          <w:sz w:val="20"/>
          <w:szCs w:val="20"/>
          <w:color w:val="auto"/>
        </w:rPr>
      </w:pPr>
    </w:p>
    <w:p>
      <w:pPr>
        <w:ind w:left="1120" w:hanging="248"/>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upon the occurrence of:</w:t>
      </w:r>
    </w:p>
    <w:p>
      <w:pPr>
        <w:spacing w:after="0" w:line="117" w:lineRule="exact"/>
        <w:rPr>
          <w:rFonts w:ascii="Times New Roman" w:cs="Times New Roman" w:eastAsia="Times New Roman" w:hAnsi="Times New Roman"/>
          <w:sz w:val="18"/>
          <w:szCs w:val="18"/>
          <w:color w:val="auto"/>
        </w:rPr>
      </w:pPr>
    </w:p>
    <w:p>
      <w:pPr>
        <w:jc w:val="both"/>
        <w:ind w:firstLine="1102"/>
        <w:spacing w:after="0" w:line="254" w:lineRule="auto"/>
        <w:tabs>
          <w:tab w:leader="none" w:pos="132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Exchange Act) of 50% or more of either (x) the then outstanding shares of common stock of the Company (the “</w:t>
      </w:r>
      <w:r>
        <w:rPr>
          <w:rFonts w:ascii="Times New Roman" w:cs="Times New Roman" w:eastAsia="Times New Roman" w:hAnsi="Times New Roman"/>
          <w:sz w:val="18"/>
          <w:szCs w:val="18"/>
          <w:u w:val="single" w:color="auto"/>
          <w:color w:val="auto"/>
        </w:rPr>
        <w:t>Outstanding Company Common Stock</w:t>
      </w:r>
      <w:r>
        <w:rPr>
          <w:rFonts w:ascii="Times New Roman" w:cs="Times New Roman" w:eastAsia="Times New Roman" w:hAnsi="Times New Roman"/>
          <w:sz w:val="18"/>
          <w:szCs w:val="18"/>
          <w:color w:val="auto"/>
        </w:rPr>
        <w:t>”) or (y)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provided, however, that for purposes of this subsection (i),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(D) any acquisition by any corporation pursuant to a transaction which complies with clauses (A) or (B) of paragraph (iv) below, or (E) any acquisition by a Founding Member (as defined in the National CineMedia, LLC Third Amended and Restated Limited Liability Operating Agreement, dated as of February 13, 2007); or</w:t>
      </w:r>
    </w:p>
    <w:p>
      <w:pPr>
        <w:spacing w:after="0" w:line="81" w:lineRule="exact"/>
        <w:rPr>
          <w:rFonts w:ascii="Times New Roman" w:cs="Times New Roman" w:eastAsia="Times New Roman" w:hAnsi="Times New Roman"/>
          <w:sz w:val="18"/>
          <w:szCs w:val="18"/>
          <w:color w:val="auto"/>
        </w:rPr>
      </w:pPr>
    </w:p>
    <w:p>
      <w:pPr>
        <w:jc w:val="both"/>
        <w:ind w:firstLine="1102"/>
        <w:spacing w:after="0" w:line="266" w:lineRule="auto"/>
        <w:tabs>
          <w:tab w:leader="none" w:pos="137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other than a Founding Member, of the right to (A) elect or (B) nominate for election or (C) designate for nomination pursuant to a Director Designation Agreement dated February 13, 2007 among the Company and the Founding Members, a majority of the members of the Company’s Board;</w:t>
      </w:r>
    </w:p>
    <w:p>
      <w:pPr>
        <w:spacing w:after="0" w:line="68" w:lineRule="exact"/>
        <w:rPr>
          <w:rFonts w:ascii="Times New Roman" w:cs="Times New Roman" w:eastAsia="Times New Roman" w:hAnsi="Times New Roman"/>
          <w:sz w:val="18"/>
          <w:szCs w:val="18"/>
          <w:color w:val="auto"/>
        </w:rPr>
      </w:pPr>
    </w:p>
    <w:p>
      <w:pPr>
        <w:ind w:left="1420" w:hanging="318"/>
        <w:spacing w:after="0"/>
        <w:tabs>
          <w:tab w:leader="none" w:pos="14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other than the Company or a Founding Member, of beneficial ownership of more than 50% of the Units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NCM LLC; or</w:t>
      </w:r>
    </w:p>
    <w:p>
      <w:pPr>
        <w:spacing w:after="0" w:line="98" w:lineRule="exact"/>
        <w:rPr>
          <w:rFonts w:ascii="Times New Roman" w:cs="Times New Roman" w:eastAsia="Times New Roman" w:hAnsi="Times New Roman"/>
          <w:sz w:val="18"/>
          <w:szCs w:val="18"/>
          <w:color w:val="auto"/>
        </w:rPr>
      </w:pPr>
    </w:p>
    <w:p>
      <w:pPr>
        <w:jc w:val="both"/>
        <w:ind w:firstLine="1102"/>
        <w:spacing w:after="0" w:line="261" w:lineRule="auto"/>
        <w:tabs>
          <w:tab w:leader="none" w:pos="142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or sale or other disposition of all or substantially all of the assets of the Company or an acquisition of assets of another corporation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w:t>
      </w:r>
    </w:p>
    <w:p>
      <w:pPr>
        <w:jc w:val="both"/>
        <w:ind w:firstLine="8"/>
        <w:spacing w:after="0" w:line="251" w:lineRule="auto"/>
        <w:tabs>
          <w:tab w:leader="none" w:pos="3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(y) at least a majority of the members of the board of directors of the corporation resulting from such Business Combination were individuals who, as of the Effective Date,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provided, however, that any individual becoming a director subsequent to the Effective Date whose election, or nomination for election by the Company’s stockholders, was approved by a vote of at least a majority of the directors then comprising the Incumbent Board or was designated pursuant to a Director Designation Agreement dated February 13, 2007 among the Company and the Founding Members shall be considered as though such individual were a member of the Incumbent Board, at the time of the execution of the initial agreement, or of the action of the Board, providing for such Business Combination or (B) the Founding Members beneficially own, more than 50% of, respectively, the outstanding shares of common stock or voting power of the then outstanding voting securities entitled to vote generally in the election of directors of the corporation resulting from such Business Combination; or</w:t>
      </w:r>
    </w:p>
    <w:p>
      <w:pPr>
        <w:spacing w:after="0" w:line="84" w:lineRule="exact"/>
        <w:rPr>
          <w:rFonts w:ascii="Times New Roman" w:cs="Times New Roman" w:eastAsia="Times New Roman" w:hAnsi="Times New Roman"/>
          <w:sz w:val="18"/>
          <w:szCs w:val="18"/>
          <w:color w:val="auto"/>
        </w:rPr>
      </w:pPr>
    </w:p>
    <w:p>
      <w:pPr>
        <w:ind w:left="1360" w:hanging="258"/>
        <w:spacing w:after="0"/>
        <w:tabs>
          <w:tab w:leader="none" w:pos="13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 or</w:t>
      </w:r>
    </w:p>
    <w:p>
      <w:pPr>
        <w:spacing w:after="0" w:line="117" w:lineRule="exact"/>
        <w:rPr>
          <w:rFonts w:ascii="Times New Roman" w:cs="Times New Roman" w:eastAsia="Times New Roman" w:hAnsi="Times New Roman"/>
          <w:sz w:val="18"/>
          <w:szCs w:val="18"/>
          <w:color w:val="auto"/>
        </w:rPr>
      </w:pPr>
    </w:p>
    <w:p>
      <w:pPr>
        <w:ind w:left="1400" w:hanging="298"/>
        <w:spacing w:after="0"/>
        <w:tabs>
          <w:tab w:leader="none" w:pos="140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members of NCM LLC of a complete liquidation or dissolution of NCM LLC.</w:t>
      </w:r>
    </w:p>
    <w:p>
      <w:pPr>
        <w:spacing w:after="0" w:line="171" w:lineRule="exact"/>
        <w:rPr>
          <w:rFonts w:ascii="Times New Roman" w:cs="Times New Roman" w:eastAsia="Times New Roman" w:hAnsi="Times New Roman"/>
          <w:sz w:val="18"/>
          <w:szCs w:val="18"/>
          <w:color w:val="auto"/>
        </w:rPr>
      </w:pPr>
    </w:p>
    <w:p>
      <w:pPr>
        <w:ind w:left="1140" w:hanging="268"/>
        <w:spacing w:after="0"/>
        <w:tabs>
          <w:tab w:leader="none" w:pos="11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Period</w:t>
      </w:r>
      <w:r>
        <w:rPr>
          <w:rFonts w:ascii="Times New Roman" w:cs="Times New Roman" w:eastAsia="Times New Roman" w:hAnsi="Times New Roman"/>
          <w:sz w:val="18"/>
          <w:szCs w:val="18"/>
          <w:color w:val="auto"/>
        </w:rPr>
        <w:t>” shall mean the period beginning on the date of a Change in Control and ending twelve (12) months after the Change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w:t>
      </w:r>
    </w:p>
    <w:p>
      <w:pPr>
        <w:spacing w:after="0" w:line="206" w:lineRule="exact"/>
        <w:rPr>
          <w:rFonts w:ascii="Times New Roman" w:cs="Times New Roman" w:eastAsia="Times New Roman" w:hAnsi="Times New Roman"/>
          <w:sz w:val="18"/>
          <w:szCs w:val="18"/>
          <w:color w:val="auto"/>
        </w:rPr>
      </w:pPr>
    </w:p>
    <w:p>
      <w:pPr>
        <w:ind w:firstLine="872"/>
        <w:spacing w:after="0" w:line="282" w:lineRule="auto"/>
        <w:tabs>
          <w:tab w:leader="none" w:pos="111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the illness or other mental or physical disability of Executive, resulting in his failure to perform substantially his duties under this Agreement for a period of six or more consecutive months.</w:t>
      </w:r>
    </w:p>
    <w:p>
      <w:pPr>
        <w:spacing w:after="0" w:line="161" w:lineRule="exact"/>
        <w:rPr>
          <w:rFonts w:ascii="Times New Roman" w:cs="Times New Roman" w:eastAsia="Times New Roman" w:hAnsi="Times New Roman"/>
          <w:sz w:val="18"/>
          <w:szCs w:val="18"/>
          <w:color w:val="auto"/>
        </w:rPr>
      </w:pPr>
    </w:p>
    <w:p>
      <w:pPr>
        <w:ind w:right="200" w:firstLine="872"/>
        <w:spacing w:after="0" w:line="282" w:lineRule="auto"/>
        <w:tabs>
          <w:tab w:leader="none" w:pos="110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Executive’s voluntary resignation of employment for one or more of the following reasons occurring without Executive’s consent:</w:t>
      </w:r>
    </w:p>
    <w:p>
      <w:pPr>
        <w:spacing w:after="0" w:line="54" w:lineRule="exact"/>
        <w:rPr>
          <w:sz w:val="20"/>
          <w:szCs w:val="20"/>
          <w:color w:val="auto"/>
        </w:rPr>
      </w:pPr>
    </w:p>
    <w:p>
      <w:pPr>
        <w:ind w:left="440" w:right="80" w:firstLine="432"/>
        <w:spacing w:after="0" w:line="282" w:lineRule="auto"/>
        <w:tabs>
          <w:tab w:leader="none" w:pos="10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nature, scope or status of the Executive’s position, authorities or duties (specifically including, but not limited to, not being the Chief Executive Officer of the Company;</w:t>
      </w:r>
    </w:p>
    <w:p>
      <w:pPr>
        <w:sectPr>
          <w:pgSz w:w="11900" w:h="16838" w:orient="portrait"/>
          <w:cols w:equalWidth="0" w:num="1">
            <w:col w:w="11420"/>
          </w:cols>
          <w:pgMar w:left="240" w:top="797" w:right="239" w:bottom="1440" w:gutter="0" w:footer="0" w:header="0"/>
        </w:sectPr>
      </w:pPr>
    </w:p>
    <w:bookmarkStart w:id="75" w:name="page76"/>
    <w:bookmarkEnd w:id="75"/>
    <w:p>
      <w:pPr>
        <w:ind w:left="1140" w:hanging="268"/>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annual salary or Target Bonus;</w:t>
      </w:r>
    </w:p>
    <w:p>
      <w:pPr>
        <w:spacing w:after="0" w:line="117" w:lineRule="exact"/>
        <w:rPr>
          <w:rFonts w:ascii="Times New Roman" w:cs="Times New Roman" w:eastAsia="Times New Roman" w:hAnsi="Times New Roman"/>
          <w:sz w:val="18"/>
          <w:szCs w:val="18"/>
          <w:color w:val="auto"/>
        </w:rPr>
      </w:pPr>
    </w:p>
    <w:p>
      <w:pPr>
        <w:ind w:left="440" w:right="700" w:firstLine="432"/>
        <w:spacing w:after="0" w:line="282" w:lineRule="auto"/>
        <w:tabs>
          <w:tab w:leader="none" w:pos="11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the Executive’s primary place of employment of more than thirty-five (35) miles from the Executive’s primary place of employment immediately following the Effective Date;</w:t>
      </w:r>
    </w:p>
    <w:p>
      <w:pPr>
        <w:spacing w:after="0" w:line="53" w:lineRule="exact"/>
        <w:rPr>
          <w:rFonts w:ascii="Times New Roman" w:cs="Times New Roman" w:eastAsia="Times New Roman" w:hAnsi="Times New Roman"/>
          <w:sz w:val="18"/>
          <w:szCs w:val="18"/>
          <w:color w:val="auto"/>
        </w:rPr>
      </w:pPr>
    </w:p>
    <w:p>
      <w:pPr>
        <w:ind w:left="1180" w:hanging="308"/>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 acquirer to assume this Agreement at the time of the Change of Control; or</w:t>
      </w:r>
    </w:p>
    <w:p>
      <w:pPr>
        <w:spacing w:after="0" w:line="117"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its successor, of this Agreement.</w:t>
      </w:r>
    </w:p>
    <w:p>
      <w:pPr>
        <w:spacing w:after="0" w:line="2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prior to the Executive’s voluntary resignation for Good Reason, the Executive must give the Company written notice of the existence of any condition set forth in clause (i) - (v) above within 30 days of such initial existence and the Company shall have 30 days from the date of such notice in which to cure the condition giving rise to Good Reason, if curable. If, during such 30-day period, the Company cures the condition giving rise to Good Reason, no benefits shall be due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with respect to such occurrence. If, during such 30-day period, the Company fails or refuses to cure the condition giving rise to Good Reason and it is determined such Good Reason does exist, the Executive shall be entitled to benefits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upon such Termination; provided such Termination occurs within one hundred eighty (180) days of such initial existence of the applicable condition, but not later than the end of the Employment Period.</w:t>
      </w:r>
    </w:p>
    <w:p>
      <w:pPr>
        <w:spacing w:after="0" w:line="189" w:lineRule="exact"/>
        <w:rPr>
          <w:sz w:val="20"/>
          <w:szCs w:val="20"/>
          <w:color w:val="auto"/>
        </w:rPr>
      </w:pPr>
    </w:p>
    <w:p>
      <w:pPr>
        <w:ind w:left="1100" w:hanging="228"/>
        <w:spacing w:after="0"/>
        <w:tabs>
          <w:tab w:leader="none" w:pos="11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shall mean a termination during the Employment Period either:</w:t>
      </w:r>
    </w:p>
    <w:p>
      <w:pPr>
        <w:spacing w:after="0" w:line="117" w:lineRule="exact"/>
        <w:rPr>
          <w:rFonts w:ascii="Times New Roman" w:cs="Times New Roman" w:eastAsia="Times New Roman" w:hAnsi="Times New Roman"/>
          <w:sz w:val="18"/>
          <w:szCs w:val="18"/>
          <w:color w:val="auto"/>
        </w:rPr>
      </w:pPr>
    </w:p>
    <w:p>
      <w:pPr>
        <w:ind w:left="1320" w:hanging="218"/>
        <w:spacing w:after="0"/>
        <w:tabs>
          <w:tab w:leader="none" w:pos="13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its Affiliates or successors, other than a termination for Cause;</w:t>
      </w:r>
    </w:p>
    <w:p>
      <w:pPr>
        <w:spacing w:after="0" w:line="117" w:lineRule="exact"/>
        <w:rPr>
          <w:rFonts w:ascii="Times New Roman" w:cs="Times New Roman" w:eastAsia="Times New Roman" w:hAnsi="Times New Roman"/>
          <w:sz w:val="18"/>
          <w:szCs w:val="18"/>
          <w:color w:val="auto"/>
        </w:rPr>
      </w:pPr>
    </w:p>
    <w:p>
      <w:pPr>
        <w:ind w:left="1360" w:hanging="258"/>
        <w:spacing w:after="0"/>
        <w:tabs>
          <w:tab w:leader="none" w:pos="13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Executive for Good Reason; or</w:t>
      </w:r>
    </w:p>
    <w:p>
      <w:pPr>
        <w:spacing w:after="0" w:line="117" w:lineRule="exact"/>
        <w:rPr>
          <w:rFonts w:ascii="Times New Roman" w:cs="Times New Roman" w:eastAsia="Times New Roman" w:hAnsi="Times New Roman"/>
          <w:sz w:val="18"/>
          <w:szCs w:val="18"/>
          <w:color w:val="auto"/>
        </w:rPr>
      </w:pPr>
    </w:p>
    <w:p>
      <w:pPr>
        <w:ind w:firstLine="1102"/>
        <w:spacing w:after="0" w:line="282" w:lineRule="auto"/>
        <w:tabs>
          <w:tab w:leader="none" w:pos="141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the Company’s refusal to renew this Agreement on economic terms and conditions at least equal to this Agreement and for a term at least equal to one year at the end of the Employment Period.</w:t>
      </w:r>
    </w:p>
    <w:p>
      <w:pPr>
        <w:spacing w:after="0" w:line="107"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shall mean:</w:t>
      </w:r>
    </w:p>
    <w:p>
      <w:pPr>
        <w:spacing w:after="0" w:line="117" w:lineRule="exact"/>
        <w:rPr>
          <w:rFonts w:ascii="Times New Roman" w:cs="Times New Roman" w:eastAsia="Times New Roman" w:hAnsi="Times New Roman"/>
          <w:sz w:val="18"/>
          <w:szCs w:val="18"/>
          <w:color w:val="auto"/>
        </w:rPr>
      </w:pPr>
    </w:p>
    <w:p>
      <w:pPr>
        <w:jc w:val="both"/>
        <w:ind w:firstLine="1102"/>
        <w:spacing w:after="0" w:line="261" w:lineRule="auto"/>
        <w:tabs>
          <w:tab w:leader="none" w:pos="132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Involuntary Termination occurring during the Employment Period and not during a Covered Period, an amount equal to 100% of Base Salary, plus 100% of Target Bonus (which amount shall be 150% of Base Salary, plus 150% of Target Bonus if such Involuntary Termination is on or within 12 months of the Effective Date), payable in equal installments within a 12-month period starting on the date of Involuntary Termination, commencing on the first payroll date that occurs after the 55th day following the date of the Involuntary Termination; or</w:t>
      </w:r>
    </w:p>
    <w:p>
      <w:pPr>
        <w:spacing w:after="0" w:line="71" w:lineRule="exact"/>
        <w:rPr>
          <w:rFonts w:ascii="Times New Roman" w:cs="Times New Roman" w:eastAsia="Times New Roman" w:hAnsi="Times New Roman"/>
          <w:sz w:val="18"/>
          <w:szCs w:val="18"/>
          <w:color w:val="auto"/>
        </w:rPr>
      </w:pPr>
    </w:p>
    <w:p>
      <w:pPr>
        <w:jc w:val="both"/>
        <w:ind w:firstLine="1102"/>
        <w:spacing w:after="0" w:line="261" w:lineRule="auto"/>
        <w:tabs>
          <w:tab w:leader="none" w:pos="136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Involuntary Termination occurring during a Covered Period, an amount equal to 200% of Base Salary, plus 200% of Target Bonus, payable in equal installments within a 12-month period starting on the date of Involuntary Termination, commencing on the first payroll date that occurs after the 55th day following the date of the Involuntary Termination, provided, however, that if the Covered Period is as a result of a Change in Control that is also a “Change in Control Event” as defined in Section 409A of the Code and the regulations thereunder, payment shall be made in a lump sum on the first payroll date that occurs after the 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following the date of the Involuntary Termination.</w:t>
      </w:r>
    </w:p>
    <w:p>
      <w:pPr>
        <w:spacing w:after="0" w:line="83" w:lineRule="exact"/>
        <w:rPr>
          <w:rFonts w:ascii="Times New Roman" w:cs="Times New Roman" w:eastAsia="Times New Roman" w:hAnsi="Times New Roman"/>
          <w:sz w:val="18"/>
          <w:szCs w:val="18"/>
          <w:color w:val="auto"/>
        </w:rPr>
      </w:pPr>
    </w:p>
    <w:p>
      <w:pPr>
        <w:jc w:val="both"/>
        <w:ind w:firstLine="440"/>
        <w:spacing w:after="0" w:line="253" w:lineRule="auto"/>
        <w:tabs>
          <w:tab w:leader="none" w:pos="6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Executive acknowledges that the Company is engaged in a highly competitive business and that the preservation of its Proprietary or Confidential Information (as defined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below) to which Executive has been exposed or acquired, and will continue to be exposed to and acquire, is critical to the Company’s continued business success. Executive also acknowledges that the Company’s relationships with its business partners hereinafter “</w:t>
      </w:r>
      <w:r>
        <w:rPr>
          <w:rFonts w:ascii="Times New Roman" w:cs="Times New Roman" w:eastAsia="Times New Roman" w:hAnsi="Times New Roman"/>
          <w:sz w:val="18"/>
          <w:szCs w:val="18"/>
          <w:u w:val="single" w:color="auto"/>
          <w:color w:val="auto"/>
        </w:rPr>
        <w:t>Business Partners</w:t>
      </w:r>
      <w:r>
        <w:rPr>
          <w:rFonts w:ascii="Times New Roman" w:cs="Times New Roman" w:eastAsia="Times New Roman" w:hAnsi="Times New Roman"/>
          <w:sz w:val="18"/>
          <w:szCs w:val="18"/>
          <w:color w:val="auto"/>
        </w:rPr>
        <w:t xml:space="preserve">” which means NCM LLC, AMC, Cinemark and Regal and all their respective Affiliates together with any chain, circuit or group (of any nature of description) of movie theaters or like venues which now or hereafter enter into business relations with the Company), are extremely valuable and that, by virtue of Executive’s employment with the Company, he may have contact with such Business Partners on behalf of and for the benefit of the Company. As a result, Executive’s engaging in or working for or with any business which is directly or indirectly competitive with the Company’s business, given Executive’s knowledge of the Company’s Proprietary or Confidential Information, would cause the Company great and irreparable harm if not done in strict compliance with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Therefore, Executive acknowledges and agrees that in consideration of all of the above and in exchange for access to the Company’s Proprietary or Confidential Information Executive will be bound by, and comply in all respects with,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For purposes of this Section 6, any references to the time period of Executive’s employment with the Company shall date back to Executive’s original hire date with the Company.</w:t>
      </w:r>
    </w:p>
    <w:p>
      <w:pPr>
        <w:spacing w:after="0" w:line="190" w:lineRule="exact"/>
        <w:rPr>
          <w:rFonts w:ascii="Times New Roman" w:cs="Times New Roman" w:eastAsia="Times New Roman" w:hAnsi="Times New Roman"/>
          <w:sz w:val="18"/>
          <w:szCs w:val="18"/>
          <w:color w:val="auto"/>
        </w:rPr>
      </w:pPr>
    </w:p>
    <w:p>
      <w:pPr>
        <w:jc w:val="both"/>
        <w:ind w:firstLine="872"/>
        <w:spacing w:after="0" w:line="256" w:lineRule="auto"/>
        <w:tabs>
          <w:tab w:leader="none" w:pos="110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Executive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(including without limitation AMC, Cinemark, Regal and NCM, LLC), except that Executive may disclose such information as required by law, court order, regulation, or similar order provided Executive shall first have notified the Company of the pendency of such proceeding and afforded the Company an opportunity to intervene</w:t>
      </w:r>
    </w:p>
    <w:p>
      <w:pPr>
        <w:sectPr>
          <w:pgSz w:w="11900" w:h="16838" w:orient="portrait"/>
          <w:cols w:equalWidth="0" w:num="1">
            <w:col w:w="11420"/>
          </w:cols>
          <w:pgMar w:left="240" w:top="688" w:right="239"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18"/>
          <w:szCs w:val="18"/>
          <w:color w:val="auto"/>
        </w:rPr>
        <w:t>and defend against disclosure. For purposes of this Agreement, the term “</w:t>
      </w:r>
      <w:r>
        <w:rPr>
          <w:rFonts w:ascii="Times New Roman" w:cs="Times New Roman" w:eastAsia="Times New Roman" w:hAnsi="Times New Roman"/>
          <w:sz w:val="18"/>
          <w:szCs w:val="18"/>
          <w:u w:val="single" w:color="auto"/>
          <w:color w:val="auto"/>
        </w:rPr>
        <w:t>Proprietary or Confidential Information</w:t>
      </w:r>
      <w:r>
        <w:rPr>
          <w:rFonts w:ascii="Times New Roman" w:cs="Times New Roman" w:eastAsia="Times New Roman" w:hAnsi="Times New Roman"/>
          <w:sz w:val="18"/>
          <w:szCs w:val="18"/>
          <w:color w:val="auto"/>
        </w:rPr>
        <w:t>” 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 was learned, discovered, developed, conceived, originated, or prepared during Executive’s employment with the Company, and the competitive use or disclosure of which would be harmful to the business prospects, financial status, or reputation of the Company or its Affiliates at the time of any disclosure by Executive.</w:t>
      </w:r>
    </w:p>
    <w:p>
      <w:pPr>
        <w:spacing w:after="0" w:line="13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relationship between Executive and the Company and its Affiliates is and shall continue to be one in which the Company and its Affiliates repose special trust and confidence in Executive, and one in which Executive has and shall have a fiduciary relationship to the Company and its Affiliates. As a result, the Company and its Affiliates shall, in the course of Executive’s duties to the Company, entrust Executive with, and disclose to Executive, Proprietary or Confidential Information. Executive recognizes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Executive acknowledges the confidentiality of Proprietary or Confidential Information and further acknowledges that Executive could not competently perform Executive’s duties and responsibilities in Executive’s position with the Company and/or its Affiliates without access to such information. Executive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Executive further acknowledges that because of this unfair competitive advantage, and the Company’s and its Affiliates’ legitimate business interests, which include their need to protect their goodwill and the Proprietary or Confidential Information, Executive has agreed to the post-employment restrictions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is intended, or shall be construed, (i) to limit the protection of any applicable law or policy of the Company or its Affiliates that relates to the protection of trade secrets or confidential or proprietary information or (ii) to limit Executive’s ability to initiate communications directly with, or to respond to any inquiry from, or provide testimony before, the SEC, FINRA, any other self-regulatory organization or any other state or federal regulatory authority.</w:t>
      </w:r>
    </w:p>
    <w:p>
      <w:pPr>
        <w:spacing w:after="0" w:line="197" w:lineRule="exact"/>
        <w:rPr>
          <w:sz w:val="20"/>
          <w:szCs w:val="20"/>
          <w:color w:val="auto"/>
        </w:rPr>
      </w:pPr>
    </w:p>
    <w:p>
      <w:pPr>
        <w:jc w:val="both"/>
        <w:ind w:firstLine="872"/>
        <w:spacing w:after="0" w:line="258" w:lineRule="auto"/>
        <w:tabs>
          <w:tab w:leader="none" w:pos="11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During Executive’s employment and for the one-year period following termination of Executive’s employment for any reason (the “</w:t>
      </w:r>
      <w:r>
        <w:rPr>
          <w:rFonts w:ascii="Times New Roman" w:cs="Times New Roman" w:eastAsia="Times New Roman" w:hAnsi="Times New Roman"/>
          <w:sz w:val="18"/>
          <w:szCs w:val="18"/>
          <w:u w:val="single" w:color="auto"/>
          <w:color w:val="auto"/>
        </w:rPr>
        <w:t>Coverage Period</w:t>
      </w:r>
      <w:r>
        <w:rPr>
          <w:rFonts w:ascii="Times New Roman" w:cs="Times New Roman" w:eastAsia="Times New Roman" w:hAnsi="Times New Roman"/>
          <w:sz w:val="18"/>
          <w:szCs w:val="18"/>
          <w:color w:val="auto"/>
        </w:rPr>
        <w:t>”), Executive hereby agrees not to, directly or indirectly, solicit, hire, seek to hire, or assist any other person or entity (on his own behalf or on behalf of such other person or entity) in soliciting or hiring any person who is at that time an employee, consultant, independent contractor, representative, or other agent of the Company or any of its Affiliates to perform services for any entity (other than the Company or its Affiliates), or attempt to induce or encourage any such employee to leave the employ of the Company or its Affiliates.</w:t>
      </w:r>
    </w:p>
    <w:p>
      <w:pPr>
        <w:spacing w:after="0" w:line="183"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1102"/>
        <w:spacing w:after="0" w:line="254" w:lineRule="auto"/>
        <w:tabs>
          <w:tab w:leader="none" w:pos="13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return for, among other things, all of the above and the Company’s promise to provide the Proprietary or Confidential Information described herein, Executive agrees that during Executive’s employment and the Coverage Period, Executive shall not compete with the Company by providing work, services or any other form of assistance (whether or not for compensation) in any capacity, whether as an employee, consultant, partner, or otherwise, to any Competitor that (1) is the same or similar to the services Executive provided to the Company or (2) creates the reasonable risk that Executive will (willfully, inadvertently or inevitably) use or disclose the Company’s Proprietary or Confidential Information. “Competitor” includes any business that operates or does business similar in nature to that of the Company during the Employment Period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Executive’s termination of employment with the Company. Executive further acknowledges and agrees that the restrictions imposed in this subparagraph (i) will not prevent Executive from earning a livelihood and that they are reasonable.</w:t>
      </w:r>
    </w:p>
    <w:p>
      <w:pPr>
        <w:spacing w:after="0" w:line="78" w:lineRule="exact"/>
        <w:rPr>
          <w:rFonts w:ascii="Times New Roman" w:cs="Times New Roman" w:eastAsia="Times New Roman" w:hAnsi="Times New Roman"/>
          <w:sz w:val="18"/>
          <w:szCs w:val="18"/>
          <w:color w:val="auto"/>
        </w:rPr>
      </w:pPr>
    </w:p>
    <w:p>
      <w:pPr>
        <w:jc w:val="both"/>
        <w:ind w:firstLine="1102"/>
        <w:spacing w:after="0" w:line="256" w:lineRule="auto"/>
        <w:tabs>
          <w:tab w:leader="none" w:pos="137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should Executive consider working for or with any actually, arguably, or potentially competing business following the termination of Executive’s employment with the Company or any of its Affiliates and during the Coverage Period, then Executive agrees to provide the Company with two (2) weeks advance written notice of Executive’s intent to do so, and also to provide the Company with accurate information concerning the nature of Executive’s anticipated job responsibilities in sufficient detail to allow the Company to meaningfully exercise its rights under this Section 6. After receipt of such notice, the Company may then agree, in its sole, absolute, and unreviewable discretion, to waive, modify, or condition its rights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 particular, the Company may agree to modify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xml:space="preserve"> if the Company concludes</w:t>
      </w:r>
    </w:p>
    <w:p>
      <w:pPr>
        <w:sectPr>
          <w:pgSz w:w="11900" w:h="16838" w:orient="portrait"/>
          <w:cols w:equalWidth="0" w:num="1">
            <w:col w:w="11420"/>
          </w:cols>
          <w:pgMar w:left="240" w:top="796" w:right="239" w:bottom="1440" w:gutter="0" w:footer="0" w:header="0"/>
        </w:sectPr>
      </w:pPr>
    </w:p>
    <w:bookmarkStart w:id="77" w:name="page78"/>
    <w:bookmarkEnd w:id="77"/>
    <w:p>
      <w:pPr>
        <w:jc w:val="both"/>
        <w:spacing w:after="0" w:line="266" w:lineRule="auto"/>
        <w:rPr>
          <w:sz w:val="20"/>
          <w:szCs w:val="20"/>
          <w:color w:val="auto"/>
        </w:rPr>
      </w:pPr>
      <w:r>
        <w:rPr>
          <w:rFonts w:ascii="Times New Roman" w:cs="Times New Roman" w:eastAsia="Times New Roman" w:hAnsi="Times New Roman"/>
          <w:sz w:val="18"/>
          <w:szCs w:val="18"/>
          <w:color w:val="auto"/>
        </w:rPr>
        <w:t>that the work Executive will be performing for a Competitor is different from the work Executive was performing during Executive’s employment with the Company or any of its Affiliates and/or (2) there is no reasonable risk that Executive will (willfully, inadvertently or inevitably) use or disclose the Company’s Proprietary or Confidential Information.</w:t>
      </w:r>
    </w:p>
    <w:p>
      <w:pPr>
        <w:spacing w:after="0" w:line="176" w:lineRule="exact"/>
        <w:rPr>
          <w:sz w:val="20"/>
          <w:szCs w:val="20"/>
          <w:color w:val="auto"/>
        </w:rPr>
      </w:pPr>
    </w:p>
    <w:p>
      <w:pPr>
        <w:jc w:val="both"/>
        <w:ind w:firstLine="872"/>
        <w:spacing w:after="0" w:line="253" w:lineRule="auto"/>
        <w:tabs>
          <w:tab w:leader="none" w:pos="11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Business Partners</w:t>
      </w:r>
      <w:r>
        <w:rPr>
          <w:rFonts w:ascii="Times New Roman" w:cs="Times New Roman" w:eastAsia="Times New Roman" w:hAnsi="Times New Roman"/>
          <w:sz w:val="18"/>
          <w:szCs w:val="18"/>
          <w:color w:val="auto"/>
        </w:rPr>
        <w:t>. Executive acknowledges that, by virtue of his employment by the Company or its Affiliates, Executive has gained or will gain knowledge of the identity, characteristics, and preferences of the Company’s Business Partners, among other Proprietary or Confidential Information, and that Executive would inevitably have to draw on such information if he were to solicit or service the Company’s Business Partners on behalf of a Competitor. Accordingly, during the Employment Period and the Coverage Period, Executive agrees not to, directly or indirectly, solicit the business of or perform any services of the type he performed or sell any products of the type he sold during his employment with the Company for or to actual or prospective Business Partners of the Company (i) as to which Executive performed services, sold products or as to which employees or persons under Executive’s supervision or authority performed such services, or had direct contact, or (ii) as to which Executive had accessed Proprietary or Confidential Information during the course of Executive’s employment by the Company, or in any manner encourage or induce any such actual or prospective Business Partner to cease doing business with or in any way interfere with the relationship between the Company and its Affiliates and such actual or prospective Business Partner. Executive further agrees that during the Employment Period and the Coverage Period, Executive will not encourage or assist any Competitor to solicit or service any actual or prospective Business Partners or otherwise seek to encourage or induce any Business Partners to cease doing business with, or reduce the extent of its business dealings with the Company.</w:t>
      </w:r>
    </w:p>
    <w:p>
      <w:pPr>
        <w:spacing w:after="0" w:line="190" w:lineRule="exact"/>
        <w:rPr>
          <w:rFonts w:ascii="Times New Roman" w:cs="Times New Roman" w:eastAsia="Times New Roman" w:hAnsi="Times New Roman"/>
          <w:sz w:val="18"/>
          <w:szCs w:val="18"/>
          <w:color w:val="auto"/>
        </w:rPr>
      </w:pPr>
    </w:p>
    <w:p>
      <w:pPr>
        <w:jc w:val="both"/>
        <w:ind w:firstLine="872"/>
        <w:spacing w:after="0" w:line="258" w:lineRule="auto"/>
        <w:tabs>
          <w:tab w:leader="none" w:pos="112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w:t>
      </w:r>
      <w:r>
        <w:rPr>
          <w:rFonts w:ascii="Times New Roman" w:cs="Times New Roman" w:eastAsia="Times New Roman" w:hAnsi="Times New Roman"/>
          <w:sz w:val="18"/>
          <w:szCs w:val="18"/>
          <w:color w:val="auto"/>
        </w:rPr>
        <w:t>. During Executive’s Employment Period and the Coverage Period, Executive agrees that Executive shall not, directly or indirectly, induce or encourage any Business Partner or other third party, including any provider of goods or services to the Company, to terminate or diminish its business relationship with the Company; nor will Executive take any other action that could, directly or indirectly, be detrimental to the Company’s relationships with its Business Partners and providers of goods or services or other business affiliates or that could otherwise interfere with the Company’s business.</w:t>
      </w:r>
    </w:p>
    <w:p>
      <w:pPr>
        <w:spacing w:after="0" w:line="183" w:lineRule="exact"/>
        <w:rPr>
          <w:rFonts w:ascii="Times New Roman" w:cs="Times New Roman" w:eastAsia="Times New Roman" w:hAnsi="Times New Roman"/>
          <w:sz w:val="18"/>
          <w:szCs w:val="18"/>
          <w:color w:val="auto"/>
        </w:rPr>
      </w:pPr>
    </w:p>
    <w:p>
      <w:pPr>
        <w:jc w:val="both"/>
        <w:ind w:firstLine="872"/>
        <w:spacing w:after="0" w:line="254" w:lineRule="auto"/>
        <w:tabs>
          <w:tab w:leader="none" w:pos="10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Executive agrees during and following the Employment Period, and the Company agrees, during and following the Employment Period to direct its executive officers and members of the Board,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Executive’s employment (or the termination thereof), the business, management, or operations of the Company or its Affiliates, as may be applicable, or otherwise, or (ii) disparages, impugns, or in any way reflects adversely upon the business or reputation of the other Party or its subsidiaries or affiliates, as may be applicable. Nothing herein, however, will be deemed to preclude either Party from providing truthful testimony or information pursuant to subpoena, court order, or similar legal process, instituting and pursuing legal action, or engaging in other legally protected speech or activities or to prevent either Party from making any disclosure required by the Exchange Act or other applicable law (including without limitation Company disclosure deemed advisable under the federal securities laws or the rules of any stock exchange).</w:t>
      </w:r>
    </w:p>
    <w:p>
      <w:pPr>
        <w:spacing w:after="0" w:line="189" w:lineRule="exact"/>
        <w:rPr>
          <w:rFonts w:ascii="Times New Roman" w:cs="Times New Roman" w:eastAsia="Times New Roman" w:hAnsi="Times New Roman"/>
          <w:sz w:val="18"/>
          <w:szCs w:val="18"/>
          <w:color w:val="auto"/>
        </w:rPr>
      </w:pPr>
    </w:p>
    <w:p>
      <w:pPr>
        <w:jc w:val="both"/>
        <w:ind w:firstLine="872"/>
        <w:spacing w:after="0" w:line="252" w:lineRule="auto"/>
        <w:tabs>
          <w:tab w:leader="none" w:pos="11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xml:space="preserve">. Executive acknowledges that the restrictions contained in this Agreement are fair, reasonable, and necessary for the protection of the legitimate business interests of the Company, that the Company will suffer irreparable harm in the event of any actual or threatened breach by Executive, and that it is difficult to measure in money the damages which will accrue to the Company by reason of a failure by Executive to perform any of Executive’s obligations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Accordingly, if the Company or any of its subsidiaries or Affiliates institutes any action or proceeding to enforce their rights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extent permitted by applicable law, Executive hereby waives the claim or defense that the Company or its Affiliates has an adequate remedy at law, Executive shall not claim that any such remedy at law exists, and Executive consents to the entry of a restraining order, preliminary injunction, or other preliminary, provisional, or permanent court order to enforce this Agreement, and expressly waives any security that might otherwise be required in connection with such relief. Executive also agrees that any request for such relief by the Company shall be in addition and without prejudice to any claim for monetary damages and/or other relief which the Company might elect to assert. In the event Executive violates any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Company is the completely prevailing party in such action, the Company shall be entitled to recover all costs and expenses of enforcement, including reasonable attorneys’ fees, and the time periods set forth above shall be extended for the period of time Executive remains in violation of the provisions. Conversely, in the event that Executive is the completely prevailing party in any action brought by the Company with respect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then Executive shall be entitled to recover all costs and expenses of defense, including reasonable attorneys’ fees and shall thereafter be relieved of all restrictions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Parties further agree that, in the event that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The length of time for which the covenants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in force shall be extended by an amount of time equal to the period of time during which a violation of such covenant is deemed by a court of competent jurisdiction to have occurred (including any period required for litigation during which the Company seeks to enforce such covenant). If, notwithstanding such provision, a court in any judicial</w:t>
      </w:r>
    </w:p>
    <w:p>
      <w:pPr>
        <w:sectPr>
          <w:pgSz w:w="11900" w:h="16838" w:orient="portrait"/>
          <w:cols w:equalWidth="0" w:num="1">
            <w:col w:w="11420"/>
          </w:cols>
          <w:pgMar w:left="240" w:top="688" w:right="239" w:bottom="1440" w:gutter="0" w:footer="0" w:header="0"/>
        </w:sectPr>
      </w:pPr>
    </w:p>
    <w:bookmarkStart w:id="78" w:name="page79"/>
    <w:bookmarkEnd w:id="78"/>
    <w:p>
      <w:pPr>
        <w:spacing w:after="0" w:line="282" w:lineRule="auto"/>
        <w:rPr>
          <w:sz w:val="20"/>
          <w:szCs w:val="20"/>
          <w:color w:val="auto"/>
        </w:rPr>
      </w:pPr>
      <w:r>
        <w:rPr>
          <w:rFonts w:ascii="Times New Roman" w:cs="Times New Roman" w:eastAsia="Times New Roman" w:hAnsi="Times New Roman"/>
          <w:sz w:val="18"/>
          <w:szCs w:val="18"/>
          <w:color w:val="auto"/>
        </w:rPr>
        <w:t>proceeding refuses to enforce any of the separate covenants included herein, the unenforceable covenant will be considered eliminated from these provisions for the purpose of those proceedings to the extent necessary to permit the remaining separate covenants to be enforced.</w:t>
      </w:r>
    </w:p>
    <w:p>
      <w:pPr>
        <w:spacing w:after="0" w:line="162" w:lineRule="exact"/>
        <w:rPr>
          <w:sz w:val="20"/>
          <w:szCs w:val="20"/>
          <w:color w:val="auto"/>
        </w:rPr>
      </w:pPr>
    </w:p>
    <w:p>
      <w:pPr>
        <w:jc w:val="both"/>
        <w:ind w:firstLine="872"/>
        <w:spacing w:after="0" w:line="253" w:lineRule="auto"/>
        <w:tabs>
          <w:tab w:leader="none" w:pos="1295"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U.S. federal law (18 U.S.C. § 1833(b)) states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That law further states that an individual who files a lawsuit for retaliation by an employer for reporting a suspected violation of law may disclose the trade secret to the attorney of the individual and use the trade secret information in the court proceeding, if the individual: (Y) files any document containing the trade secret under seal; and (Z) does not disclose the trade secret, except pursuant to court order. For the avoidance of doubt, nothing in this Agreement is intended to, nor shall be construed to, conflict with 18 U.S.C. § 1833(b). Executive understands that nothing in this Agreement or any other agreement that Executive may have with the Company or any of its Subsidiaries restricts or prohibits Executive from initiating communications directly with, responding to any inquiries from, providing testimony before, reporting possible violations of law or regulation to, filing a claim with or assisting with an investigation by a self-regulatory authority or a government agency or entity, including but not limited to the U.S. Securities and Exchange Commission and the federal Occupational Safety and Health Administration (collectively,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from making other disclosures that are protected under the whistleblower provisions of state or federal law or regulation, and the Executive does not need the Company’s prior authorization to engage in such conduct.</w:t>
      </w:r>
    </w:p>
    <w:p>
      <w:pPr>
        <w:spacing w:after="0" w:line="188" w:lineRule="exact"/>
        <w:rPr>
          <w:rFonts w:ascii="Times New Roman" w:cs="Times New Roman" w:eastAsia="Times New Roman" w:hAnsi="Times New Roman"/>
          <w:sz w:val="18"/>
          <w:szCs w:val="18"/>
          <w:color w:val="auto"/>
        </w:rPr>
      </w:pPr>
    </w:p>
    <w:p>
      <w:pPr>
        <w:ind w:firstLine="440"/>
        <w:spacing w:after="0" w:line="282" w:lineRule="auto"/>
        <w:tabs>
          <w:tab w:leader="none" w:pos="6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and such other provisions hereof as may so indicate shall survive and continue in full force and effect in accordance with their respective terms, notwithstanding any termination of the Employment Period.</w:t>
      </w:r>
    </w:p>
    <w:p>
      <w:pPr>
        <w:spacing w:after="0" w:line="161" w:lineRule="exact"/>
        <w:rPr>
          <w:rFonts w:ascii="Times New Roman" w:cs="Times New Roman" w:eastAsia="Times New Roman" w:hAnsi="Times New Roman"/>
          <w:sz w:val="18"/>
          <w:szCs w:val="18"/>
          <w:color w:val="auto"/>
        </w:rPr>
      </w:pPr>
    </w:p>
    <w:p>
      <w:pPr>
        <w:ind w:left="620" w:hanging="180"/>
        <w:spacing w:after="0"/>
        <w:tabs>
          <w:tab w:leader="none" w:pos="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provided for in this Agreement shall be in writing and shall be delivered (i) personally, (ii) by certified mail, postage prepaid,</w:t>
      </w:r>
    </w:p>
    <w:p>
      <w:pPr>
        <w:spacing w:after="0" w:line="27" w:lineRule="exact"/>
        <w:rPr>
          <w:rFonts w:ascii="Times New Roman" w:cs="Times New Roman" w:eastAsia="Times New Roman" w:hAnsi="Times New Roman"/>
          <w:sz w:val="18"/>
          <w:szCs w:val="18"/>
          <w:color w:val="auto"/>
        </w:rPr>
      </w:pPr>
    </w:p>
    <w:p>
      <w:pPr>
        <w:jc w:val="both"/>
        <w:ind w:firstLine="8"/>
        <w:spacing w:after="0" w:line="254" w:lineRule="auto"/>
        <w:tabs>
          <w:tab w:leader="none" w:pos="32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UPS, Federal Express or other reputable courier service regularly providing evidence of delivery (with charges paid by the party sending the notice), or (iv) by facsimile or a PDF or similar attachment to an email, provided that such telecopy or email attachment shall be followed within one (1) business day by delivery of such notice pursuant to clause (i), (ii) or (iii) above. Any such notice to a party shall be addressed at the address set forth below (subject to the right of a party to designate a different address for itself by notice similarly given):</w:t>
      </w:r>
    </w:p>
    <w:p>
      <w:pPr>
        <w:spacing w:after="0" w:line="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National CineMedia, Inc.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6300 S. Syracuse 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Centennial, Colorado 80111</w:t>
      </w:r>
    </w:p>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If to Executive:</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To the most recent address on file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128905</wp:posOffset>
            </wp:positionV>
            <wp:extent cx="28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13" w:lineRule="exact"/>
        <w:rPr>
          <w:sz w:val="20"/>
          <w:szCs w:val="20"/>
          <w:color w:val="auto"/>
        </w:rPr>
      </w:pPr>
    </w:p>
    <w:p>
      <w:pPr>
        <w:jc w:val="both"/>
        <w:ind w:firstLine="440"/>
        <w:spacing w:after="0" w:line="266" w:lineRule="auto"/>
        <w:tabs>
          <w:tab w:leader="none" w:pos="6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between the Parties with respect to the subject matter hereof and supersedes and preempts any prior understandings, agreements or representations by or between the Parties, written or oral, which may have related in any manner to the subject matter hereof.</w:t>
      </w:r>
    </w:p>
    <w:p>
      <w:pPr>
        <w:spacing w:after="0" w:line="176" w:lineRule="exact"/>
        <w:rPr>
          <w:rFonts w:ascii="Times New Roman" w:cs="Times New Roman" w:eastAsia="Times New Roman" w:hAnsi="Times New Roman"/>
          <w:sz w:val="18"/>
          <w:szCs w:val="18"/>
          <w:color w:val="auto"/>
        </w:rPr>
      </w:pPr>
    </w:p>
    <w:p>
      <w:pPr>
        <w:jc w:val="both"/>
        <w:ind w:firstLine="440"/>
        <w:spacing w:after="0" w:line="261" w:lineRule="auto"/>
        <w:tabs>
          <w:tab w:leader="none" w:pos="7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Executive represents and warrants that Executive is not bound by any employment contract, restrictive covenant, or other restriction preventing Executive from carrying out Executive’s responsibilities for the Employer, or which is in any way inconsistent with the terms of this Agreement. Executive further represents and warrants that Executive shall not disclose to the Employer or induce the Employer to use any confidential or proprietary information or material belonging to any previous employer or others.</w:t>
      </w:r>
    </w:p>
    <w:p>
      <w:pPr>
        <w:spacing w:after="0" w:line="180" w:lineRule="exact"/>
        <w:rPr>
          <w:rFonts w:ascii="Times New Roman" w:cs="Times New Roman" w:eastAsia="Times New Roman" w:hAnsi="Times New Roman"/>
          <w:sz w:val="18"/>
          <w:szCs w:val="18"/>
          <w:color w:val="auto"/>
        </w:rPr>
      </w:pPr>
    </w:p>
    <w:p>
      <w:pPr>
        <w:jc w:val="both"/>
        <w:ind w:firstLine="440"/>
        <w:spacing w:after="0" w:line="261" w:lineRule="auto"/>
        <w:tabs>
          <w:tab w:leader="none" w:pos="7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enforceable by Executive and his heirs, executors and personal representatives, and the Company and its successors and assigns. Any successor or assignee of the Company shall assume the liabilities of the Company hereunder, and for the avoidance of doubt, no such assignment shall be treated as a termination of Executive’s employment with the assignor for purposes of this Agreement.</w:t>
      </w:r>
    </w:p>
    <w:p>
      <w:pPr>
        <w:spacing w:after="0" w:line="180" w:lineRule="exact"/>
        <w:rPr>
          <w:rFonts w:ascii="Times New Roman" w:cs="Times New Roman" w:eastAsia="Times New Roman" w:hAnsi="Times New Roman"/>
          <w:sz w:val="18"/>
          <w:szCs w:val="18"/>
          <w:color w:val="auto"/>
        </w:rPr>
      </w:pPr>
    </w:p>
    <w:p>
      <w:pPr>
        <w:ind w:firstLine="440"/>
        <w:spacing w:after="0" w:line="282" w:lineRule="auto"/>
        <w:tabs>
          <w:tab w:leader="none" w:pos="7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Alternative Dispute Resolution</w:t>
      </w:r>
      <w:r>
        <w:rPr>
          <w:rFonts w:ascii="Times New Roman" w:cs="Times New Roman" w:eastAsia="Times New Roman" w:hAnsi="Times New Roman"/>
          <w:sz w:val="18"/>
          <w:szCs w:val="18"/>
          <w:color w:val="auto"/>
        </w:rPr>
        <w:t>. This Agreement shall be governed by the internal laws (as opposed to the conflicts of law provisions) of the State of Colorado. The Parties agree that any and all disputes, claims or controversies arising</w:t>
      </w:r>
    </w:p>
    <w:p>
      <w:pPr>
        <w:sectPr>
          <w:pgSz w:w="11900" w:h="16838" w:orient="portrait"/>
          <w:cols w:equalWidth="0" w:num="1">
            <w:col w:w="11420"/>
          </w:cols>
          <w:pgMar w:left="240" w:top="796" w:right="239" w:bottom="1440" w:gutter="0" w:footer="0" w:header="0"/>
        </w:sectPr>
      </w:pPr>
    </w:p>
    <w:bookmarkStart w:id="79" w:name="page80"/>
    <w:bookmarkEnd w:id="7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out of or relating to this Agreement or Executive’s employment, other than with respect to disputes arising out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herein, shall be submitted to arbitration in accordance with and under the auspices and the Employment Arbitration Rules of JAMS, (Denver Colorado office) or its successor. The arbitration shall take place in Denver, Colorado, unless the parties mutually agree to conduct he arbitration in a different location. The arbitrator shall be selected by the mutual agreement of the Parties. The arbitrator shall have exclusive authority to resolve any dispute relating to the interpretation, applicability, enforceability or formation of this Agreement, including but not limited to any claim that all or any part of this Agreement is void or voidable. The arbitrator shall apply the applicable statute of limitations to any claim. The arbitrator shall issue a written opinion and award, which shall be signed and dated. The arbitrator shall be permitted to award those remedies that are available under applicable law. The arbitrator’s decision regarding the claims shall be final and binding upon the Parties. The arbitrator’s award shall be enforceable in any court having jurisdiction thereof.</w:t>
      </w:r>
    </w:p>
    <w:p>
      <w:pPr>
        <w:spacing w:after="0" w:line="131" w:lineRule="exact"/>
        <w:rPr>
          <w:sz w:val="20"/>
          <w:szCs w:val="20"/>
          <w:color w:val="auto"/>
        </w:rPr>
      </w:pPr>
    </w:p>
    <w:p>
      <w:pPr>
        <w:jc w:val="both"/>
        <w:ind w:firstLine="440"/>
        <w:spacing w:after="0" w:line="266" w:lineRule="auto"/>
        <w:tabs>
          <w:tab w:leader="none" w:pos="7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The provisions of this Agreement may be amended or waived only with the prior written consent of the Company and Executive, and no course of conduct or failure or delay in enforcing the provisions of this Agreement shall affect the validity, binding effect or enforceability of this Agreement.</w:t>
      </w:r>
    </w:p>
    <w:p>
      <w:pPr>
        <w:spacing w:after="0" w:line="176" w:lineRule="exact"/>
        <w:rPr>
          <w:rFonts w:ascii="Times New Roman" w:cs="Times New Roman" w:eastAsia="Times New Roman" w:hAnsi="Times New Roman"/>
          <w:sz w:val="18"/>
          <w:szCs w:val="18"/>
          <w:color w:val="auto"/>
        </w:rPr>
      </w:pPr>
    </w:p>
    <w:p>
      <w:pPr>
        <w:ind w:right="20" w:firstLine="440"/>
        <w:spacing w:after="0" w:line="282" w:lineRule="auto"/>
        <w:tabs>
          <w:tab w:leader="none" w:pos="70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and benefits under this Agreement are subject to being reported as taxable income, if so required, and the withholding of all applicable taxes.</w:t>
      </w:r>
    </w:p>
    <w:p>
      <w:pPr>
        <w:spacing w:after="0" w:line="161" w:lineRule="exact"/>
        <w:rPr>
          <w:rFonts w:ascii="Times New Roman" w:cs="Times New Roman" w:eastAsia="Times New Roman" w:hAnsi="Times New Roman"/>
          <w:sz w:val="18"/>
          <w:szCs w:val="18"/>
          <w:color w:val="auto"/>
        </w:rPr>
      </w:pPr>
    </w:p>
    <w:p>
      <w:pPr>
        <w:jc w:val="both"/>
        <w:ind w:firstLine="440"/>
        <w:spacing w:after="0" w:line="251" w:lineRule="auto"/>
        <w:tabs>
          <w:tab w:leader="none" w:pos="7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This Agreement is intended to be exempt from, or comply with, the requirements of Section 409A of the Internal Revenue Code,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shall be interpreted and construed consistently with such intent. The payments to Executive pursuant to this Agreement are also intended to be exempt from Section 409A of the Code to the maximum extent possible, under either the separation pay exemption pursuant to Treasury regulation §1.409A-1(b)(9)(iii) or as short-term deferrals pursuant to Treasury regulation §1.409A-1(b)(4). For purposes of Section 409A of the Code,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In the event the terms of this Agreement would subject Executive to taxes or penalties under Section 409A of the Code (“</w:t>
      </w:r>
      <w:r>
        <w:rPr>
          <w:rFonts w:ascii="Times New Roman" w:cs="Times New Roman" w:eastAsia="Times New Roman" w:hAnsi="Times New Roman"/>
          <w:sz w:val="18"/>
          <w:szCs w:val="18"/>
          <w:u w:val="single" w:color="auto"/>
          <w:color w:val="auto"/>
        </w:rPr>
        <w:t>409A Penalties</w:t>
      </w:r>
      <w:r>
        <w:rPr>
          <w:rFonts w:ascii="Times New Roman" w:cs="Times New Roman" w:eastAsia="Times New Roman" w:hAnsi="Times New Roman"/>
          <w:sz w:val="18"/>
          <w:szCs w:val="18"/>
          <w:color w:val="auto"/>
        </w:rPr>
        <w:t xml:space="preserve">”), the Company and Executive shall cooperate diligently to amend the terms of the Agreement to avoid such 409A Penalties, to the extent possible. To the extent required to avoid the imposition of additional taxes and penalties under Section 409A of the Code, any amounts under this Agreement are payable by reference to Executive’s “termination of employment” such term and similar terms shall be deemed to refer to Executive’s “separation from service,” within the meaning of Section 409A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“separation from service” means a separation from service with the Company and all other persons or entities with whom the Company would be considered a single employer under Section 414(b) or 414(c) of the Code, applying the 80% threshold used in such Code sections and the Treasury Regulations thereunder, all within the meaning of Section 409A of the Code. Executive hereby agrees to be bound by the Company’s determination of its “specified employees” (as such term is defined in Section 409A of the Code) provided such determination is in accordance with any of the methods permitted under the regulations issued under Section 409A of the Code. Notwithstanding any other provision in this Agreement, to the extent any payments made or contemplated hereunder constitute nonqualified deferred compensation, within the meaning of Section 409A of the Code, then (i) each such payment which is conditioned upon Executive’s execution of a release and which is to be paid or provided during a designated period that begins in one taxable year and ends in a second taxable year, shall be paid or provided in the later of the two taxable years and (ii) if Executive is a specified employee (within the meaning of Section 409A of the Code) as of the date of Executive’s separation from service, each such payment that constitutes deferred compensation under Section 409A of the Code and is payable upon Executive’s separation from service and would have been paid prior to the six-month anniversary of Executive’s separation from service, shall be delayed until the earlier to occur of (A) the first day of the seventh month following Executive’s separation from service or (B) the date of Executive’s death. Any reimbursement payable to Executive pursuant to this Agreement shall be conditioned on the submission by Executive of all expense reports reasonably required by Employer under any applicable expense reimbursement policy, and shall be paid to Executive within 30 days following receipt of such expense reports, but in no event later than the last day of the calendar year following the calendar year in which Executive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In no event will Employer be liable for any additional tax, interest or penalties that may be imposed on Executive under Section 409A of the Code or for any damages for failing to comply with Section 409A of the Code</w:t>
      </w:r>
    </w:p>
    <w:p>
      <w:pPr>
        <w:spacing w:after="0" w:line="150" w:lineRule="exact"/>
        <w:rPr>
          <w:rFonts w:ascii="Times New Roman" w:cs="Times New Roman" w:eastAsia="Times New Roman" w:hAnsi="Times New Roman"/>
          <w:sz w:val="18"/>
          <w:szCs w:val="18"/>
          <w:color w:val="auto"/>
        </w:rPr>
      </w:pPr>
    </w:p>
    <w:p>
      <w:pPr>
        <w:jc w:val="both"/>
        <w:ind w:firstLine="440"/>
        <w:spacing w:after="0" w:line="261" w:lineRule="auto"/>
        <w:tabs>
          <w:tab w:leader="none" w:pos="70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Clawbacks</w:t>
      </w:r>
      <w:r>
        <w:rPr>
          <w:rFonts w:ascii="Times New Roman" w:cs="Times New Roman" w:eastAsia="Times New Roman" w:hAnsi="Times New Roman"/>
          <w:sz w:val="18"/>
          <w:szCs w:val="18"/>
          <w:color w:val="auto"/>
        </w:rPr>
        <w:t>. The payments to Executive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ectPr>
          <w:pgSz w:w="11900" w:h="16838" w:orient="portrait"/>
          <w:cols w:equalWidth="0" w:num="1">
            <w:col w:w="11420"/>
          </w:cols>
          <w:pgMar w:left="240" w:top="796" w:right="239" w:bottom="1440" w:gutter="0" w:footer="0" w:header="0"/>
        </w:sectPr>
      </w:pPr>
    </w:p>
    <w:bookmarkStart w:id="80" w:name="page81"/>
    <w:bookmarkEnd w:id="80"/>
    <w:p>
      <w:pPr>
        <w:ind w:left="-440" w:firstLine="440"/>
        <w:spacing w:after="0" w:line="282" w:lineRule="auto"/>
        <w:tabs>
          <w:tab w:leader="none" w:pos="26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Executive shall be subject to additional Company policies as they may exist from time-to-time, including policies with regard to stock ownership by senior executives and policies regarding trading of securities.</w:t>
      </w:r>
    </w:p>
    <w:p>
      <w:pPr>
        <w:spacing w:after="0" w:line="175" w:lineRule="exact"/>
        <w:rPr>
          <w:rFonts w:ascii="Times New Roman" w:cs="Times New Roman" w:eastAsia="Times New Roman" w:hAnsi="Times New Roman"/>
          <w:sz w:val="18"/>
          <w:szCs w:val="18"/>
          <w:color w:val="auto"/>
        </w:rPr>
      </w:pPr>
    </w:p>
    <w:p>
      <w:pPr>
        <w:jc w:val="both"/>
        <w:ind w:left="-440" w:firstLine="440"/>
        <w:spacing w:after="0" w:line="276" w:lineRule="auto"/>
        <w:tabs>
          <w:tab w:leader="none" w:pos="2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Executive to the fullest extent permitted by applicable law consistent with the Certificate of Incorporation and By-Laws of the Company as in effect on the effective date of this Agreement, or as the Certificate of Incorporation and By-Laws may be amended from time to time to provide greater indemnification, with respect to any acts or non-acts he may have committed while he was an officer, director and/or employee (i) of the Company or any subsidiary thereof, or (ii) of any other entity if his service with such entity was at the request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on the Execution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NATIONAL CINEMEDIA, INC.</w:t>
      </w:r>
    </w:p>
    <w:p>
      <w:pPr>
        <w:spacing w:after="0" w:line="283"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Clifford Marks</w:t>
            </w:r>
          </w:p>
        </w:tc>
      </w:tr>
      <w:tr>
        <w:trPr>
          <w:trHeight w:val="27"/>
        </w:trPr>
        <w:tc>
          <w:tcPr>
            <w:tcW w:w="7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Clifford Marks</w:t>
            </w: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Executive Officer and President</w:t>
            </w:r>
          </w:p>
        </w:tc>
      </w:tr>
    </w:tbl>
    <w:p>
      <w:pPr>
        <w:spacing w:after="0" w:line="24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THOMAS F. LESINKSI</w:t>
      </w:r>
    </w:p>
    <w:p>
      <w:pPr>
        <w:spacing w:after="0" w:line="28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34290</wp:posOffset>
            </wp:positionV>
            <wp:extent cx="2229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ectPr>
          <w:pgSz w:w="11900" w:h="16838" w:orient="portrait"/>
          <w:cols w:equalWidth="0" w:num="1">
            <w:col w:w="10980"/>
          </w:cols>
          <w:pgMar w:left="680" w:top="796"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b w:val="1"/>
          <w:bCs w:val="1"/>
          <w:color w:val="auto"/>
        </w:rPr>
        <w:t>NATIONAL CINEMEDIA,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STOCK OPTION AGREEMENT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Compensation Committee of the Board of Directors of National CineMedia,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granted an option under the National CineMedia, Inc. 2016 Equity Incentive Plan, as amended (the</w:t>
      </w:r>
      <w:r>
        <w:rPr>
          <w:rFonts w:ascii="Times New Roman" w:cs="Times New Roman" w:eastAsia="Times New Roman" w:hAnsi="Times New Roman"/>
          <w:sz w:val="22"/>
          <w:szCs w:val="22"/>
          <w:b w:val="1"/>
          <w:bCs w:val="1"/>
          <w:color w:val="auto"/>
        </w:rPr>
        <w:t xml:space="preserve"> “Plan”</w:t>
      </w:r>
      <w:r>
        <w:rPr>
          <w:rFonts w:ascii="Times New Roman" w:cs="Times New Roman" w:eastAsia="Times New Roman" w:hAnsi="Times New Roman"/>
          <w:sz w:val="22"/>
          <w:szCs w:val="22"/>
          <w:color w:val="auto"/>
        </w:rPr>
        <w: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shares of common stock, $0.01 par value per share, of the Company (</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xml:space="preserve">) to the Optionee named below. This Stock Option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evidences the terms of the Company’s grant of an Option to Optionee. Any capitalized term in this Agreement shall have the meaning ascribed to it in this Agreement or the Plan, as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NOTICE OF GRANT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Optionee: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Shares of Stock Covered by the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Exercise Price per Share: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Expiration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Type of Option: </w:t>
      </w:r>
      <w:r>
        <w:rPr>
          <w:rFonts w:ascii="Times New Roman" w:cs="Times New Roman" w:eastAsia="Times New Roman" w:hAnsi="Times New Roman"/>
          <w:sz w:val="22"/>
          <w:szCs w:val="22"/>
          <w:color w:val="auto"/>
        </w:rPr>
        <w:t>Non-Qualified Stock Option</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Vesting Schedule: </w:t>
      </w:r>
      <w:r>
        <w:rPr>
          <w:rFonts w:ascii="Times New Roman" w:cs="Times New Roman" w:eastAsia="Times New Roman" w:hAnsi="Times New Roman"/>
          <w:sz w:val="19"/>
          <w:szCs w:val="19"/>
          <w:color w:val="auto"/>
        </w:rPr>
        <w:t>Except as provided otherwise in this Agreement and the Plan (including but not limited to Section 14.2 of the Plan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provides for accelerated vesting upon certain terminations in connection with a Change of Control), and subject to Optionee’s continuous Service, Optionee’s right to purchase shares of Stock under this Option vests, as set forth below:</w:t>
      </w:r>
    </w:p>
    <w:p>
      <w:pPr>
        <w:spacing w:after="0" w:line="318" w:lineRule="exact"/>
        <w:rPr>
          <w:sz w:val="20"/>
          <w:szCs w:val="20"/>
          <w:color w:val="auto"/>
        </w:rPr>
      </w:pPr>
    </w:p>
    <w:tbl>
      <w:tblPr>
        <w:tblLayout w:type="fixed"/>
        <w:tblInd w:w="5480" w:type="dxa"/>
        <w:tblCellMar>
          <w:top w:w="0" w:type="dxa"/>
          <w:left w:w="0" w:type="dxa"/>
          <w:bottom w:w="0" w:type="dxa"/>
          <w:right w:w="0" w:type="dxa"/>
        </w:tblCellMar>
      </w:tblPr>
      <w:tr>
        <w:trPr>
          <w:trHeight w:val="287"/>
        </w:trPr>
        <w:tc>
          <w:tcPr>
            <w:tcW w:w="232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b w:val="1"/>
                <w:bCs w:val="1"/>
                <w:color w:val="auto"/>
              </w:rPr>
              <w:t>Percentage of Shares</w:t>
            </w:r>
          </w:p>
        </w:tc>
        <w:tc>
          <w:tcPr>
            <w:tcW w:w="4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0" w:type="dxa"/>
            <w:vAlign w:val="bottom"/>
          </w:tcPr>
          <w:p>
            <w:pPr>
              <w:spacing w:after="0"/>
              <w:rPr>
                <w:sz w:val="1"/>
                <w:szCs w:val="1"/>
                <w:color w:val="auto"/>
              </w:rPr>
            </w:pPr>
          </w:p>
        </w:tc>
      </w:tr>
      <w:tr>
        <w:trPr>
          <w:trHeight w:val="164"/>
        </w:trPr>
        <w:tc>
          <w:tcPr>
            <w:tcW w:w="232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00" w:type="dxa"/>
            <w:vAlign w:val="bottom"/>
            <w:gridSpan w:val="2"/>
          </w:tcPr>
          <w:p>
            <w:pPr>
              <w:ind w:left="560"/>
              <w:spacing w:after="0" w:line="223" w:lineRule="exact"/>
              <w:rPr>
                <w:sz w:val="20"/>
                <w:szCs w:val="20"/>
                <w:color w:val="auto"/>
              </w:rPr>
            </w:pPr>
            <w:r>
              <w:rPr>
                <w:rFonts w:ascii="Times New Roman" w:cs="Times New Roman" w:eastAsia="Times New Roman" w:hAnsi="Times New Roman"/>
                <w:sz w:val="22"/>
                <w:szCs w:val="22"/>
                <w:b w:val="1"/>
                <w:bCs w:val="1"/>
                <w:color w:val="auto"/>
                <w:w w:val="84"/>
              </w:rPr>
              <w:t>that Vest</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2"/>
          </w:tcPr>
          <w:p>
            <w:pPr>
              <w:jc w:val="center"/>
              <w:ind w:left="292"/>
              <w:spacing w:after="0" w:line="223" w:lineRule="exact"/>
              <w:rPr>
                <w:sz w:val="20"/>
                <w:szCs w:val="20"/>
                <w:color w:val="auto"/>
              </w:rPr>
            </w:pPr>
            <w:r>
              <w:rPr>
                <w:rFonts w:ascii="Times New Roman" w:cs="Times New Roman" w:eastAsia="Times New Roman" w:hAnsi="Times New Roman"/>
                <w:sz w:val="22"/>
                <w:szCs w:val="22"/>
                <w:b w:val="1"/>
                <w:bCs w:val="1"/>
                <w:color w:val="auto"/>
                <w:w w:val="96"/>
              </w:rPr>
              <w:t>Shares that Vest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u w:val="single" w:color="auto"/>
          <w:color w:val="auto"/>
        </w:rPr>
        <w:t>Service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 STOCK OPTION AGREEMENT</w:t>
      </w:r>
    </w:p>
    <w:p>
      <w:pPr>
        <w:spacing w:after="0" w:line="220" w:lineRule="exact"/>
        <w:rPr>
          <w:sz w:val="20"/>
          <w:szCs w:val="20"/>
          <w:color w:val="auto"/>
        </w:rPr>
      </w:pPr>
    </w:p>
    <w:p>
      <w:pPr>
        <w:jc w:val="both"/>
        <w:ind w:left="660" w:firstLine="645"/>
        <w:spacing w:after="0" w:line="265" w:lineRule="auto"/>
        <w:tabs>
          <w:tab w:leader="none" w:pos="209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Grant of Option. </w:t>
      </w:r>
      <w:r>
        <w:rPr>
          <w:rFonts w:ascii="Times New Roman" w:cs="Times New Roman" w:eastAsia="Times New Roman" w:hAnsi="Times New Roman"/>
          <w:sz w:val="22"/>
          <w:szCs w:val="22"/>
          <w:color w:val="auto"/>
        </w:rPr>
        <w:t>Subject to the terms and conditions of this Agreement and the Plan,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Optionee, an Option to purchase the number of shares of Stock, at the Exercise Price (each as set forth on the cover page of this Agreement), and subject to the terms and conditions</w:t>
      </w:r>
    </w:p>
    <w:p>
      <w:pPr>
        <w:sectPr>
          <w:pgSz w:w="11900" w:h="16838" w:orient="portrait"/>
          <w:cols w:equalWidth="0" w:num="1">
            <w:col w:w="11420"/>
          </w:cols>
          <w:pgMar w:left="240" w:top="581" w:right="239" w:bottom="1440" w:gutter="0" w:footer="0" w:header="0"/>
        </w:sectPr>
      </w:pPr>
    </w:p>
    <w:bookmarkStart w:id="82" w:name="page83"/>
    <w:bookmarkEnd w:id="82"/>
    <w:p>
      <w:pPr>
        <w:jc w:val="both"/>
        <w:ind w:left="660"/>
        <w:spacing w:after="0" w:line="259" w:lineRule="auto"/>
        <w:rPr>
          <w:sz w:val="20"/>
          <w:szCs w:val="20"/>
          <w:color w:val="auto"/>
        </w:rPr>
      </w:pPr>
      <w:r>
        <w:rPr>
          <w:rFonts w:ascii="Times New Roman" w:cs="Times New Roman" w:eastAsia="Times New Roman" w:hAnsi="Times New Roman"/>
          <w:sz w:val="21"/>
          <w:szCs w:val="21"/>
          <w:color w:val="auto"/>
        </w:rPr>
        <w:t>of the Plan, which is incorporated herein by reference. In the event of a conflict between the terms and conditions of the Plan and this Agreement, the terms and conditions of the Plan shall govern. Optionee hereby acknowledges and agrees that this Agreement (including without limitation the number of Shares of stock covered by the Option set forth in the Notice of Grant) and the Plan set forth the entirety of Optionee’s entitlement to the time-based stock option award referenced in Section 3(a) of the Employment Agreement by and between the Company and Optionee, dated as of August 1, 2019.</w:t>
      </w:r>
    </w:p>
    <w:p>
      <w:pPr>
        <w:spacing w:after="0" w:line="4" w:lineRule="exact"/>
        <w:rPr>
          <w:sz w:val="20"/>
          <w:szCs w:val="20"/>
          <w:color w:val="auto"/>
        </w:rPr>
      </w:pPr>
    </w:p>
    <w:p>
      <w:pPr>
        <w:ind w:left="1440" w:hanging="784"/>
        <w:spacing w:after="0"/>
        <w:tabs>
          <w:tab w:leader="none" w:pos="14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Type of Option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This Option is a Non-Qualified Stock Option.</w:t>
      </w:r>
    </w:p>
    <w:p>
      <w:pPr>
        <w:spacing w:after="0" w:line="5" w:lineRule="exact"/>
        <w:rPr>
          <w:rFonts w:ascii="Times New Roman" w:cs="Times New Roman" w:eastAsia="Times New Roman" w:hAnsi="Times New Roman"/>
          <w:sz w:val="18"/>
          <w:szCs w:val="18"/>
          <w:color w:val="auto"/>
        </w:rPr>
      </w:pPr>
    </w:p>
    <w:p>
      <w:pPr>
        <w:ind w:firstLine="656"/>
        <w:spacing w:after="0" w:line="265" w:lineRule="auto"/>
        <w:tabs>
          <w:tab w:leader="none" w:pos="143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Option is only exercisable, in whole or in part, before it expires and then only with respect to the vested portion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of the Option. Subject to the preceding sentence, Optionee may exercise this Option, by following the procedures set forth in this Agreement.</w:t>
      </w:r>
    </w:p>
    <w:p>
      <w:pPr>
        <w:jc w:val="both"/>
        <w:ind w:firstLine="648"/>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Except as provided otherwise in this Agreement and the Plan (including but not limited to Section 14.2 of the Plan which provides for accelerated vesting upon certain terminations in connection with a Change of Control), Optionee’s right to purchase shares of Stock under this Option vests as set forth on the Vesting Schedule in the Notice of Grant. </w:t>
      </w:r>
      <w:r>
        <w:rPr>
          <w:rFonts w:ascii="Times New Roman" w:cs="Times New Roman" w:eastAsia="Times New Roman" w:hAnsi="Times New Roman"/>
          <w:sz w:val="21"/>
          <w:szCs w:val="21"/>
          <w:color w:val="auto"/>
        </w:rPr>
        <w:t>No additional shares will vest after Optionee’s termination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Service for any reason.</w:t>
      </w:r>
    </w:p>
    <w:p>
      <w:pPr>
        <w:spacing w:after="0" w:line="154" w:lineRule="exact"/>
        <w:rPr>
          <w:rFonts w:ascii="Times New Roman" w:cs="Times New Roman" w:eastAsia="Times New Roman" w:hAnsi="Times New Roman"/>
          <w:sz w:val="18"/>
          <w:szCs w:val="18"/>
          <w:color w:val="auto"/>
        </w:rPr>
      </w:pPr>
    </w:p>
    <w:p>
      <w:pPr>
        <w:jc w:val="both"/>
        <w:ind w:left="660" w:firstLine="645"/>
        <w:spacing w:after="0" w:line="269" w:lineRule="auto"/>
        <w:tabs>
          <w:tab w:leader="none" w:pos="20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Option Term; Expiration Date. </w:t>
      </w:r>
      <w:r>
        <w:rPr>
          <w:rFonts w:ascii="Times New Roman" w:cs="Times New Roman" w:eastAsia="Times New Roman" w:hAnsi="Times New Roman"/>
          <w:sz w:val="20"/>
          <w:szCs w:val="20"/>
          <w:color w:val="auto"/>
        </w:rPr>
        <w:t>This Option shall have a maximum term of ten (10) years measured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original Grant Date (as set forth in the table on the cover sheet of this Agreement) and shall accordingly expire at the close of business at Company headquarters on the tenth anniversary of the Grant Date, unless sooner terminated in accordance with Section 5 of this Agreement (the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firstLine="656"/>
        <w:spacing w:after="0" w:line="258" w:lineRule="auto"/>
        <w:tabs>
          <w:tab w:leader="none" w:pos="1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Termination of Service; Expiration of Option</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Optionee terminates Service with the Company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prior to the Expiration Date, the following shall apply:</w:t>
      </w:r>
    </w:p>
    <w:p>
      <w:pPr>
        <w:jc w:val="both"/>
        <w:ind w:firstLine="1305"/>
        <w:spacing w:after="0" w:line="233" w:lineRule="auto"/>
        <w:tabs>
          <w:tab w:leader="none" w:pos="21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By the Company Without Cause or By Optionee</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Optionee’s Service is terminated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its Affiliate without Cause or Optionee terminates Service, then the vested portion of the Option will expire at the close of business at Company headquarters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Optionee terminates Service, but in no event after the Expiration Date. The unvested portion of the Option automatically expires on the date of termination of Service. Section 14.2 of the Plan provides for accelerated vesting upon certain conditions in connection with a Change of Control.</w:t>
      </w:r>
    </w:p>
    <w:p>
      <w:pPr>
        <w:spacing w:after="0" w:line="1" w:lineRule="exact"/>
        <w:rPr>
          <w:rFonts w:ascii="Times New Roman" w:cs="Times New Roman" w:eastAsia="Times New Roman" w:hAnsi="Times New Roman"/>
          <w:sz w:val="18"/>
          <w:szCs w:val="18"/>
          <w:color w:val="auto"/>
        </w:rPr>
      </w:pPr>
    </w:p>
    <w:p>
      <w:pPr>
        <w:jc w:val="both"/>
        <w:ind w:firstLine="1305"/>
        <w:spacing w:after="0" w:line="247" w:lineRule="auto"/>
        <w:tabs>
          <w:tab w:leader="none" w:pos="215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Termination for Cause. </w:t>
      </w:r>
      <w:r>
        <w:rPr>
          <w:rFonts w:ascii="Times New Roman" w:cs="Times New Roman" w:eastAsia="Times New Roman" w:hAnsi="Times New Roman"/>
          <w:sz w:val="22"/>
          <w:szCs w:val="22"/>
          <w:color w:val="auto"/>
        </w:rPr>
        <w:t>If Optionee’s Service is terminated by the Company or an Affiliate for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then Optionee shall immediately forfeit all rights to the Option (whether or not vested) and the Option shall immediately expire on the date of termination of Service.</w:t>
      </w:r>
    </w:p>
    <w:p>
      <w:pPr>
        <w:spacing w:after="0" w:line="2" w:lineRule="exact"/>
        <w:rPr>
          <w:rFonts w:ascii="Times New Roman" w:cs="Times New Roman" w:eastAsia="Times New Roman" w:hAnsi="Times New Roman"/>
          <w:sz w:val="18"/>
          <w:szCs w:val="18"/>
          <w:color w:val="auto"/>
        </w:rPr>
      </w:pPr>
    </w:p>
    <w:p>
      <w:pPr>
        <w:jc w:val="both"/>
        <w:ind w:firstLine="1305"/>
        <w:spacing w:after="0" w:line="246" w:lineRule="auto"/>
        <w:tabs>
          <w:tab w:leader="none" w:pos="21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Optionee terminates Service because of Optionee’s Disability, then the vested portion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will expire at the close of business at Company headquarters on the date twelve (12) months after Optionee’s termination of Service, but in no event after the Expiration Date. The unvested portion of the Option automatically expires on the date of termination of Service.</w:t>
      </w:r>
    </w:p>
    <w:p>
      <w:pPr>
        <w:spacing w:after="0" w:line="2" w:lineRule="exact"/>
        <w:rPr>
          <w:rFonts w:ascii="Times New Roman" w:cs="Times New Roman" w:eastAsia="Times New Roman" w:hAnsi="Times New Roman"/>
          <w:sz w:val="18"/>
          <w:szCs w:val="18"/>
          <w:color w:val="auto"/>
        </w:rPr>
      </w:pPr>
    </w:p>
    <w:p>
      <w:pPr>
        <w:jc w:val="both"/>
        <w:ind w:firstLine="1305"/>
        <w:spacing w:after="0" w:line="245" w:lineRule="auto"/>
        <w:tabs>
          <w:tab w:leader="none" w:pos="215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Optionee terminates Service because of Optionee’s death, then the vested portion of the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expire at the close of business at Company headquarters on the date twelve (12) months after the date of death, but in no event after the Expiration Date. During that twelve (12) month period, Optionee’s estate or heirs may exercise the vested portion of the Option. The unvested portion of the Option automatically expires on the date of termination of Service. In addition, if Optionee dies during the 90-day period described in subsection 5(a), and a vested portion of the Option has not yet been exercised, then the vested portion of the Option will instead expire on the date twelve (12) months after Optionee’s termination of Service, but in no event after the Expiration Date. In such a case, during the period following Optionee’s death up to the date twelve (12) months after termination of Service, Optionee’s estate or heirs may exercise the vested portion of the Option.</w:t>
      </w:r>
    </w:p>
    <w:p>
      <w:pPr>
        <w:jc w:val="both"/>
        <w:ind w:firstLine="656"/>
        <w:spacing w:after="0" w:line="247" w:lineRule="auto"/>
        <w:tabs>
          <w:tab w:leader="none" w:pos="1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Leave of Absence. </w:t>
      </w:r>
      <w:r>
        <w:rPr>
          <w:rFonts w:ascii="Times New Roman" w:cs="Times New Roman" w:eastAsia="Times New Roman" w:hAnsi="Times New Roman"/>
          <w:sz w:val="22"/>
          <w:szCs w:val="22"/>
          <w:color w:val="auto"/>
        </w:rPr>
        <w:t>For purposes of the Option, Service does not terminate when Optionee goes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leave of absence that was approved by the Company or an Affiliate in writing, if the terms of the leave provide for continued Service crediting, or when continued Service crediting is required by applicable law. However, Service will be treated as terminating 90 days after Optionee went on the approved leave, unless Optionee’s right to return to active work is guaranteed by law or by a contract.</w:t>
      </w:r>
    </w:p>
    <w:p>
      <w:pPr>
        <w:sectPr>
          <w:pgSz w:w="11900" w:h="16838" w:orient="portrait"/>
          <w:cols w:equalWidth="0" w:num="1">
            <w:col w:w="11420"/>
          </w:cols>
          <w:pgMar w:left="240" w:top="585" w:right="239" w:bottom="1440" w:gutter="0" w:footer="0" w:header="0"/>
        </w:sectPr>
      </w:pPr>
    </w:p>
    <w:bookmarkStart w:id="83" w:name="page84"/>
    <w:bookmarkEnd w:id="83"/>
    <w:p>
      <w:pPr>
        <w:jc w:val="both"/>
        <w:spacing w:after="0" w:line="251" w:lineRule="auto"/>
        <w:rPr>
          <w:sz w:val="20"/>
          <w:szCs w:val="20"/>
          <w:color w:val="auto"/>
        </w:rPr>
      </w:pPr>
      <w:r>
        <w:rPr>
          <w:rFonts w:ascii="Times New Roman" w:cs="Times New Roman" w:eastAsia="Times New Roman" w:hAnsi="Times New Roman"/>
          <w:sz w:val="22"/>
          <w:szCs w:val="22"/>
          <w:color w:val="auto"/>
        </w:rPr>
        <w:t>Service terminates in any event when the approved leave ends unless Optionee immediately returns to active Service. The Committee determines, in its sole discretion, which leaves of absence count for this purpose, and when Service terminates for all purposes under the Plan.</w:t>
      </w:r>
    </w:p>
    <w:p>
      <w:pPr>
        <w:ind w:left="1440" w:hanging="784"/>
        <w:spacing w:after="0"/>
        <w:tabs>
          <w:tab w:leader="none" w:pos="1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Option Exercise.</w:t>
      </w:r>
    </w:p>
    <w:p>
      <w:pPr>
        <w:spacing w:after="0" w:line="5" w:lineRule="exact"/>
        <w:rPr>
          <w:rFonts w:ascii="Times New Roman" w:cs="Times New Roman" w:eastAsia="Times New Roman" w:hAnsi="Times New Roman"/>
          <w:sz w:val="18"/>
          <w:szCs w:val="18"/>
          <w:color w:val="auto"/>
        </w:rPr>
      </w:pPr>
    </w:p>
    <w:p>
      <w:pPr>
        <w:ind w:firstLine="1305"/>
        <w:spacing w:after="0" w:line="255" w:lineRule="auto"/>
        <w:tabs>
          <w:tab w:leader="none" w:pos="21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Right to Exercise. </w:t>
      </w:r>
      <w:r>
        <w:rPr>
          <w:rFonts w:ascii="Times New Roman" w:cs="Times New Roman" w:eastAsia="Times New Roman" w:hAnsi="Times New Roman"/>
          <w:sz w:val="22"/>
          <w:szCs w:val="22"/>
          <w:color w:val="auto"/>
        </w:rPr>
        <w:t>The Option shall be exercisable on or before the Expiration Date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vesting schedule set forth in Section 3.</w:t>
      </w:r>
    </w:p>
    <w:p>
      <w:pPr>
        <w:jc w:val="both"/>
        <w:ind w:firstLine="1305"/>
        <w:spacing w:after="0" w:line="245" w:lineRule="auto"/>
        <w:tabs>
          <w:tab w:leader="none" w:pos="2155"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Notice of Exercise</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Option shall be exercised by delivery of written notice to the Committee (or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the Company designated by the Committee) on any business day, at the Company’s principal office, on the form specified by the Company. The notice shall specify the number of shares of Stock to be purchased, accompanied by full payment of the Exercise Price for the shares being purchased. The notice must also specify how the shares should be registered (in the name of Optionee or in both the names of Optionee and Optionee’s spouse as joint tenants with right of survivorship). The notice of exercise will be effective when it is received by the Company. Anyone exercising the Option after the death of Optionee must provide appropriate documentation to the satisfaction of the Company that the individual is entitled to exercise the Option.</w:t>
      </w:r>
    </w:p>
    <w:p>
      <w:pPr>
        <w:spacing w:after="0" w:line="1" w:lineRule="exact"/>
        <w:rPr>
          <w:rFonts w:ascii="Times New Roman" w:cs="Times New Roman" w:eastAsia="Times New Roman" w:hAnsi="Times New Roman"/>
          <w:sz w:val="18"/>
          <w:szCs w:val="18"/>
          <w:color w:val="auto"/>
        </w:rPr>
      </w:pPr>
    </w:p>
    <w:p>
      <w:pPr>
        <w:ind w:right="20" w:firstLine="1305"/>
        <w:spacing w:after="0" w:line="249" w:lineRule="auto"/>
        <w:tabs>
          <w:tab w:leader="none" w:pos="21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Payment of Exercise Price</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of the Exercise Price for the number of shares of Stock being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purchased in full shall be made in one (or a combination) of the following forms:</w:t>
      </w:r>
    </w:p>
    <w:p>
      <w:pPr>
        <w:spacing w:after="0" w:line="1" w:lineRule="exact"/>
        <w:rPr>
          <w:rFonts w:ascii="Times New Roman" w:cs="Times New Roman" w:eastAsia="Times New Roman" w:hAnsi="Times New Roman"/>
          <w:sz w:val="18"/>
          <w:szCs w:val="18"/>
          <w:color w:val="auto"/>
        </w:rPr>
      </w:pPr>
    </w:p>
    <w:p>
      <w:pPr>
        <w:ind w:left="2780" w:hanging="827"/>
        <w:spacing w:after="0"/>
        <w:tabs>
          <w:tab w:leader="none" w:pos="2780"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Cash or cash equivalents acceptable to the Company.</w:t>
      </w:r>
    </w:p>
    <w:p>
      <w:pPr>
        <w:spacing w:after="0" w:line="5" w:lineRule="exact"/>
        <w:rPr>
          <w:rFonts w:ascii="Times New Roman" w:cs="Times New Roman" w:eastAsia="Times New Roman" w:hAnsi="Times New Roman"/>
          <w:sz w:val="18"/>
          <w:szCs w:val="18"/>
          <w:color w:val="auto"/>
        </w:rPr>
      </w:pPr>
    </w:p>
    <w:p>
      <w:pPr>
        <w:jc w:val="both"/>
        <w:ind w:firstLine="1953"/>
        <w:spacing w:after="0" w:line="251" w:lineRule="auto"/>
        <w:tabs>
          <w:tab w:leader="none" w:pos="2813"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Shares of Stock which have already been owned by Optionee (purchased on the open market or owned for at least six months or such other period designated by the Committee) which are surrendered to the Company. The Fair Market Value of the shares, determined as of the effective date of the Option exercise, will be applied to the Exercise Price.</w:t>
      </w:r>
    </w:p>
    <w:p>
      <w:pPr>
        <w:spacing w:after="0" w:line="1" w:lineRule="exact"/>
        <w:rPr>
          <w:rFonts w:ascii="Times New Roman" w:cs="Times New Roman" w:eastAsia="Times New Roman" w:hAnsi="Times New Roman"/>
          <w:sz w:val="18"/>
          <w:szCs w:val="18"/>
          <w:color w:val="auto"/>
        </w:rPr>
      </w:pPr>
    </w:p>
    <w:p>
      <w:pPr>
        <w:jc w:val="both"/>
        <w:ind w:firstLine="1953"/>
        <w:spacing w:after="0" w:line="246" w:lineRule="auto"/>
        <w:tabs>
          <w:tab w:leader="none" w:pos="2863"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the extent a public market for the shares of Stock exists as determined by the Company, by delivery (on a form prescribed by the Company) of an irrevocable direction to a licensed securities broker acceptable to the Company to sell shares and to deliver all or part of the sale proceeds to the Company in payment of the aggregate Exercise Price and any withholding taxes.</w:t>
      </w:r>
    </w:p>
    <w:p>
      <w:pPr>
        <w:spacing w:after="0" w:line="2" w:lineRule="exact"/>
        <w:rPr>
          <w:rFonts w:ascii="Times New Roman" w:cs="Times New Roman" w:eastAsia="Times New Roman" w:hAnsi="Times New Roman"/>
          <w:sz w:val="18"/>
          <w:szCs w:val="18"/>
          <w:color w:val="auto"/>
        </w:rPr>
      </w:pPr>
    </w:p>
    <w:p>
      <w:pPr>
        <w:jc w:val="both"/>
        <w:ind w:firstLine="980"/>
        <w:spacing w:after="0" w:line="245" w:lineRule="auto"/>
        <w:tabs>
          <w:tab w:leader="none" w:pos="14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The Company or any Affiliate shall have the right to deduct from payments of any kind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due to Optionee, any federal, state, local or foreign taxes of any kind required by law to be withheld upon the issuance of any shares of Stock or payment of any kind upon the exercise of this Option. By accepting this Agreement, Optionee hereby authorizes the Company to withhold from fully vested shares of Stock otherwise deliverable to Optionee a number of whole shares of Stock necessary to satisfy the Company’s required tax withholding with respect to the Option and to deduct any remaining amount due from any payments due to Optionee.</w:t>
      </w:r>
    </w:p>
    <w:p>
      <w:pPr>
        <w:spacing w:after="0" w:line="3" w:lineRule="exact"/>
        <w:rPr>
          <w:rFonts w:ascii="Times New Roman" w:cs="Times New Roman" w:eastAsia="Times New Roman" w:hAnsi="Times New Roman"/>
          <w:sz w:val="18"/>
          <w:szCs w:val="18"/>
          <w:color w:val="auto"/>
        </w:rPr>
      </w:pPr>
    </w:p>
    <w:p>
      <w:pPr>
        <w:jc w:val="both"/>
        <w:ind w:firstLine="648"/>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the foregoing, in lieu of share withholding, Optionee may irrevocably elect to satisfy the required tax withholding obligation by delivering: (a) a cashier’s check or other check acceptable to the Company; or (b) whole shares of Stock already owned by Optionee, in the amount determined by the Company to satisfy the required tax withholding obligation. Any election to deliver a check or shares shall be indicated within Solium (https://shareworks.solium.com) or any vendor replacement for Solium as designated by the Company and communicated to the Financial Reporting team prior to the exercise of the Option and shall be subject to any restrictions or limitations that the Company, in its sole discretion, deems appropriate.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76" w:lineRule="exact"/>
        <w:rPr>
          <w:sz w:val="20"/>
          <w:szCs w:val="20"/>
          <w:color w:val="auto"/>
        </w:rPr>
      </w:pPr>
    </w:p>
    <w:p>
      <w:pPr>
        <w:ind w:left="660" w:firstLine="645"/>
        <w:spacing w:after="0" w:line="288" w:lineRule="auto"/>
        <w:tabs>
          <w:tab w:leader="none" w:pos="20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Transfer of Option. </w:t>
      </w:r>
      <w:r>
        <w:rPr>
          <w:rFonts w:ascii="Times New Roman" w:cs="Times New Roman" w:eastAsia="Times New Roman" w:hAnsi="Times New Roman"/>
          <w:sz w:val="22"/>
          <w:szCs w:val="22"/>
          <w:color w:val="auto"/>
        </w:rPr>
        <w:t>During Optionee’s lifetime, only Optionee (or, in the event of Optionee’s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incapacity or incompetency, Optionee’s guardian or legal representative) may</w:t>
      </w:r>
    </w:p>
    <w:p>
      <w:pPr>
        <w:sectPr>
          <w:pgSz w:w="11900" w:h="16838" w:orient="portrait"/>
          <w:cols w:equalWidth="0" w:num="1">
            <w:col w:w="11420"/>
          </w:cols>
          <w:pgMar w:left="240" w:top="585" w:right="239" w:bottom="1440" w:gutter="0" w:footer="0" w:header="0"/>
        </w:sectPr>
      </w:pPr>
    </w:p>
    <w:bookmarkStart w:id="84" w:name="page85"/>
    <w:bookmarkEnd w:id="84"/>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exercise the Option. Optionee cannot transfer or assign the Option. Upon any attempt to transfer or assign the Option, the Option will immediately become invalid. Regardless of any marital property settlement agreement, the Company is not obligated to honor a notice of exercise from Optionee’s spouse, nor is the Company obligated to recognize Optionee’s spouse’s interest in the Option in any other way.</w:t>
      </w:r>
    </w:p>
    <w:p>
      <w:pPr>
        <w:spacing w:after="0" w:line="1" w:lineRule="exact"/>
        <w:rPr>
          <w:sz w:val="20"/>
          <w:szCs w:val="20"/>
          <w:color w:val="auto"/>
        </w:rPr>
      </w:pPr>
    </w:p>
    <w:p>
      <w:pPr>
        <w:jc w:val="both"/>
        <w:ind w:firstLine="656"/>
        <w:spacing w:after="0" w:line="246"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Investment Representations. </w:t>
      </w:r>
      <w:r>
        <w:rPr>
          <w:rFonts w:ascii="Times New Roman" w:cs="Times New Roman" w:eastAsia="Times New Roman" w:hAnsi="Times New Roman"/>
          <w:sz w:val="22"/>
          <w:szCs w:val="22"/>
          <w:color w:val="auto"/>
        </w:rPr>
        <w:t>The Committee may require Optionee (or Optionee’s estate or heirs) to represent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warrant in writing 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2" w:lineRule="exact"/>
        <w:rPr>
          <w:rFonts w:ascii="Times New Roman" w:cs="Times New Roman" w:eastAsia="Times New Roman" w:hAnsi="Times New Roman"/>
          <w:sz w:val="18"/>
          <w:szCs w:val="18"/>
          <w:color w:val="auto"/>
        </w:rPr>
      </w:pPr>
    </w:p>
    <w:p>
      <w:pPr>
        <w:jc w:val="both"/>
        <w:ind w:firstLine="656"/>
        <w:spacing w:after="0" w:line="247" w:lineRule="auto"/>
        <w:tabs>
          <w:tab w:leader="none" w:pos="15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Continued Service. </w:t>
      </w:r>
      <w:r>
        <w:rPr>
          <w:rFonts w:ascii="Times New Roman" w:cs="Times New Roman" w:eastAsia="Times New Roman" w:hAnsi="Times New Roman"/>
          <w:sz w:val="22"/>
          <w:szCs w:val="22"/>
          <w:color w:val="auto"/>
        </w:rPr>
        <w:t>Neither the grant of the Option nor this Agreement gives Optionee the right to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with the Company or its Affiliates in any capacity. The Company and its Affiliates reserve the right to terminate Optionee’s Service at any time and for any reason not prohibited by law.</w:t>
      </w:r>
    </w:p>
    <w:p>
      <w:pPr>
        <w:spacing w:after="0" w:line="2" w:lineRule="exact"/>
        <w:rPr>
          <w:rFonts w:ascii="Times New Roman" w:cs="Times New Roman" w:eastAsia="Times New Roman" w:hAnsi="Times New Roman"/>
          <w:sz w:val="18"/>
          <w:szCs w:val="18"/>
          <w:color w:val="auto"/>
        </w:rPr>
      </w:pPr>
    </w:p>
    <w:p>
      <w:pPr>
        <w:jc w:val="both"/>
        <w:ind w:firstLine="656"/>
        <w:spacing w:after="0" w:line="246"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Stockholder Rights. </w:t>
      </w:r>
      <w:r>
        <w:rPr>
          <w:rFonts w:ascii="Times New Roman" w:cs="Times New Roman" w:eastAsia="Times New Roman" w:hAnsi="Times New Roman"/>
          <w:sz w:val="22"/>
          <w:szCs w:val="22"/>
          <w:color w:val="auto"/>
        </w:rPr>
        <w:t>Optionee and Optionee’s estate or heirs shall not have any rights as a stockholder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until Optionee becomes the holder of record of such shares of Stock, and no adjustments shall be made for dividends or other distributions or other rights as to which there is a record date prior to the date Optionee becomes the holder of record of such shares, except as provided in Section 14 of the Plan</w:t>
      </w:r>
      <w:r>
        <w:rPr>
          <w:rFonts w:ascii="Times New Roman" w:cs="Times New Roman" w:eastAsia="Times New Roman" w:hAnsi="Times New Roman"/>
          <w:sz w:val="22"/>
          <w:szCs w:val="22"/>
          <w:b w:val="1"/>
          <w:bCs w:val="1"/>
          <w:color w:val="auto"/>
        </w:rPr>
        <w:t>.</w:t>
      </w:r>
    </w:p>
    <w:p>
      <w:pPr>
        <w:spacing w:after="0" w:line="2" w:lineRule="exact"/>
        <w:rPr>
          <w:rFonts w:ascii="Times New Roman" w:cs="Times New Roman" w:eastAsia="Times New Roman" w:hAnsi="Times New Roman"/>
          <w:sz w:val="18"/>
          <w:szCs w:val="18"/>
          <w:color w:val="auto"/>
        </w:rPr>
      </w:pPr>
    </w:p>
    <w:p>
      <w:pPr>
        <w:jc w:val="both"/>
        <w:ind w:firstLine="656"/>
        <w:spacing w:after="0" w:line="244"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Adjustments. </w:t>
      </w:r>
      <w:r>
        <w:rPr>
          <w:rFonts w:ascii="Times New Roman" w:cs="Times New Roman" w:eastAsia="Times New Roman" w:hAnsi="Times New Roman"/>
          <w:sz w:val="22"/>
          <w:szCs w:val="22"/>
          <w:color w:val="auto"/>
        </w:rPr>
        <w:t>The number of shares of Stock outstanding under this Option shall be proportionately increased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decreased for any increase or decrease in the number of shares of Stock on account of any Corporate Event. Any such adjustment in the Option shall not increase the aggregate Exercise Price payable with respect to shares that are subject to the unexercised portion of the outstanding Option and the adjustment shall comply with the requirements under Section 409A of the Code. The conversion of any convertible securities of the Company shall not be treated as an increase in shares effected without receipt of consideration. In the event of any distribution to the Company’s stockholders of an extraordinary cash dividend or securities of any other entity or other assets (other than ordinary dividends payable in cash or shares of Stock) without receipt of consideration by the Company, the Company shall proportionately adjust (a) the number and kind of shares subject to this Option and/or (b) the Exercise Price of this Option to reflect such distribution.</w:t>
      </w:r>
    </w:p>
    <w:p>
      <w:pPr>
        <w:spacing w:after="0" w:line="8" w:lineRule="exact"/>
        <w:rPr>
          <w:rFonts w:ascii="Times New Roman" w:cs="Times New Roman" w:eastAsia="Times New Roman" w:hAnsi="Times New Roman"/>
          <w:sz w:val="18"/>
          <w:szCs w:val="18"/>
          <w:color w:val="auto"/>
        </w:rPr>
      </w:pPr>
    </w:p>
    <w:p>
      <w:pPr>
        <w:jc w:val="both"/>
        <w:ind w:firstLine="656"/>
        <w:spacing w:after="0" w:line="246"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Additional Requirements. </w:t>
      </w:r>
      <w:r>
        <w:rPr>
          <w:rFonts w:ascii="Times New Roman" w:cs="Times New Roman" w:eastAsia="Times New Roman" w:hAnsi="Times New Roman"/>
          <w:sz w:val="22"/>
          <w:szCs w:val="22"/>
          <w:color w:val="auto"/>
        </w:rPr>
        <w:t>Optionee acknowledges that shares of Stock acquired upon exercise of the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bear such legends, as the Company deems appropriate to comply with applicable federal, state or foreign securities laws. In connection therewith and prior to the issuance of the shares, Optionee may be required to deliver to the Company such other documents as may be reasonably necessary to ensure compliance with applicable laws.</w:t>
      </w:r>
    </w:p>
    <w:p>
      <w:pPr>
        <w:spacing w:after="0" w:line="2" w:lineRule="exact"/>
        <w:rPr>
          <w:rFonts w:ascii="Times New Roman" w:cs="Times New Roman" w:eastAsia="Times New Roman" w:hAnsi="Times New Roman"/>
          <w:sz w:val="18"/>
          <w:szCs w:val="18"/>
          <w:color w:val="auto"/>
        </w:rPr>
      </w:pPr>
    </w:p>
    <w:p>
      <w:pPr>
        <w:jc w:val="both"/>
        <w:ind w:firstLine="656"/>
        <w:spacing w:after="0" w:line="247"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The validity and construction of this Agreement and the Plan shall be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and governed by the laws of the State of Delaware other than any conflicts or choice of law rule or principle that might otherwise refer construction or interpretation of the Plan and this Agreement to the substantive laws of any other jurisdiction.</w:t>
      </w:r>
    </w:p>
    <w:p>
      <w:pPr>
        <w:spacing w:after="0" w:line="2" w:lineRule="exact"/>
        <w:rPr>
          <w:rFonts w:ascii="Times New Roman" w:cs="Times New Roman" w:eastAsia="Times New Roman" w:hAnsi="Times New Roman"/>
          <w:sz w:val="18"/>
          <w:szCs w:val="18"/>
          <w:color w:val="auto"/>
        </w:rPr>
      </w:pPr>
    </w:p>
    <w:p>
      <w:pPr>
        <w:ind w:firstLine="656"/>
        <w:spacing w:after="0" w:line="249"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Binding Effect. </w:t>
      </w:r>
      <w:r>
        <w:rPr>
          <w:rFonts w:ascii="Times New Roman" w:cs="Times New Roman" w:eastAsia="Times New Roman" w:hAnsi="Times New Roman"/>
          <w:sz w:val="22"/>
          <w:szCs w:val="22"/>
          <w:color w:val="auto"/>
        </w:rPr>
        <w:t>This Agreement shall be binding upon and inure to the benefit of the Company and Optionee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heirs, executors, administrators, legal representatives, successors and assigns.</w:t>
      </w:r>
    </w:p>
    <w:p>
      <w:pPr>
        <w:spacing w:after="0" w:line="1" w:lineRule="exact"/>
        <w:rPr>
          <w:rFonts w:ascii="Times New Roman" w:cs="Times New Roman" w:eastAsia="Times New Roman" w:hAnsi="Times New Roman"/>
          <w:sz w:val="18"/>
          <w:szCs w:val="18"/>
          <w:color w:val="auto"/>
        </w:rPr>
      </w:pPr>
    </w:p>
    <w:p>
      <w:pPr>
        <w:jc w:val="both"/>
        <w:ind w:firstLine="656"/>
        <w:spacing w:after="0" w:line="247"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Tax Treatment; Section 409A</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Optionee may incur tax liability as a result of the exercise of the Option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disposition of shares of Stock. Optionee should consult his or her own tax adviser before exercising the Option or disposing of the shares.</w:t>
      </w:r>
    </w:p>
    <w:p>
      <w:pPr>
        <w:spacing w:after="0" w:line="2" w:lineRule="exact"/>
        <w:rPr>
          <w:rFonts w:ascii="Times New Roman" w:cs="Times New Roman" w:eastAsia="Times New Roman" w:hAnsi="Times New Roman"/>
          <w:sz w:val="18"/>
          <w:szCs w:val="18"/>
          <w:color w:val="auto"/>
        </w:rPr>
      </w:pPr>
    </w:p>
    <w:p>
      <w:pPr>
        <w:jc w:val="both"/>
        <w:ind w:firstLine="648"/>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Optionee acknowledges that the Committee, in the exercise of its sole discretion and without Optionee’s consent, may amend or modify the Option and this Agreement in any manner and delay the payment of any amounts payable pursuant to this Agreement to the minimum extent necessary to satisfy the requirements of Section 409A of the Code. The Company will provide Optionee with notice of any such amendment or modification.</w:t>
      </w:r>
    </w:p>
    <w:p>
      <w:pPr>
        <w:sectPr>
          <w:pgSz w:w="11900" w:h="16838" w:orient="portrait"/>
          <w:cols w:equalWidth="0" w:num="1">
            <w:col w:w="11420"/>
          </w:cols>
          <w:pgMar w:left="240" w:top="585" w:right="239" w:bottom="1440" w:gutter="0" w:footer="0" w:header="0"/>
        </w:sectPr>
      </w:pPr>
    </w:p>
    <w:bookmarkStart w:id="85" w:name="page86"/>
    <w:bookmarkEnd w:id="85"/>
    <w:p>
      <w:pPr>
        <w:jc w:val="both"/>
        <w:ind w:left="4" w:firstLine="645"/>
        <w:spacing w:after="0" w:line="256" w:lineRule="auto"/>
        <w:tabs>
          <w:tab w:leader="none" w:pos="152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The terms and conditions set forth in this Agreement may only be amended by the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of the Company and Optionee, except to the extent set forth in Section 16 of the Plan regarding Section 409A of the Code and any other provision set forth in the Plan.</w:t>
      </w:r>
    </w:p>
    <w:p>
      <w:pPr>
        <w:spacing w:after="0" w:line="1" w:lineRule="exact"/>
        <w:rPr>
          <w:rFonts w:ascii="Times New Roman" w:cs="Times New Roman" w:eastAsia="Times New Roman" w:hAnsi="Times New Roman"/>
          <w:sz w:val="18"/>
          <w:szCs w:val="18"/>
          <w:color w:val="auto"/>
        </w:rPr>
      </w:pPr>
    </w:p>
    <w:p>
      <w:pPr>
        <w:jc w:val="both"/>
        <w:ind w:left="-656" w:firstLine="656"/>
        <w:spacing w:after="0" w:line="270" w:lineRule="auto"/>
        <w:tabs>
          <w:tab w:leader="none" w:pos="86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 xml:space="preserve">2016 Equity Incentive Plan. </w:t>
      </w:r>
      <w:r>
        <w:rPr>
          <w:rFonts w:ascii="Times New Roman" w:cs="Times New Roman" w:eastAsia="Times New Roman" w:hAnsi="Times New Roman"/>
          <w:sz w:val="21"/>
          <w:szCs w:val="21"/>
          <w:color w:val="auto"/>
        </w:rPr>
        <w:t>The Option and shares of Stock acquired upon exercise of the Option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be subject to such additional terms and conditions as may be imposed under the terms of the Plan, a copy of which has been provided to Optionee. A copy of the Prospectus for the 2016 Equity Incentive Plan shall also be provided to Optionee.</w:t>
      </w:r>
    </w:p>
    <w:p>
      <w:pPr>
        <w:spacing w:after="0" w:line="372"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2"/>
          <w:szCs w:val="22"/>
          <w:b w:val="1"/>
          <w:bCs w:val="1"/>
          <w:color w:val="auto"/>
        </w:rPr>
        <w:t>NATIONAL CINEMEDIA,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44"/>
        <w:spacing w:after="0"/>
        <w:tabs>
          <w:tab w:leader="none" w:pos="3703"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Sarah Kinnick Hilty</w:t>
      </w:r>
    </w:p>
    <w:p>
      <w:pPr>
        <w:spacing w:after="0" w:line="30"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22"/>
          <w:szCs w:val="22"/>
          <w:color w:val="auto"/>
        </w:rPr>
        <w:t>Sarah Kinnick Hilty</w:t>
      </w:r>
    </w:p>
    <w:p>
      <w:pPr>
        <w:spacing w:after="0" w:line="15"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22"/>
          <w:szCs w:val="22"/>
          <w:color w:val="auto"/>
        </w:rPr>
        <w:t>Senior Vice President, General Counsel and Secretary</w:t>
      </w:r>
    </w:p>
    <w:p>
      <w:pPr>
        <w:sectPr>
          <w:pgSz w:w="11900" w:h="16838" w:orient="portrait"/>
          <w:cols w:equalWidth="0" w:num="1">
            <w:col w:w="10764"/>
          </w:cols>
          <w:pgMar w:left="896" w:top="581"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F. Lesinski, certify that:</w:t>
      </w:r>
    </w:p>
    <w:p>
      <w:pPr>
        <w:spacing w:after="0" w:line="171" w:lineRule="exact"/>
        <w:rPr>
          <w:sz w:val="20"/>
          <w:szCs w:val="20"/>
          <w:color w:val="auto"/>
        </w:rPr>
      </w:pPr>
    </w:p>
    <w:p>
      <w:pPr>
        <w:ind w:left="680" w:hanging="172"/>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260" w:firstLine="508"/>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20" w:firstLine="508"/>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60" w:firstLine="508"/>
        <w:spacing w:after="0" w:line="266"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120"/>
        <w:spacing w:after="0" w:line="266" w:lineRule="auto"/>
        <w:tabs>
          <w:tab w:leader="none" w:pos="122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360"/>
        <w:spacing w:after="0" w:line="266" w:lineRule="auto"/>
        <w:tabs>
          <w:tab w:leader="none" w:pos="123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500"/>
        <w:spacing w:after="0" w:line="313" w:lineRule="auto"/>
        <w:tabs>
          <w:tab w:leader="none" w:pos="1225"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20"/>
        <w:spacing w:after="0" w:line="266" w:lineRule="auto"/>
        <w:tabs>
          <w:tab w:leader="none" w:pos="123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20" w:firstLine="508"/>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00"/>
        <w:spacing w:after="0" w:line="282" w:lineRule="auto"/>
        <w:tabs>
          <w:tab w:leader="none" w:pos="122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380"/>
        <w:spacing w:after="0" w:line="282" w:lineRule="auto"/>
        <w:tabs>
          <w:tab w:leader="none" w:pos="123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18"/>
          <w:szCs w:val="18"/>
          <w:color w:val="auto"/>
        </w:rPr>
        <w:t>Date: November 4, 2019</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43180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L. Scherping, certify that:</w:t>
      </w:r>
    </w:p>
    <w:p>
      <w:pPr>
        <w:spacing w:after="0" w:line="171" w:lineRule="exact"/>
        <w:rPr>
          <w:sz w:val="20"/>
          <w:szCs w:val="20"/>
          <w:color w:val="auto"/>
        </w:rPr>
      </w:pPr>
    </w:p>
    <w:p>
      <w:pPr>
        <w:ind w:left="680" w:hanging="172"/>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260" w:firstLine="508"/>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20" w:firstLine="508"/>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60" w:firstLine="508"/>
        <w:spacing w:after="0" w:line="266"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120"/>
        <w:spacing w:after="0" w:line="266" w:lineRule="auto"/>
        <w:tabs>
          <w:tab w:leader="none" w:pos="122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360"/>
        <w:spacing w:after="0" w:line="266" w:lineRule="auto"/>
        <w:tabs>
          <w:tab w:leader="none" w:pos="123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500"/>
        <w:spacing w:after="0" w:line="313" w:lineRule="auto"/>
        <w:tabs>
          <w:tab w:leader="none" w:pos="1225"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20"/>
        <w:spacing w:after="0" w:line="266" w:lineRule="auto"/>
        <w:tabs>
          <w:tab w:leader="none" w:pos="123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20" w:firstLine="508"/>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00"/>
        <w:spacing w:after="0" w:line="282" w:lineRule="auto"/>
        <w:tabs>
          <w:tab w:leader="none" w:pos="122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380"/>
        <w:spacing w:after="0" w:line="282" w:lineRule="auto"/>
        <w:tabs>
          <w:tab w:leader="none" w:pos="123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18"/>
          <w:szCs w:val="18"/>
          <w:color w:val="auto"/>
        </w:rPr>
        <w:t>Date: November 4, 2019</w:t>
      </w:r>
      <w:r>
        <w:rPr>
          <w:sz w:val="20"/>
          <w:szCs w:val="20"/>
          <w:color w:val="auto"/>
        </w:rPr>
        <w:tab/>
      </w:r>
      <w:r>
        <w:rPr>
          <w:rFonts w:ascii="Times New Roman" w:cs="Times New Roman" w:eastAsia="Times New Roman" w:hAnsi="Times New Roman"/>
          <w:sz w:val="17"/>
          <w:szCs w:val="17"/>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43180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September 26, 2019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122" w:lineRule="exact"/>
        <w:rPr>
          <w:sz w:val="20"/>
          <w:szCs w:val="20"/>
          <w:color w:val="auto"/>
        </w:rPr>
      </w:pPr>
    </w:p>
    <w:p>
      <w:pPr>
        <w:ind w:left="680" w:hanging="186"/>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33"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18"/>
          <w:szCs w:val="18"/>
          <w:color w:val="auto"/>
        </w:rPr>
        <w:t>Date: November 4, 2019</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43180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576"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40" w:firstLine="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September 26, 2019 (the “Report”) of National CineMedia, Inc.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122" w:lineRule="exact"/>
        <w:rPr>
          <w:sz w:val="20"/>
          <w:szCs w:val="20"/>
          <w:color w:val="auto"/>
        </w:rPr>
      </w:pPr>
    </w:p>
    <w:p>
      <w:pPr>
        <w:ind w:left="680" w:hanging="186"/>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33"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18"/>
          <w:szCs w:val="18"/>
          <w:color w:val="auto"/>
        </w:rPr>
        <w:t>Date: November 4, 2019</w:t>
      </w:r>
      <w:r>
        <w:rPr>
          <w:sz w:val="20"/>
          <w:szCs w:val="20"/>
          <w:color w:val="auto"/>
        </w:rPr>
        <w:tab/>
      </w:r>
      <w:r>
        <w:rPr>
          <w:rFonts w:ascii="Times New Roman" w:cs="Times New Roman" w:eastAsia="Times New Roman" w:hAnsi="Times New Roman"/>
          <w:sz w:val="17"/>
          <w:szCs w:val="17"/>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43180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842"/>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lvl w:ilvl="1">
      <w:lvlJc w:val="left"/>
      <w:lvlText w:val="(%2)"/>
      <w:numFmt w:val="decimal"/>
      <w:start w:val="1"/>
    </w:lvl>
  </w:abstractNum>
  <w:abstractNum w:abstractNumId="9">
    <w:nsid w:val="7A6D8D3C"/>
    <w:multiLevelType w:val="hybridMultilevel"/>
    <w:lvl w:ilvl="0">
      <w:lvlJc w:val="left"/>
      <w:lvlText w:val="%1."/>
      <w:numFmt w:val="decimal"/>
      <w:start w:val="10"/>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
      <w:numFmt w:val="bullet"/>
      <w:start w:val="1"/>
    </w:lvl>
    <w:lvl w:ilvl="1">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lowerLetter"/>
      <w:start w:val="2"/>
    </w:lvl>
  </w:abstractNum>
  <w:abstractNum w:abstractNumId="30">
    <w:nsid w:val="275AC794"/>
    <w:multiLevelType w:val="hybridMultilevel"/>
    <w:lvl w:ilvl="0">
      <w:lvlJc w:val="left"/>
      <w:lvlText w:val="(%1)"/>
      <w:numFmt w:val="lowerLetter"/>
      <w:start w:val="1"/>
    </w:lvl>
    <w:lvl w:ilvl="1">
      <w:lvlJc w:val="left"/>
      <w:lvlText w:val="(%2)"/>
      <w:numFmt w:val="lowerRoman"/>
      <w:start w:val="1"/>
    </w:lvl>
  </w:abstractNum>
  <w:abstractNum w:abstractNumId="31">
    <w:nsid w:val="39386575"/>
    <w:multiLevelType w:val="hybridMultilevel"/>
    <w:lvl w:ilvl="0">
      <w:lvlJc w:val="left"/>
      <w:lvlText w:val="(%1)"/>
      <w:numFmt w:val="lowerRoman"/>
      <w:start w:val="3"/>
    </w:lvl>
  </w:abstractNum>
  <w:abstractNum w:abstractNumId="32">
    <w:nsid w:val="1CF10FD8"/>
    <w:multiLevelType w:val="hybridMultilevel"/>
    <w:lvl w:ilvl="0">
      <w:lvlJc w:val="left"/>
      <w:lvlText w:val="(%1)"/>
      <w:numFmt w:val="lowerLetter"/>
      <w:start w:val="1"/>
    </w:lvl>
    <w:lvl w:ilvl="1">
      <w:lvlJc w:val="left"/>
      <w:lvlText w:val="(%2)"/>
      <w:numFmt w:val="lowerRoman"/>
      <w:start w:val="1"/>
    </w:lvl>
  </w:abstractNum>
  <w:abstractNum w:abstractNumId="33">
    <w:nsid w:val="180115BE"/>
    <w:multiLevelType w:val="hybridMultilevel"/>
    <w:lvl w:ilvl="0">
      <w:lvlJc w:val="left"/>
      <w:lvlText w:val="(%1)"/>
      <w:numFmt w:val="lowerRoman"/>
      <w:start w:val="3"/>
    </w:lvl>
  </w:abstractNum>
  <w:abstractNum w:abstractNumId="34">
    <w:nsid w:val="235BA861"/>
    <w:multiLevelType w:val="hybridMultilevel"/>
    <w:lvl w:ilvl="0">
      <w:lvlJc w:val="left"/>
      <w:lvlText w:val="(%1)"/>
      <w:numFmt w:val="lowerRoman"/>
      <w:start w:val="2"/>
    </w:lvl>
  </w:abstractNum>
  <w:abstractNum w:abstractNumId="35">
    <w:nsid w:val="47398C89"/>
    <w:multiLevelType w:val="hybridMultilevel"/>
    <w:lvl w:ilvl="0">
      <w:lvlJc w:val="left"/>
      <w:lvlText w:val="(%1)"/>
      <w:numFmt w:val="lowerRoman"/>
      <w:start w:val="5"/>
    </w:lvl>
  </w:abstractNum>
  <w:abstractNum w:abstractNumId="36">
    <w:nsid w:val="354FE9F9"/>
    <w:multiLevelType w:val="hybridMultilevel"/>
    <w:lvl w:ilvl="0">
      <w:lvlJc w:val="left"/>
      <w:lvlText w:val="%1"/>
      <w:numFmt w:val="lowerLetter"/>
      <w:start w:val="1"/>
    </w:lvl>
    <w:lvl w:ilvl="1">
      <w:lvlJc w:val="left"/>
      <w:lvlText w:val="(%2)"/>
      <w:numFmt w:val="lowerLetter"/>
      <w:start w:val="1"/>
    </w:lvl>
  </w:abstractNum>
  <w:abstractNum w:abstractNumId="37">
    <w:nsid w:val="15B5AF5C"/>
    <w:multiLevelType w:val="hybridMultilevel"/>
    <w:lvl w:ilvl="0">
      <w:lvlJc w:val="left"/>
      <w:lvlText w:val="(%1)"/>
      <w:numFmt w:val="lowerLetter"/>
      <w:start w:val="9"/>
    </w:lvl>
    <w:lvl w:ilvl="1">
      <w:lvlJc w:val="left"/>
      <w:lvlText w:val="(%2)"/>
      <w:numFmt w:val="lowerLetter"/>
      <w:start w:val="3"/>
    </w:lvl>
  </w:abstractNum>
  <w:abstractNum w:abstractNumId="38">
    <w:nsid w:val="741226BB"/>
    <w:multiLevelType w:val="hybridMultilevel"/>
    <w:lvl w:ilvl="0">
      <w:lvlJc w:val="left"/>
      <w:lvlText w:val="(%1)"/>
      <w:numFmt w:val="lowerLetter"/>
      <w:start w:val="7"/>
    </w:lvl>
  </w:abstractNum>
  <w:abstractNum w:abstractNumId="39">
    <w:nsid w:val="D34B6A8"/>
    <w:multiLevelType w:val="hybridMultilevel"/>
    <w:lvl w:ilvl="0">
      <w:lvlJc w:val="left"/>
      <w:lvlText w:val="(%1)"/>
      <w:numFmt w:val="lowerLetter"/>
      <w:start w:val="1"/>
    </w:lvl>
    <w:lvl w:ilvl="1">
      <w:lvlJc w:val="left"/>
      <w:lvlText w:val="(%2)"/>
      <w:numFmt w:val="lowerRoman"/>
      <w:start w:val="1"/>
    </w:lvl>
  </w:abstractNum>
  <w:abstractNum w:abstractNumId="40">
    <w:nsid w:val="10233C99"/>
    <w:multiLevelType w:val="hybridMultilevel"/>
    <w:lvl w:ilvl="0">
      <w:lvlJc w:val="left"/>
      <w:lvlText w:val="(%1)"/>
      <w:numFmt w:val="lowerLetter"/>
      <w:start w:val="2"/>
    </w:lvl>
    <w:lvl w:ilvl="1">
      <w:lvlJc w:val="left"/>
      <w:lvlText w:val="(%2)"/>
      <w:numFmt w:val="lowerRoman"/>
      <w:start w:val="1"/>
    </w:lvl>
  </w:abstractNum>
  <w:abstractNum w:abstractNumId="41">
    <w:nsid w:val="3F6AB60F"/>
    <w:multiLevelType w:val="hybridMultilevel"/>
    <w:lvl w:ilvl="0">
      <w:lvlJc w:val="left"/>
      <w:lvlText w:val="(%1)"/>
      <w:numFmt w:val="lowerLetter"/>
      <w:start w:val="3"/>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3"/>
    </w:lvl>
    <w:lvl w:ilvl="1">
      <w:lvlJc w:val="left"/>
      <w:lvlText w:val="(%2)"/>
      <w:numFmt w:val="lowerLetter"/>
      <w:start w:val="1"/>
    </w:lvl>
  </w:abstractNum>
  <w:abstractNum w:abstractNumId="44">
    <w:nsid w:val="77AE35E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
    <w:nsid w:val="579BE4F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6">
    <w:nsid w:val="310C50B3"/>
    <w:multiLevelType w:val="hybridMultilevel"/>
    <w:lvl w:ilvl="0">
      <w:lvlJc w:val="left"/>
      <w:lvlText w:val="%1"/>
      <w:numFmt w:val="lowerLetter"/>
      <w:start w:val="1"/>
    </w:lvl>
    <w:lvl w:ilvl="1">
      <w:lvlJc w:val="left"/>
      <w:lvlText w:val="(%2)"/>
      <w:numFmt w:val="lowerLetter"/>
      <w:start w:val="2"/>
    </w:lvl>
  </w:abstractNum>
  <w:abstractNum w:abstractNumId="47">
    <w:nsid w:val="5FF87E05"/>
    <w:multiLevelType w:val="hybridMultilevel"/>
    <w:lvl w:ilvl="0">
      <w:lvlJc w:val="left"/>
      <w:lvlText w:val="(%1)"/>
      <w:numFmt w:val="lowerLetter"/>
      <w:start w:val="35"/>
    </w:lvl>
    <w:lvl w:ilvl="1">
      <w:lvlJc w:val="left"/>
      <w:lvlText w:val="%2"/>
      <w:numFmt w:val="lowerLetter"/>
      <w:start w:val="1"/>
    </w:lvl>
  </w:abstractNum>
  <w:abstractNum w:abstractNumId="48">
    <w:nsid w:val="2F305DEF"/>
    <w:multiLevelType w:val="hybridMultilevel"/>
    <w:lvl w:ilvl="0">
      <w:lvlJc w:val="left"/>
      <w:lvlText w:val="(%1)"/>
      <w:numFmt w:val="lowerLetter"/>
      <w:start w:val="22"/>
    </w:lvl>
    <w:lvl w:ilvl="1">
      <w:lvlJc w:val="left"/>
      <w:lvlText w:val="(%2)"/>
      <w:numFmt w:val="lowerLetter"/>
      <w:start w:val="3"/>
    </w:lvl>
  </w:abstractNum>
  <w:abstractNum w:abstractNumId="49">
    <w:nsid w:val="25A70BF7"/>
    <w:multiLevelType w:val="hybridMultilevel"/>
    <w:lvl w:ilvl="0">
      <w:lvlJc w:val="left"/>
      <w:lvlText w:val="(%1)"/>
      <w:numFmt w:val="lowerRoman"/>
      <w:start w:val="1"/>
    </w:lvl>
  </w:abstractNum>
  <w:abstractNum w:abstractNumId="50">
    <w:nsid w:val="1DBABF00"/>
    <w:multiLevelType w:val="hybridMultilevel"/>
    <w:lvl w:ilvl="0">
      <w:lvlJc w:val="left"/>
      <w:lvlText w:val="(%1)"/>
      <w:numFmt w:val="lowerLetter"/>
      <w:start w:val="4"/>
    </w:lvl>
  </w:abstractNum>
  <w:abstractNum w:abstractNumId="51">
    <w:nsid w:val="4AD084E9"/>
    <w:multiLevelType w:val="hybridMultilevel"/>
    <w:lvl w:ilvl="0">
      <w:lvlJc w:val="left"/>
      <w:lvlText w:val="(%1)"/>
      <w:numFmt w:val="lowerRoman"/>
      <w:start w:val="1"/>
    </w:lvl>
  </w:abstractNum>
  <w:abstractNum w:abstractNumId="52">
    <w:nsid w:val="1F48EAA1"/>
    <w:multiLevelType w:val="hybridMultilevel"/>
    <w:lvl w:ilvl="0">
      <w:lvlJc w:val="left"/>
      <w:lvlText w:val="(%1)"/>
      <w:numFmt w:val="lowerLetter"/>
      <w:start w:val="5"/>
    </w:lvl>
    <w:lvl w:ilvl="1">
      <w:lvlJc w:val="left"/>
      <w:lvlText w:val="(%2)"/>
      <w:numFmt w:val="lowerRoman"/>
      <w:start w:val="1"/>
    </w:lvl>
  </w:abstractNum>
  <w:abstractNum w:abstractNumId="53">
    <w:nsid w:val="1381823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54">
    <w:nsid w:val="5DB70AE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5">
    <w:nsid w:val="100F8FC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6">
    <w:nsid w:val="6590700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5"/>
    </w:lvl>
  </w:abstractNum>
  <w:abstractNum w:abstractNumId="57">
    <w:nsid w:val="15014ACB"/>
    <w:multiLevelType w:val="hybridMultilevel"/>
    <w:lvl w:ilvl="0">
      <w:lvlJc w:val="left"/>
      <w:lvlText w:val="(%1)"/>
      <w:numFmt w:val="lowerRoman"/>
      <w:start w:val="1"/>
    </w:lvl>
  </w:abstractNum>
  <w:abstractNum w:abstractNumId="58">
    <w:nsid w:val="5F5E7FD0"/>
    <w:multiLevelType w:val="hybridMultilevel"/>
    <w:lvl w:ilvl="0">
      <w:lvlJc w:val="left"/>
      <w:lvlText w:val="(%1)"/>
      <w:numFmt w:val="lowerRoman"/>
      <w:start w:val="2"/>
    </w:lvl>
  </w:abstractNum>
  <w:abstractNum w:abstractNumId="59">
    <w:nsid w:val="98A314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0">
    <w:nsid w:val="799D02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1">
    <w:nsid w:val="6B94764"/>
    <w:multiLevelType w:val="hybridMultilevel"/>
    <w:lvl w:ilvl="0">
      <w:lvlJc w:val="left"/>
      <w:lvlText w:val="(%1)"/>
      <w:numFmt w:val="lowerLetter"/>
      <w:start w:val="2"/>
    </w:lvl>
    <w:lvl w:ilvl="1">
      <w:lvlJc w:val="left"/>
      <w:lvlText w:val="(%2)"/>
      <w:numFmt w:val="lowerRoman"/>
      <w:start w:val="1"/>
    </w:lvl>
  </w:abstractNum>
  <w:abstractNum w:abstractNumId="62">
    <w:nsid w:val="42C296BD"/>
    <w:multiLevelType w:val="hybridMultilevel"/>
    <w:lvl w:ilvl="0">
      <w:lvlJc w:val="left"/>
      <w:lvlText w:val="(%1)"/>
      <w:numFmt w:val="lowerLetter"/>
      <w:start w:val="4"/>
    </w:lvl>
  </w:abstractNum>
  <w:abstractNum w:abstractNumId="63">
    <w:nsid w:val="168E121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64">
    <w:nsid w:val="1EBA5D2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5">
    <w:nsid w:val="661E3F1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66">
    <w:nsid w:val="5DC79EA8"/>
    <w:multiLevelType w:val="hybridMultilevel"/>
    <w:lvl w:ilvl="0">
      <w:lvlJc w:val="left"/>
      <w:lvlText w:val="%1."/>
      <w:numFmt w:val="decimal"/>
      <w:start w:val="9"/>
    </w:lvl>
  </w:abstractNum>
  <w:abstractNum w:abstractNumId="67">
    <w:nsid w:val="540A471C"/>
    <w:multiLevelType w:val="hybridMultilevel"/>
    <w:lvl w:ilvl="0">
      <w:lvlJc w:val="left"/>
      <w:lvlText w:val="%1."/>
      <w:numFmt w:val="decimal"/>
      <w:start w:val="13"/>
    </w:lvl>
  </w:abstractNum>
  <w:abstractNum w:abstractNumId="68">
    <w:nsid w:val="7BD3EE7B"/>
    <w:multiLevelType w:val="hybridMultilevel"/>
    <w:lvl w:ilvl="0">
      <w:lvlJc w:val="left"/>
      <w:lvlText w:val="%1."/>
      <w:numFmt w:val="decimal"/>
      <w:start w:val="17"/>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2"/>
    </w:lvl>
    <w:lvl w:ilvl="1">
      <w:lvlJc w:val="left"/>
      <w:lvlText w:val="%2."/>
      <w:numFmt w:val="decimal"/>
      <w:start w:val="4"/>
    </w:lvl>
  </w:abstractNum>
  <w:abstractNum w:abstractNumId="71">
    <w:nsid w:val="BF72B14"/>
    <w:multiLevelType w:val="hybridMultilevel"/>
    <w:lvl w:ilvl="0">
      <w:lvlJc w:val="left"/>
      <w:lvlText w:val="%1."/>
      <w:numFmt w:val="decimal"/>
      <w:start w:val="5"/>
    </w:lvl>
    <w:lvl w:ilvl="1">
      <w:lvlJc w:val="left"/>
      <w:lvlText w:val="(%2)"/>
      <w:numFmt w:val="lowerLetter"/>
      <w:start w:val="1"/>
    </w:lvl>
  </w:abstractNum>
  <w:abstractNum w:abstractNumId="72">
    <w:nsid w:val="11447B73"/>
    <w:multiLevelType w:val="hybridMultilevel"/>
    <w:lvl w:ilvl="0">
      <w:lvlJc w:val="left"/>
      <w:lvlText w:val="%1."/>
      <w:numFmt w:val="decimal"/>
      <w:start w:val="7"/>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73">
    <w:nsid w:val="42963E5A"/>
    <w:multiLevelType w:val="hybridMultilevel"/>
    <w:lvl w:ilvl="0">
      <w:lvlJc w:val="left"/>
      <w:lvlText w:val="%1."/>
      <w:numFmt w:val="decimal"/>
      <w:start w:val="9"/>
    </w:lvl>
  </w:abstractNum>
  <w:abstractNum w:abstractNumId="74">
    <w:nsid w:val="A0382C5"/>
    <w:multiLevelType w:val="hybridMultilevel"/>
    <w:lvl w:ilvl="0">
      <w:lvlJc w:val="left"/>
      <w:lvlText w:val="%1."/>
      <w:numFmt w:val="decimal"/>
      <w:start w:val="10"/>
    </w:lvl>
  </w:abstractNum>
  <w:abstractNum w:abstractNumId="75">
    <w:nsid w:val="8F2B15E"/>
    <w:multiLevelType w:val="hybridMultilevel"/>
    <w:lvl w:ilvl="0">
      <w:lvlJc w:val="left"/>
      <w:lvlText w:val="%1"/>
      <w:numFmt w:val="decimal"/>
      <w:start w:val="1"/>
    </w:lvl>
    <w:lvl w:ilvl="1">
      <w:lvlJc w:val="left"/>
      <w:lvlText w:val="%2."/>
      <w:numFmt w:val="decimal"/>
      <w:start w:val="18"/>
    </w:lvl>
  </w:abstractNum>
  <w:abstractNum w:abstractNumId="76">
    <w:nsid w:val="1A32234B"/>
    <w:multiLevelType w:val="hybridMultilevel"/>
    <w:lvl w:ilvl="0">
      <w:lvlJc w:val="left"/>
      <w:lvlText w:val="%1."/>
      <w:numFmt w:val="decimal"/>
      <w:start w:val="19"/>
    </w:lvl>
    <w:lvl w:ilvl="1">
      <w:lvlJc w:val="left"/>
      <w:lvlText w:val="%2"/>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4" Type="http://schemas.openxmlformats.org/officeDocument/2006/relationships/hyperlink" Target="http://www.sec.gov/Archives/edgar/data/1377630/000137763019000114/exhibit41.htm" TargetMode="External"/><Relationship Id="rId15" Type="http://schemas.openxmlformats.org/officeDocument/2006/relationships/hyperlink" Target="http://www.sec.gov/Archives/edgar/data/1377630/000137763019000108/ex101cinemarkesaamendment.htm" TargetMode="External"/><Relationship Id="rId16" Type="http://schemas.openxmlformats.org/officeDocument/2006/relationships/hyperlink" Target="http://www.sec.gov/Archives/edgar/data/1377630/000137763019000108/ex102regalesa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2019-12-28T03:19:58Z</dcterms:created>
  <dcterms:modified xsi:type="dcterms:W3CDTF">2019-12-28T03:19:58Z</dcterms:modified>
</cp:coreProperties>
</file>