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12, 2006</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107315</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107315</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103505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17" w:lineRule="exact"/>
        <w:rPr>
          <w:sz w:val="24"/>
          <w:szCs w:val="24"/>
          <w:color w:val="auto"/>
        </w:rPr>
      </w:pPr>
    </w:p>
    <w:tbl>
      <w:tblPr>
        <w:tblLayout w:type="fixed"/>
        <w:tblInd w:w="1120" w:type="dxa"/>
        <w:tblCellMar>
          <w:top w:w="0" w:type="dxa"/>
          <w:left w:w="0" w:type="dxa"/>
          <w:bottom w:w="0" w:type="dxa"/>
          <w:right w:w="0" w:type="dxa"/>
        </w:tblCellMar>
      </w:tblPr>
      <w:tr>
        <w:trPr>
          <w:trHeight w:val="220"/>
        </w:trPr>
        <w:tc>
          <w:tcPr>
            <w:tcW w:w="2800" w:type="dxa"/>
            <w:vAlign w:val="bottom"/>
          </w:tcPr>
          <w:p>
            <w:pPr>
              <w:jc w:val="center"/>
              <w:ind w:right="1066"/>
              <w:spacing w:after="0"/>
              <w:rPr>
                <w:sz w:val="20"/>
                <w:szCs w:val="20"/>
                <w:color w:val="auto"/>
              </w:rPr>
            </w:pPr>
            <w:r>
              <w:rPr>
                <w:rFonts w:ascii="Arial" w:cs="Arial" w:eastAsia="Arial" w:hAnsi="Arial"/>
                <w:sz w:val="18"/>
                <w:szCs w:val="18"/>
                <w:b w:val="1"/>
                <w:bCs w:val="1"/>
                <w:color w:val="auto"/>
                <w:w w:val="88"/>
              </w:rPr>
              <w:t>Delaware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7319</w:t>
            </w:r>
          </w:p>
        </w:tc>
        <w:tc>
          <w:tcPr>
            <w:tcW w:w="2420" w:type="dxa"/>
            <w:vAlign w:val="bottom"/>
          </w:tcPr>
          <w:p>
            <w:pPr>
              <w:jc w:val="center"/>
              <w:ind w:left="1106"/>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2800" w:type="dxa"/>
            <w:vAlign w:val="bottom"/>
          </w:tcPr>
          <w:p>
            <w:pPr>
              <w:jc w:val="center"/>
              <w:ind w:right="1066"/>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(Primary Standard Industrial</w:t>
            </w:r>
          </w:p>
        </w:tc>
        <w:tc>
          <w:tcPr>
            <w:tcW w:w="2420" w:type="dxa"/>
            <w:vAlign w:val="bottom"/>
          </w:tcPr>
          <w:p>
            <w:pPr>
              <w:jc w:val="center"/>
              <w:ind w:left="1086"/>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72"/>
        </w:trPr>
        <w:tc>
          <w:tcPr>
            <w:tcW w:w="2800" w:type="dxa"/>
            <w:vAlign w:val="bottom"/>
          </w:tcPr>
          <w:p>
            <w:pPr>
              <w:jc w:val="center"/>
              <w:ind w:right="1066"/>
              <w:spacing w:after="0"/>
              <w:rPr>
                <w:sz w:val="20"/>
                <w:szCs w:val="20"/>
                <w:color w:val="auto"/>
              </w:rPr>
            </w:pPr>
            <w:r>
              <w:rPr>
                <w:rFonts w:ascii="Arial" w:cs="Arial" w:eastAsia="Arial" w:hAnsi="Arial"/>
                <w:sz w:val="14"/>
                <w:szCs w:val="14"/>
                <w:i w:val="1"/>
                <w:iCs w:val="1"/>
                <w:color w:val="auto"/>
                <w:w w:val="91"/>
              </w:rPr>
              <w:t>incorporation or organization)</w:t>
            </w:r>
          </w:p>
        </w:tc>
        <w:tc>
          <w:tcPr>
            <w:tcW w:w="3880" w:type="dxa"/>
            <w:vAlign w:val="bottom"/>
          </w:tcPr>
          <w:p>
            <w:pPr>
              <w:jc w:val="center"/>
              <w:spacing w:after="0"/>
              <w:rPr>
                <w:sz w:val="20"/>
                <w:szCs w:val="20"/>
                <w:color w:val="auto"/>
              </w:rPr>
            </w:pPr>
            <w:r>
              <w:rPr>
                <w:rFonts w:ascii="Arial" w:cs="Arial" w:eastAsia="Arial" w:hAnsi="Arial"/>
                <w:sz w:val="14"/>
                <w:szCs w:val="14"/>
                <w:i w:val="1"/>
                <w:iCs w:val="1"/>
                <w:color w:val="auto"/>
                <w:w w:val="88"/>
              </w:rPr>
              <w:t>Classification Code Number)</w:t>
            </w:r>
          </w:p>
        </w:tc>
        <w:tc>
          <w:tcPr>
            <w:tcW w:w="2420" w:type="dxa"/>
            <w:vAlign w:val="bottom"/>
          </w:tcPr>
          <w:p>
            <w:pPr>
              <w:jc w:val="center"/>
              <w:ind w:left="1106"/>
              <w:spacing w:after="0"/>
              <w:rPr>
                <w:sz w:val="20"/>
                <w:szCs w:val="20"/>
                <w:color w:val="auto"/>
              </w:rPr>
            </w:pPr>
            <w:r>
              <w:rPr>
                <w:rFonts w:ascii="Arial" w:cs="Arial" w:eastAsia="Arial" w:hAnsi="Arial"/>
                <w:sz w:val="14"/>
                <w:szCs w:val="14"/>
                <w:i w:val="1"/>
                <w:i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111760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9110 E. Nichols Ave.,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Centennial, Colorado 80112-3405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792-3600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Ralph E. Hardy,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9110 E. Nichols Ave.,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Centennial, Colorado 80112-3405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792-3600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58"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Copies to:</w:t>
            </w:r>
          </w:p>
        </w:tc>
      </w:tr>
      <w:tr>
        <w:trPr>
          <w:trHeight w:val="271"/>
        </w:trPr>
        <w:tc>
          <w:tcPr>
            <w:tcW w:w="48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W. Dean Salter, Esq.</w:t>
            </w:r>
          </w:p>
        </w:tc>
        <w:tc>
          <w:tcPr>
            <w:tcW w:w="1260" w:type="dxa"/>
            <w:vAlign w:val="bottom"/>
          </w:tcPr>
          <w:p>
            <w:pPr>
              <w:spacing w:after="0"/>
              <w:rPr>
                <w:sz w:val="23"/>
                <w:szCs w:val="23"/>
                <w:color w:val="auto"/>
              </w:rPr>
            </w:pPr>
          </w:p>
        </w:tc>
        <w:tc>
          <w:tcPr>
            <w:tcW w:w="4200" w:type="dxa"/>
            <w:vAlign w:val="bottom"/>
          </w:tcPr>
          <w:p>
            <w:pPr>
              <w:jc w:val="center"/>
              <w:ind w:left="172"/>
              <w:spacing w:after="0"/>
              <w:rPr>
                <w:sz w:val="20"/>
                <w:szCs w:val="20"/>
                <w:color w:val="auto"/>
              </w:rPr>
            </w:pPr>
            <w:r>
              <w:rPr>
                <w:rFonts w:ascii="Arial" w:cs="Arial" w:eastAsia="Arial" w:hAnsi="Arial"/>
                <w:sz w:val="18"/>
                <w:szCs w:val="18"/>
                <w:b w:val="1"/>
                <w:bCs w:val="1"/>
                <w:color w:val="auto"/>
                <w:w w:val="86"/>
              </w:rPr>
              <w:t>Casey T. Fleck, Esq.</w:t>
            </w:r>
          </w:p>
        </w:tc>
      </w:tr>
      <w:tr>
        <w:trPr>
          <w:trHeight w:val="228"/>
        </w:trPr>
        <w:tc>
          <w:tcPr>
            <w:tcW w:w="48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Mashenka Lundberg, Esq.</w:t>
            </w:r>
          </w:p>
        </w:tc>
        <w:tc>
          <w:tcPr>
            <w:tcW w:w="1260" w:type="dxa"/>
            <w:vAlign w:val="bottom"/>
          </w:tcPr>
          <w:p>
            <w:pPr>
              <w:spacing w:after="0"/>
              <w:rPr>
                <w:sz w:val="19"/>
                <w:szCs w:val="19"/>
                <w:color w:val="auto"/>
              </w:rPr>
            </w:pPr>
          </w:p>
        </w:tc>
        <w:tc>
          <w:tcPr>
            <w:tcW w:w="4200" w:type="dxa"/>
            <w:vAlign w:val="bottom"/>
          </w:tcPr>
          <w:p>
            <w:pPr>
              <w:jc w:val="center"/>
              <w:ind w:left="172"/>
              <w:spacing w:after="0"/>
              <w:rPr>
                <w:sz w:val="20"/>
                <w:szCs w:val="20"/>
                <w:color w:val="auto"/>
              </w:rPr>
            </w:pPr>
            <w:r>
              <w:rPr>
                <w:rFonts w:ascii="Arial" w:cs="Arial" w:eastAsia="Arial" w:hAnsi="Arial"/>
                <w:sz w:val="18"/>
                <w:szCs w:val="18"/>
                <w:b w:val="1"/>
                <w:bCs w:val="1"/>
                <w:color w:val="auto"/>
                <w:w w:val="82"/>
              </w:rPr>
              <w:t>Nicholas P. Saggese, Esq.</w:t>
            </w:r>
          </w:p>
        </w:tc>
      </w:tr>
      <w:tr>
        <w:trPr>
          <w:trHeight w:val="217"/>
        </w:trPr>
        <w:tc>
          <w:tcPr>
            <w:tcW w:w="48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2"/>
              </w:rPr>
              <w:t>Holme Roberts &amp; Owen LLP</w:t>
            </w:r>
          </w:p>
        </w:tc>
        <w:tc>
          <w:tcPr>
            <w:tcW w:w="1260" w:type="dxa"/>
            <w:vAlign w:val="bottom"/>
          </w:tcPr>
          <w:p>
            <w:pPr>
              <w:spacing w:after="0"/>
              <w:rPr>
                <w:sz w:val="18"/>
                <w:szCs w:val="18"/>
                <w:color w:val="auto"/>
              </w:rPr>
            </w:pPr>
          </w:p>
        </w:tc>
        <w:tc>
          <w:tcPr>
            <w:tcW w:w="420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48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1700 Lincoln Street, Suite 4100</w:t>
            </w:r>
          </w:p>
        </w:tc>
        <w:tc>
          <w:tcPr>
            <w:tcW w:w="1260" w:type="dxa"/>
            <w:vAlign w:val="bottom"/>
          </w:tcPr>
          <w:p>
            <w:pPr>
              <w:spacing w:after="0"/>
              <w:rPr>
                <w:sz w:val="18"/>
                <w:szCs w:val="18"/>
                <w:color w:val="auto"/>
              </w:rPr>
            </w:pPr>
          </w:p>
        </w:tc>
        <w:tc>
          <w:tcPr>
            <w:tcW w:w="420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300 South Grand Avenue</w:t>
            </w:r>
          </w:p>
        </w:tc>
      </w:tr>
      <w:tr>
        <w:trPr>
          <w:trHeight w:val="216"/>
        </w:trPr>
        <w:tc>
          <w:tcPr>
            <w:tcW w:w="48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Denver, Colorado 80203</w:t>
            </w:r>
          </w:p>
        </w:tc>
        <w:tc>
          <w:tcPr>
            <w:tcW w:w="1260" w:type="dxa"/>
            <w:vAlign w:val="bottom"/>
          </w:tcPr>
          <w:p>
            <w:pPr>
              <w:spacing w:after="0"/>
              <w:rPr>
                <w:sz w:val="18"/>
                <w:szCs w:val="18"/>
                <w:color w:val="auto"/>
              </w:rPr>
            </w:pPr>
          </w:p>
        </w:tc>
        <w:tc>
          <w:tcPr>
            <w:tcW w:w="420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4600" w:type="dxa"/>
            <w:vAlign w:val="bottom"/>
          </w:tcPr>
          <w:p>
            <w:pPr>
              <w:jc w:val="center"/>
              <w:ind w:left="332"/>
              <w:spacing w:after="0"/>
              <w:rPr>
                <w:sz w:val="20"/>
                <w:szCs w:val="20"/>
                <w:color w:val="auto"/>
              </w:rPr>
            </w:pPr>
            <w:r>
              <w:rPr>
                <w:rFonts w:ascii="Arial" w:cs="Arial" w:eastAsia="Arial" w:hAnsi="Arial"/>
                <w:sz w:val="18"/>
                <w:szCs w:val="18"/>
                <w:b w:val="1"/>
                <w:bCs w:val="1"/>
                <w:color w:val="auto"/>
                <w:w w:val="89"/>
              </w:rPr>
              <w:t>(303) 861-7000</w:t>
            </w:r>
          </w:p>
        </w:tc>
        <w:tc>
          <w:tcPr>
            <w:tcW w:w="240" w:type="dxa"/>
            <w:vAlign w:val="bottom"/>
          </w:tcPr>
          <w:p>
            <w:pPr>
              <w:spacing w:after="0"/>
              <w:rPr>
                <w:sz w:val="19"/>
                <w:szCs w:val="19"/>
                <w:color w:val="auto"/>
              </w:rPr>
            </w:pPr>
          </w:p>
        </w:tc>
        <w:tc>
          <w:tcPr>
            <w:tcW w:w="546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89"/>
              </w:rPr>
              <w:t>(213) 687-5000</w:t>
            </w:r>
          </w:p>
        </w:tc>
      </w:tr>
      <w:tr>
        <w:trPr>
          <w:trHeight w:val="178"/>
        </w:trPr>
        <w:tc>
          <w:tcPr>
            <w:tcW w:w="4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200" w:type="dxa"/>
            <w:vAlign w:val="bottom"/>
          </w:tcPr>
          <w:p>
            <w:pPr>
              <w:spacing w:after="0"/>
              <w:rPr>
                <w:sz w:val="15"/>
                <w:szCs w:val="15"/>
                <w:color w:val="auto"/>
              </w:rPr>
            </w:pPr>
          </w:p>
        </w:tc>
      </w:tr>
      <w:tr>
        <w:trPr>
          <w:trHeight w:val="3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w w:val="87"/>
              </w:rPr>
              <w:t>Approximate date of commencement of proposed sale to public:</w:t>
            </w:r>
          </w:p>
        </w:tc>
        <w:tc>
          <w:tcPr>
            <w:tcW w:w="5460" w:type="dxa"/>
            <w:vAlign w:val="bottom"/>
            <w:gridSpan w:val="2"/>
          </w:tcPr>
          <w:p>
            <w:pPr>
              <w:ind w:left="80"/>
              <w:spacing w:after="0"/>
              <w:rPr>
                <w:sz w:val="20"/>
                <w:szCs w:val="20"/>
                <w:color w:val="auto"/>
              </w:rPr>
            </w:pPr>
            <w:r>
              <w:rPr>
                <w:rFonts w:ascii="Arial" w:cs="Arial" w:eastAsia="Arial" w:hAnsi="Arial"/>
                <w:sz w:val="18"/>
                <w:szCs w:val="18"/>
                <w:color w:val="auto"/>
                <w:w w:val="87"/>
              </w:rPr>
              <w:t>As soon as practicable after the effective date of this Registration Statement.</w:t>
            </w:r>
          </w:p>
        </w:tc>
      </w:tr>
    </w:tbl>
    <w:p>
      <w:pPr>
        <w:spacing w:after="0" w:line="48" w:lineRule="exact"/>
        <w:rPr>
          <w:sz w:val="24"/>
          <w:szCs w:val="24"/>
          <w:color w:val="auto"/>
        </w:rPr>
      </w:pPr>
    </w:p>
    <w:p>
      <w:pPr>
        <w:ind w:right="300" w:firstLine="342"/>
        <w:spacing w:after="0" w:line="229" w:lineRule="exact"/>
        <w:rPr>
          <w:sz w:val="20"/>
          <w:szCs w:val="20"/>
          <w:color w:val="auto"/>
        </w:rPr>
      </w:pPr>
      <w:r>
        <w:rPr>
          <w:rFonts w:ascii="Arial" w:cs="Arial" w:eastAsia="Arial" w:hAnsi="Arial"/>
          <w:sz w:val="18"/>
          <w:szCs w:val="18"/>
          <w:color w:val="auto"/>
        </w:rPr>
        <w:t xml:space="preserve">If any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5174615</wp:posOffset>
            </wp:positionH>
            <wp:positionV relativeFrom="paragraph">
              <wp:posOffset>-35560</wp:posOffset>
            </wp:positionV>
            <wp:extent cx="557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-35560</wp:posOffset>
            </wp:positionV>
            <wp:extent cx="557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-35560</wp:posOffset>
            </wp:positionV>
            <wp:extent cx="557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360"/>
        <w:spacing w:after="0" w:line="188" w:lineRule="exact"/>
        <w:rPr>
          <w:sz w:val="20"/>
          <w:szCs w:val="20"/>
          <w:color w:val="auto"/>
        </w:rPr>
      </w:pPr>
      <w:r>
        <w:rPr>
          <w:rFonts w:ascii="Arial" w:cs="Arial" w:eastAsia="Arial" w:hAnsi="Arial"/>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140335</wp:posOffset>
            </wp:positionV>
            <wp:extent cx="951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0" w:type="dxa"/>
            <w:vAlign w:val="bottom"/>
          </w:tcPr>
          <w:p>
            <w:pPr>
              <w:jc w:val="center"/>
              <w:ind w:left="1367"/>
              <w:spacing w:after="0"/>
              <w:rPr>
                <w:sz w:val="20"/>
                <w:szCs w:val="20"/>
                <w:color w:val="auto"/>
              </w:rPr>
            </w:pPr>
            <w:r>
              <w:rPr>
                <w:rFonts w:ascii="Arial" w:cs="Arial" w:eastAsia="Arial" w:hAnsi="Arial"/>
                <w:sz w:val="14"/>
                <w:szCs w:val="14"/>
                <w:b w:val="1"/>
                <w:bCs w:val="1"/>
                <w:color w:val="auto"/>
                <w:w w:val="87"/>
              </w:rPr>
              <w:t>Proposed Maximum</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60" w:type="dxa"/>
            <w:vAlign w:val="bottom"/>
          </w:tcPr>
          <w:p>
            <w:pPr>
              <w:jc w:val="center"/>
              <w:ind w:left="86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3600" w:type="dxa"/>
            <w:vAlign w:val="bottom"/>
          </w:tcPr>
          <w:p>
            <w:pPr>
              <w:jc w:val="center"/>
              <w:ind w:left="1367"/>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460" w:type="dxa"/>
            <w:vAlign w:val="bottom"/>
            <w:gridSpan w:val="2"/>
          </w:tcPr>
          <w:p>
            <w:pPr>
              <w:jc w:val="center"/>
              <w:ind w:left="40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6360" w:type="dxa"/>
            <w:vAlign w:val="bottom"/>
          </w:tcPr>
          <w:p>
            <w:pPr>
              <w:jc w:val="center"/>
              <w:ind w:left="886"/>
              <w:spacing w:after="0"/>
              <w:rPr>
                <w:sz w:val="20"/>
                <w:szCs w:val="20"/>
                <w:color w:val="auto"/>
              </w:rPr>
            </w:pPr>
            <w:r>
              <w:rPr>
                <w:rFonts w:ascii="Arial" w:cs="Arial" w:eastAsia="Arial" w:hAnsi="Arial"/>
                <w:sz w:val="14"/>
                <w:szCs w:val="14"/>
                <w:b w:val="1"/>
                <w:bCs w:val="1"/>
                <w:color w:val="auto"/>
                <w:w w:val="84"/>
              </w:rPr>
              <w:t>Securities to be Registered</w:t>
            </w:r>
          </w:p>
        </w:tc>
        <w:tc>
          <w:tcPr>
            <w:tcW w:w="3600" w:type="dxa"/>
            <w:vAlign w:val="bottom"/>
          </w:tcPr>
          <w:p>
            <w:pPr>
              <w:jc w:val="center"/>
              <w:ind w:left="1367"/>
              <w:spacing w:after="0"/>
              <w:rPr>
                <w:sz w:val="20"/>
                <w:szCs w:val="20"/>
                <w:color w:val="auto"/>
              </w:rPr>
            </w:pPr>
            <w:r>
              <w:rPr>
                <w:rFonts w:ascii="Arial" w:cs="Arial" w:eastAsia="Arial" w:hAnsi="Arial"/>
                <w:sz w:val="14"/>
                <w:szCs w:val="14"/>
                <w:b w:val="1"/>
                <w:bCs w:val="1"/>
                <w:color w:val="auto"/>
                <w:w w:val="87"/>
              </w:rPr>
              <w:t>Price(1)(2)</w:t>
            </w:r>
          </w:p>
        </w:tc>
        <w:tc>
          <w:tcPr>
            <w:tcW w:w="1460" w:type="dxa"/>
            <w:vAlign w:val="bottom"/>
            <w:gridSpan w:val="2"/>
          </w:tcPr>
          <w:p>
            <w:pPr>
              <w:jc w:val="center"/>
              <w:ind w:left="386"/>
              <w:spacing w:after="0"/>
              <w:rPr>
                <w:sz w:val="20"/>
                <w:szCs w:val="20"/>
                <w:color w:val="auto"/>
              </w:rPr>
            </w:pPr>
            <w:r>
              <w:rPr>
                <w:rFonts w:ascii="Arial" w:cs="Arial" w:eastAsia="Arial" w:hAnsi="Arial"/>
                <w:sz w:val="14"/>
                <w:szCs w:val="14"/>
                <w:b w:val="1"/>
                <w:bCs w:val="1"/>
                <w:color w:val="auto"/>
                <w:w w:val="87"/>
              </w:rPr>
              <w:t>Registration Fee</w:t>
            </w:r>
          </w:p>
        </w:tc>
      </w:tr>
      <w:tr>
        <w:trPr>
          <w:trHeight w:val="216"/>
        </w:trPr>
        <w:tc>
          <w:tcPr>
            <w:tcW w:w="20" w:type="dxa"/>
            <w:vAlign w:val="bottom"/>
          </w:tcPr>
          <w:p>
            <w:pPr>
              <w:spacing w:after="0"/>
              <w:rPr>
                <w:sz w:val="18"/>
                <w:szCs w:val="18"/>
                <w:color w:val="auto"/>
              </w:rPr>
            </w:pPr>
          </w:p>
        </w:tc>
        <w:tc>
          <w:tcPr>
            <w:tcW w:w="6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3600" w:type="dxa"/>
            <w:vAlign w:val="bottom"/>
            <w:tcBorders>
              <w:top w:val="single" w:sz="8" w:color="auto"/>
            </w:tcBorders>
          </w:tcPr>
          <w:p>
            <w:pPr>
              <w:jc w:val="right"/>
              <w:ind w:right="427"/>
              <w:spacing w:after="0"/>
              <w:rPr>
                <w:sz w:val="20"/>
                <w:szCs w:val="20"/>
                <w:color w:val="auto"/>
              </w:rPr>
            </w:pPr>
            <w:r>
              <w:rPr>
                <w:rFonts w:ascii="Arial" w:cs="Arial" w:eastAsia="Arial" w:hAnsi="Arial"/>
                <w:sz w:val="18"/>
                <w:szCs w:val="18"/>
                <w:color w:val="auto"/>
              </w:rPr>
              <w:t>$   700,000,000</w:t>
            </w:r>
          </w:p>
        </w:tc>
        <w:tc>
          <w:tcPr>
            <w:tcW w:w="1440" w:type="dxa"/>
            <w:vAlign w:val="bottom"/>
            <w:tcBorders>
              <w:top w:val="single" w:sz="8" w:color="auto"/>
            </w:tcBorders>
          </w:tcPr>
          <w:p>
            <w:pPr>
              <w:jc w:val="center"/>
              <w:ind w:left="406"/>
              <w:spacing w:after="0"/>
              <w:rPr>
                <w:sz w:val="20"/>
                <w:szCs w:val="20"/>
                <w:color w:val="auto"/>
              </w:rPr>
            </w:pPr>
            <w:r>
              <w:rPr>
                <w:rFonts w:ascii="Arial" w:cs="Arial" w:eastAsia="Arial" w:hAnsi="Arial"/>
                <w:sz w:val="18"/>
                <w:szCs w:val="18"/>
                <w:color w:val="auto"/>
                <w:w w:val="95"/>
              </w:rPr>
              <w:t>$  74,900.00</w:t>
            </w:r>
          </w:p>
        </w:tc>
        <w:tc>
          <w:tcPr>
            <w:tcW w:w="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340" w:hanging="321"/>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w:t>
      </w:r>
    </w:p>
    <w:p>
      <w:pPr>
        <w:spacing w:after="0" w:line="15" w:lineRule="exact"/>
        <w:rPr>
          <w:rFonts w:ascii="Arial" w:cs="Arial" w:eastAsia="Arial" w:hAnsi="Arial"/>
          <w:sz w:val="18"/>
          <w:szCs w:val="18"/>
          <w:color w:val="auto"/>
        </w:rPr>
      </w:pPr>
    </w:p>
    <w:p>
      <w:pPr>
        <w:ind w:left="340" w:hanging="321"/>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shares of common stock which may be purchased by the underwriters to cover over-allotments, if any.</w:t>
      </w:r>
    </w:p>
    <w:p>
      <w:pPr>
        <w:spacing w:after="0" w:line="51" w:lineRule="exact"/>
        <w:rPr>
          <w:sz w:val="24"/>
          <w:szCs w:val="24"/>
          <w:color w:val="auto"/>
        </w:rPr>
      </w:pPr>
    </w:p>
    <w:p>
      <w:pPr>
        <w:ind w:right="10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3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9303C"/>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9303C"/>
        </w:rPr>
        <w:t>SUBJECT TO COMPLETION, DATED OCTOBER 12, 2006</w:t>
      </w:r>
    </w:p>
    <w:p>
      <w:pPr>
        <w:spacing w:after="0" w:line="212" w:lineRule="exact"/>
        <w:rPr>
          <w:sz w:val="20"/>
          <w:szCs w:val="20"/>
          <w:color w:val="auto"/>
        </w:rPr>
      </w:pPr>
    </w:p>
    <w:p>
      <w:pPr>
        <w:ind w:left="578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140970</wp:posOffset>
            </wp:positionV>
            <wp:extent cx="2246630"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227330</wp:posOffset>
            </wp:positionV>
            <wp:extent cx="1106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340" w:firstLine="456"/>
        <w:spacing w:after="0" w:line="234" w:lineRule="auto"/>
        <w:rPr>
          <w:sz w:val="20"/>
          <w:szCs w:val="20"/>
          <w:color w:val="auto"/>
        </w:rPr>
      </w:pPr>
      <w:r>
        <w:rPr>
          <w:rFonts w:ascii="Arial" w:cs="Arial" w:eastAsia="Arial" w:hAnsi="Arial"/>
          <w:sz w:val="18"/>
          <w:szCs w:val="18"/>
          <w:color w:val="auto"/>
        </w:rPr>
        <w:t>This is the initial public offering of our common stock. We are selling shares of our common stock. Prior to this offering, there has been no public market for our common stock. The initial public offering price of our common stock is expected to be between $ and</w:t>
      </w:r>
    </w:p>
    <w:p>
      <w:pPr>
        <w:spacing w:after="0" w:line="2" w:lineRule="exact"/>
        <w:rPr>
          <w:sz w:val="20"/>
          <w:szCs w:val="20"/>
          <w:color w:val="auto"/>
        </w:rPr>
      </w:pPr>
    </w:p>
    <w:p>
      <w:pPr>
        <w:ind w:left="740" w:hanging="732"/>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share. We will apply to list the common stock on the Nasdaq Global Select Market under the symbol “NCMI.”</w:t>
      </w:r>
    </w:p>
    <w:p>
      <w:pPr>
        <w:spacing w:after="0" w:line="158" w:lineRule="exact"/>
        <w:rPr>
          <w:sz w:val="20"/>
          <w:szCs w:val="20"/>
          <w:color w:val="auto"/>
        </w:rPr>
      </w:pPr>
    </w:p>
    <w:p>
      <w:pPr>
        <w:ind w:right="220" w:firstLine="456"/>
        <w:spacing w:after="0" w:line="234" w:lineRule="auto"/>
        <w:rPr>
          <w:sz w:val="20"/>
          <w:szCs w:val="20"/>
          <w:color w:val="auto"/>
        </w:rPr>
      </w:pPr>
      <w:r>
        <w:rPr>
          <w:rFonts w:ascii="Arial" w:cs="Arial" w:eastAsia="Arial" w:hAnsi="Arial"/>
          <w:sz w:val="18"/>
          <w:szCs w:val="18"/>
          <w:color w:val="auto"/>
        </w:rPr>
        <w:t>We will be a holding company and our sole asset will be approximately % of the common membership units in National CineMedia, LLC, NCM LLC. Our Founding Members—AMC Entertainment Inc., Cinemark, Inc. and Regal Entertainment Group—will own the remaining</w:t>
      </w:r>
    </w:p>
    <w:p>
      <w:pPr>
        <w:spacing w:after="0" w:line="2" w:lineRule="exact"/>
        <w:rPr>
          <w:sz w:val="20"/>
          <w:szCs w:val="20"/>
          <w:color w:val="auto"/>
        </w:rPr>
      </w:pPr>
    </w:p>
    <w:p>
      <w:pPr>
        <w:jc w:val="both"/>
        <w:ind w:right="100" w:firstLine="594"/>
        <w:spacing w:after="0" w:line="264" w:lineRule="auto"/>
        <w:tabs>
          <w:tab w:leader="none" w:pos="791" w:val="left"/>
        </w:tabs>
        <w:numPr>
          <w:ilvl w:val="0"/>
          <w:numId w:val="3"/>
        </w:numPr>
        <w:rPr>
          <w:rFonts w:ascii="Arial" w:cs="Arial" w:eastAsia="Arial" w:hAnsi="Arial"/>
          <w:sz w:val="16"/>
          <w:szCs w:val="16"/>
          <w:color w:val="auto"/>
        </w:rPr>
      </w:pPr>
      <w:r>
        <w:rPr>
          <w:rFonts w:ascii="Arial" w:cs="Arial" w:eastAsia="Arial" w:hAnsi="Arial"/>
          <w:sz w:val="16"/>
          <w:szCs w:val="16"/>
          <w:color w:val="auto"/>
        </w:rPr>
        <w:t>of the common membership units in NCM LLC, each of which will be redeemable for, at our option, shares of our common stock on a one-for-one basis, a cash payment equal to the market price of one share of our common stock or any combination of cash and stock. Our only business will be acting as the sole manager of NCM LLC and, as such, we will operate and control all of the business and affairs of NCM LLC. We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will use the proceeds of this offering to purchase newly issued common membership units from NCM LLC. NCM LLC will use $ of the proceeds it receives from us to compensate our Founding Members for agreeing to modify our payment obligations under our agreements with our Founding Members. Several of the underwriters have affiliates who own common stock of one or more of our Founding Members. See “Use of Proceeds” and “Underwriting.”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gridSpan w:val="3"/>
          </w:tcPr>
          <w:p>
            <w:pPr>
              <w:ind w:left="460"/>
              <w:spacing w:after="0"/>
              <w:rPr>
                <w:sz w:val="20"/>
                <w:szCs w:val="20"/>
                <w:color w:val="auto"/>
              </w:rPr>
            </w:pPr>
            <w:r>
              <w:rPr>
                <w:rFonts w:ascii="Arial" w:cs="Arial" w:eastAsia="Arial" w:hAnsi="Arial"/>
                <w:sz w:val="18"/>
                <w:szCs w:val="18"/>
                <w:color w:val="auto"/>
              </w:rPr>
              <w:t>The underwriters have an option to purchase a maximum of</w:t>
            </w:r>
          </w:p>
        </w:tc>
        <w:tc>
          <w:tcPr>
            <w:tcW w:w="5820" w:type="dxa"/>
            <w:vAlign w:val="bottom"/>
            <w:gridSpan w:val="7"/>
          </w:tcPr>
          <w:p>
            <w:pPr>
              <w:ind w:left="180"/>
              <w:spacing w:after="0"/>
              <w:rPr>
                <w:sz w:val="20"/>
                <w:szCs w:val="20"/>
                <w:color w:val="auto"/>
              </w:rPr>
            </w:pPr>
            <w:r>
              <w:rPr>
                <w:rFonts w:ascii="Arial" w:cs="Arial" w:eastAsia="Arial" w:hAnsi="Arial"/>
                <w:sz w:val="18"/>
                <w:szCs w:val="18"/>
                <w:color w:val="auto"/>
              </w:rPr>
              <w:t>additional shares of common stock to cover over-allotments of shares.</w:t>
            </w:r>
          </w:p>
        </w:tc>
      </w:tr>
      <w:tr>
        <w:trPr>
          <w:trHeight w:val="326"/>
        </w:trPr>
        <w:tc>
          <w:tcPr>
            <w:tcW w:w="8800" w:type="dxa"/>
            <w:vAlign w:val="bottom"/>
            <w:gridSpan w:val="8"/>
          </w:tcPr>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 </w:t>
            </w:r>
            <w:hyperlink w:anchor="page23">
              <w:r>
                <w:rPr>
                  <w:rFonts w:ascii="Arial" w:cs="Arial" w:eastAsia="Arial" w:hAnsi="Arial"/>
                  <w:sz w:val="18"/>
                  <w:szCs w:val="18"/>
                  <w:b w:val="1"/>
                  <w:bCs w:val="1"/>
                  <w:color w:val="0000EE"/>
                </w:rPr>
                <w:t>Risk Factors</w:t>
              </w:r>
            </w:hyperlink>
            <w:r>
              <w:rPr>
                <w:rFonts w:ascii="Arial" w:cs="Arial" w:eastAsia="Arial" w:hAnsi="Arial"/>
                <w:sz w:val="18"/>
                <w:szCs w:val="18"/>
                <w:b w:val="1"/>
                <w:bCs w:val="1"/>
                <w:color w:val="auto"/>
              </w:rPr>
              <w:t>” on page 19.</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341"/>
        </w:trPr>
        <w:tc>
          <w:tcPr>
            <w:tcW w:w="48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Underwriting</w:t>
            </w: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Proceeds to</w:t>
            </w:r>
          </w:p>
        </w:tc>
      </w:tr>
      <w:tr>
        <w:trPr>
          <w:trHeight w:val="149"/>
        </w:trPr>
        <w:tc>
          <w:tcPr>
            <w:tcW w:w="4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Price to</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Discounts and</w:t>
            </w:r>
          </w:p>
        </w:tc>
        <w:tc>
          <w:tcPr>
            <w:tcW w:w="3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National CineMedia, Inc.</w:t>
            </w:r>
          </w:p>
        </w:tc>
      </w:tr>
      <w:tr>
        <w:trPr>
          <w:trHeight w:val="178"/>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5"/>
              </w:rPr>
              <w:t>Public</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Commissions</w:t>
            </w:r>
          </w:p>
        </w:tc>
        <w:tc>
          <w:tcPr>
            <w:tcW w:w="3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(Before Expenses)</w:t>
            </w:r>
          </w:p>
        </w:tc>
      </w:tr>
      <w:tr>
        <w:trPr>
          <w:trHeight w:val="200"/>
        </w:trPr>
        <w:tc>
          <w:tcPr>
            <w:tcW w:w="5600" w:type="dxa"/>
            <w:vAlign w:val="bottom"/>
            <w:gridSpan w:val="3"/>
          </w:tcPr>
          <w:p>
            <w:pPr>
              <w:spacing w:after="0" w:line="200" w:lineRule="exact"/>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11"/>
        </w:trPr>
        <w:tc>
          <w:tcPr>
            <w:tcW w:w="5600" w:type="dxa"/>
            <w:vAlign w:val="bottom"/>
            <w:gridSpan w:val="3"/>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65"/>
        </w:trPr>
        <w:tc>
          <w:tcPr>
            <w:tcW w:w="5600" w:type="dxa"/>
            <w:vAlign w:val="bottom"/>
            <w:gridSpan w:val="3"/>
          </w:tcPr>
          <w:p>
            <w:pPr>
              <w:ind w:left="460"/>
              <w:spacing w:after="0"/>
              <w:rPr>
                <w:sz w:val="20"/>
                <w:szCs w:val="20"/>
                <w:color w:val="auto"/>
              </w:rPr>
            </w:pPr>
            <w:r>
              <w:rPr>
                <w:rFonts w:ascii="Arial" w:cs="Arial" w:eastAsia="Arial" w:hAnsi="Arial"/>
                <w:sz w:val="18"/>
                <w:szCs w:val="18"/>
                <w:color w:val="auto"/>
                <w:w w:val="99"/>
              </w:rPr>
              <w:t>Delivery of the shares of common stock will be made on or about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 2006.</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32" w:lineRule="exact"/>
        <w:rPr>
          <w:sz w:val="20"/>
          <w:szCs w:val="20"/>
          <w:color w:val="auto"/>
        </w:rPr>
      </w:pPr>
    </w:p>
    <w:p>
      <w:pPr>
        <w:ind w:right="500" w:firstLine="456"/>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Credit Suisse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JPMorgan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Lehman Brothers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Morgan Stanley</w:t>
      </w:r>
    </w:p>
    <w:p>
      <w:pPr>
        <w:spacing w:after="0" w:line="200" w:lineRule="exact"/>
        <w:rPr>
          <w:sz w:val="20"/>
          <w:szCs w:val="20"/>
          <w:color w:val="auto"/>
        </w:rPr>
      </w:pPr>
    </w:p>
    <w:p>
      <w:pPr>
        <w:sectPr>
          <w:pgSz w:w="11900" w:h="16838" w:orient="portrait"/>
          <w:cols w:equalWidth="0" w:num="4">
            <w:col w:w="2140" w:space="720"/>
            <w:col w:w="1580" w:space="700"/>
            <w:col w:w="2800" w:space="720"/>
            <w:col w:w="2760"/>
          </w:cols>
          <w:pgMar w:left="240" w:top="459" w:right="239" w:bottom="1440" w:gutter="0" w:footer="0" w:header="0"/>
          <w:type w:val="continuous"/>
        </w:sectPr>
      </w:pPr>
    </w:p>
    <w:p>
      <w:pPr>
        <w:spacing w:after="0" w:line="66"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2006.</w:t>
      </w:r>
    </w:p>
    <w:p>
      <w:pPr>
        <w:sectPr>
          <w:pgSz w:w="11900" w:h="16838" w:orient="portrait"/>
          <w:cols w:equalWidth="0" w:num="2">
            <w:col w:w="6460" w:space="720"/>
            <w:col w:w="42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205740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0720" w:type="dxa"/>
            <w:vAlign w:val="bottom"/>
            <w:gridSpan w:val="2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w:t>
              </w:r>
              <w:r>
                <w:rPr>
                  <w:rFonts w:ascii="Arial" w:cs="Arial" w:eastAsia="Arial" w:hAnsi="Arial"/>
                  <w:sz w:val="14"/>
                  <w:szCs w:val="14"/>
                  <w:color w:val="0000EE"/>
                </w:rPr>
                <w:t>ROSPECTUS</w:t>
              </w:r>
              <w:r>
                <w:rPr>
                  <w:rFonts w:ascii="Arial" w:cs="Arial" w:eastAsia="Arial" w:hAnsi="Arial"/>
                  <w:sz w:val="18"/>
                  <w:szCs w:val="18"/>
                  <w:color w:val="0000EE"/>
                </w:rPr>
                <w:t xml:space="preserve"> S</w:t>
              </w:r>
              <w:r>
                <w:rPr>
                  <w:rFonts w:ascii="Arial" w:cs="Arial" w:eastAsia="Arial" w:hAnsi="Arial"/>
                  <w:sz w:val="14"/>
                  <w:szCs w:val="14"/>
                  <w:color w:val="0000EE"/>
                </w:rPr>
                <w:t>UMMARY</w:t>
              </w:r>
            </w:hyperlink>
          </w:p>
        </w:tc>
        <w:tc>
          <w:tcPr>
            <w:tcW w:w="2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20" w:type="dxa"/>
            <w:vAlign w:val="bottom"/>
            <w:gridSpan w:val="26"/>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R</w:t>
              </w:r>
              <w:r>
                <w:rPr>
                  <w:rFonts w:ascii="Arial" w:cs="Arial" w:eastAsia="Arial" w:hAnsi="Arial"/>
                  <w:sz w:val="14"/>
                  <w:szCs w:val="14"/>
                  <w:color w:val="0000EE"/>
                  <w:w w:val="96"/>
                </w:rPr>
                <w:t>ISK</w:t>
              </w:r>
              <w:r>
                <w:rPr>
                  <w:rFonts w:ascii="Arial" w:cs="Arial" w:eastAsia="Arial" w:hAnsi="Arial"/>
                  <w:sz w:val="18"/>
                  <w:szCs w:val="18"/>
                  <w:color w:val="0000EE"/>
                  <w:w w:val="96"/>
                </w:rPr>
                <w:t xml:space="preserve"> F</w:t>
              </w:r>
              <w:r>
                <w:rPr>
                  <w:rFonts w:ascii="Arial" w:cs="Arial" w:eastAsia="Arial" w:hAnsi="Arial"/>
                  <w:sz w:val="14"/>
                  <w:szCs w:val="14"/>
                  <w:color w:val="0000EE"/>
                  <w:w w:val="96"/>
                </w:rPr>
                <w:t>ACTORS</w:t>
              </w:r>
            </w:hyperlink>
          </w:p>
        </w:tc>
        <w:tc>
          <w:tcPr>
            <w:tcW w:w="660" w:type="dxa"/>
            <w:vAlign w:val="bottom"/>
            <w:tcBorders>
              <w:top w:val="single" w:sz="8" w:color="0000EE"/>
            </w:tcBorders>
            <w:gridSpan w:val="7"/>
          </w:tcPr>
          <w:p>
            <w:pPr>
              <w:spacing w:after="0"/>
              <w:rPr>
                <w:sz w:val="17"/>
                <w:szCs w:val="17"/>
                <w:color w:val="auto"/>
              </w:rPr>
            </w:pPr>
          </w:p>
        </w:tc>
        <w:tc>
          <w:tcPr>
            <w:tcW w:w="8980" w:type="dxa"/>
            <w:vAlign w:val="bottom"/>
            <w:gridSpan w:val="15"/>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w:t>
              </w:r>
              <w:r>
                <w:rPr>
                  <w:rFonts w:ascii="Arial" w:cs="Arial" w:eastAsia="Arial" w:hAnsi="Arial"/>
                  <w:sz w:val="14"/>
                  <w:szCs w:val="14"/>
                  <w:color w:val="0000EE"/>
                </w:rPr>
                <w:t>PECIAL</w:t>
              </w:r>
              <w:r>
                <w:rPr>
                  <w:rFonts w:ascii="Arial" w:cs="Arial" w:eastAsia="Arial" w:hAnsi="Arial"/>
                  <w:sz w:val="18"/>
                  <w:szCs w:val="18"/>
                  <w:color w:val="0000EE"/>
                </w:rPr>
                <w:t xml:space="preserve"> N</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EGARDING</w:t>
              </w:r>
              <w:r>
                <w:rPr>
                  <w:rFonts w:ascii="Arial" w:cs="Arial" w:eastAsia="Arial" w:hAnsi="Arial"/>
                  <w:sz w:val="18"/>
                  <w:szCs w:val="18"/>
                  <w:color w:val="0000EE"/>
                </w:rPr>
                <w:t xml:space="preserve"> F</w:t>
              </w:r>
              <w:r>
                <w:rPr>
                  <w:rFonts w:ascii="Arial" w:cs="Arial" w:eastAsia="Arial" w:hAnsi="Arial"/>
                  <w:sz w:val="14"/>
                  <w:szCs w:val="14"/>
                  <w:color w:val="0000EE"/>
                </w:rPr>
                <w:t>ORWARD</w:t>
              </w:r>
              <w:r>
                <w:rPr>
                  <w:rFonts w:ascii="Arial" w:cs="Arial" w:eastAsia="Arial" w:hAnsi="Arial"/>
                  <w:sz w:val="18"/>
                  <w:szCs w:val="18"/>
                  <w:color w:val="0000EE"/>
                </w:rPr>
                <w:t>-L</w:t>
              </w:r>
              <w:r>
                <w:rPr>
                  <w:rFonts w:ascii="Arial" w:cs="Arial" w:eastAsia="Arial" w:hAnsi="Arial"/>
                  <w:sz w:val="14"/>
                  <w:szCs w:val="14"/>
                  <w:color w:val="0000EE"/>
                </w:rPr>
                <w:t>OOKING</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U</w:t>
              </w:r>
              <w:r>
                <w:rPr>
                  <w:rFonts w:ascii="Arial" w:cs="Arial" w:eastAsia="Arial" w:hAnsi="Arial"/>
                  <w:sz w:val="14"/>
                  <w:szCs w:val="14"/>
                  <w:color w:val="0000EE"/>
                  <w:w w:val="94"/>
                </w:rPr>
                <w:t>SE OF</w:t>
              </w:r>
              <w:r>
                <w:rPr>
                  <w:rFonts w:ascii="Arial" w:cs="Arial" w:eastAsia="Arial" w:hAnsi="Arial"/>
                  <w:sz w:val="18"/>
                  <w:szCs w:val="18"/>
                  <w:color w:val="0000EE"/>
                  <w:w w:val="94"/>
                </w:rPr>
                <w:t xml:space="preserve"> P</w:t>
              </w:r>
              <w:r>
                <w:rPr>
                  <w:rFonts w:ascii="Arial" w:cs="Arial" w:eastAsia="Arial" w:hAnsi="Arial"/>
                  <w:sz w:val="14"/>
                  <w:szCs w:val="14"/>
                  <w:color w:val="0000EE"/>
                  <w:w w:val="94"/>
                </w:rPr>
                <w:t>ROCEEDS</w:t>
              </w:r>
            </w:hyperlink>
          </w:p>
        </w:tc>
        <w:tc>
          <w:tcPr>
            <w:tcW w:w="3120" w:type="dxa"/>
            <w:vAlign w:val="bottom"/>
            <w:tcBorders>
              <w:top w:val="single" w:sz="8" w:color="0000EE"/>
            </w:tcBorders>
            <w:gridSpan w:val="13"/>
          </w:tcPr>
          <w:p>
            <w:pPr>
              <w:spacing w:after="0"/>
              <w:rPr>
                <w:sz w:val="17"/>
                <w:szCs w:val="17"/>
                <w:color w:val="auto"/>
              </w:rPr>
            </w:pPr>
          </w:p>
        </w:tc>
        <w:tc>
          <w:tcPr>
            <w:tcW w:w="6240" w:type="dxa"/>
            <w:vAlign w:val="bottom"/>
            <w:gridSpan w:val="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w:t>
              </w:r>
              <w:r>
                <w:rPr>
                  <w:rFonts w:ascii="Arial" w:cs="Arial" w:eastAsia="Arial" w:hAnsi="Arial"/>
                  <w:sz w:val="14"/>
                  <w:szCs w:val="14"/>
                  <w:color w:val="0000EE"/>
                </w:rPr>
                <w:t>IVIDEND</w:t>
              </w:r>
              <w:r>
                <w:rPr>
                  <w:rFonts w:ascii="Arial" w:cs="Arial" w:eastAsia="Arial" w:hAnsi="Arial"/>
                  <w:sz w:val="18"/>
                  <w:szCs w:val="18"/>
                  <w:color w:val="0000EE"/>
                </w:rPr>
                <w:t xml:space="preserve"> P</w:t>
              </w:r>
              <w:r>
                <w:rPr>
                  <w:rFonts w:ascii="Arial" w:cs="Arial" w:eastAsia="Arial" w:hAnsi="Arial"/>
                  <w:sz w:val="14"/>
                  <w:szCs w:val="14"/>
                  <w:color w:val="0000EE"/>
                </w:rPr>
                <w:t>OLICY</w:t>
              </w:r>
            </w:hyperlink>
          </w:p>
        </w:tc>
        <w:tc>
          <w:tcPr>
            <w:tcW w:w="9380" w:type="dxa"/>
            <w:vAlign w:val="bottom"/>
            <w:gridSpan w:val="17"/>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w:t>
              </w:r>
              <w:r>
                <w:rPr>
                  <w:rFonts w:ascii="Arial" w:cs="Arial" w:eastAsia="Arial" w:hAnsi="Arial"/>
                  <w:sz w:val="14"/>
                  <w:szCs w:val="14"/>
                  <w:color w:val="0000EE"/>
                </w:rPr>
                <w:t>APITALIZATION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w:t>
              </w:r>
              <w:r>
                <w:rPr>
                  <w:rFonts w:ascii="Arial" w:cs="Arial" w:eastAsia="Arial" w:hAnsi="Arial"/>
                  <w:sz w:val="14"/>
                  <w:szCs w:val="14"/>
                  <w:color w:val="0000EE"/>
                </w:rPr>
                <w:t>ILUTION</w:t>
              </w:r>
            </w:hyperlink>
          </w:p>
        </w:tc>
        <w:tc>
          <w:tcPr>
            <w:tcW w:w="460" w:type="dxa"/>
            <w:vAlign w:val="bottom"/>
            <w:tcBorders>
              <w:top w:val="single" w:sz="8" w:color="0000EE"/>
            </w:tcBorders>
            <w:gridSpan w:val="4"/>
          </w:tcPr>
          <w:p>
            <w:pPr>
              <w:spacing w:after="0"/>
              <w:rPr>
                <w:sz w:val="17"/>
                <w:szCs w:val="17"/>
                <w:color w:val="auto"/>
              </w:rPr>
            </w:pPr>
          </w:p>
        </w:tc>
        <w:tc>
          <w:tcPr>
            <w:tcW w:w="9520" w:type="dxa"/>
            <w:vAlign w:val="bottom"/>
            <w:gridSpan w:val="19"/>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w:t>
              </w:r>
              <w:r>
                <w:rPr>
                  <w:rFonts w:ascii="Arial" w:cs="Arial" w:eastAsia="Arial" w:hAnsi="Arial"/>
                  <w:sz w:val="14"/>
                  <w:szCs w:val="14"/>
                  <w:color w:val="0000EE"/>
                </w:rPr>
                <w:t>NAUDITED</w:t>
              </w:r>
              <w:r>
                <w:rPr>
                  <w:rFonts w:ascii="Arial" w:cs="Arial" w:eastAsia="Arial" w:hAnsi="Arial"/>
                  <w:sz w:val="18"/>
                  <w:szCs w:val="18"/>
                  <w:color w:val="0000EE"/>
                </w:rPr>
                <w:t xml:space="preserve"> P</w:t>
              </w:r>
              <w:r>
                <w:rPr>
                  <w:rFonts w:ascii="Arial" w:cs="Arial" w:eastAsia="Arial" w:hAnsi="Arial"/>
                  <w:sz w:val="14"/>
                  <w:szCs w:val="14"/>
                  <w:color w:val="0000EE"/>
                </w:rPr>
                <w:t>RO</w:t>
              </w:r>
              <w:r>
                <w:rPr>
                  <w:rFonts w:ascii="Arial" w:cs="Arial" w:eastAsia="Arial" w:hAnsi="Arial"/>
                  <w:sz w:val="18"/>
                  <w:szCs w:val="18"/>
                  <w:color w:val="0000EE"/>
                </w:rPr>
                <w:t xml:space="preserve"> F</w:t>
              </w:r>
              <w:r>
                <w:rPr>
                  <w:rFonts w:ascii="Arial" w:cs="Arial" w:eastAsia="Arial" w:hAnsi="Arial"/>
                  <w:sz w:val="14"/>
                  <w:szCs w:val="14"/>
                  <w:color w:val="0000EE"/>
                </w:rPr>
                <w:t>ORMA</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H</w:t>
              </w:r>
              <w:r>
                <w:rPr>
                  <w:rFonts w:ascii="Arial" w:cs="Arial" w:eastAsia="Arial" w:hAnsi="Arial"/>
                  <w:sz w:val="14"/>
                  <w:szCs w:val="14"/>
                  <w:color w:val="0000EE"/>
                </w:rPr>
                <w:t>ISTORICAL</w:t>
              </w:r>
              <w:r>
                <w:rPr>
                  <w:rFonts w:ascii="Arial" w:cs="Arial" w:eastAsia="Arial" w:hAnsi="Arial"/>
                  <w:sz w:val="18"/>
                  <w:szCs w:val="18"/>
                  <w:color w:val="0000EE"/>
                </w:rPr>
                <w:t xml:space="preserve"> F</w:t>
              </w:r>
              <w:r>
                <w:rPr>
                  <w:rFonts w:ascii="Arial" w:cs="Arial" w:eastAsia="Arial" w:hAnsi="Arial"/>
                  <w:sz w:val="14"/>
                  <w:szCs w:val="14"/>
                  <w:color w:val="0000EE"/>
                </w:rPr>
                <w:t>INANCIAL AND</w:t>
              </w:r>
              <w:r>
                <w:rPr>
                  <w:rFonts w:ascii="Arial" w:cs="Arial" w:eastAsia="Arial" w:hAnsi="Arial"/>
                  <w:sz w:val="18"/>
                  <w:szCs w:val="18"/>
                  <w:color w:val="0000EE"/>
                </w:rPr>
                <w:t xml:space="preserve"> O</w:t>
              </w:r>
              <w:r>
                <w:rPr>
                  <w:rFonts w:ascii="Arial" w:cs="Arial" w:eastAsia="Arial" w:hAnsi="Arial"/>
                  <w:sz w:val="14"/>
                  <w:szCs w:val="14"/>
                  <w:color w:val="0000EE"/>
                </w:rPr>
                <w:t>PERATING</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6500" w:type="dxa"/>
            <w:vAlign w:val="bottom"/>
            <w:gridSpan w:val="4"/>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0000EE"/>
            </w:tcBorders>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3240" w:type="dxa"/>
            <w:vAlign w:val="bottom"/>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9"/>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w:t>
              </w:r>
              <w:r>
                <w:rPr>
                  <w:rFonts w:ascii="Arial" w:cs="Arial" w:eastAsia="Arial" w:hAnsi="Arial"/>
                  <w:sz w:val="14"/>
                  <w:szCs w:val="14"/>
                  <w:color w:val="0000EE"/>
                  <w:w w:val="99"/>
                </w:rPr>
                <w:t>ORPORATE</w:t>
              </w:r>
              <w:r>
                <w:rPr>
                  <w:rFonts w:ascii="Arial" w:cs="Arial" w:eastAsia="Arial" w:hAnsi="Arial"/>
                  <w:sz w:val="18"/>
                  <w:szCs w:val="18"/>
                  <w:color w:val="0000EE"/>
                  <w:w w:val="99"/>
                </w:rPr>
                <w:t xml:space="preserve"> H</w:t>
              </w:r>
              <w:r>
                <w:rPr>
                  <w:rFonts w:ascii="Arial" w:cs="Arial" w:eastAsia="Arial" w:hAnsi="Arial"/>
                  <w:sz w:val="14"/>
                  <w:szCs w:val="14"/>
                  <w:color w:val="0000EE"/>
                  <w:w w:val="99"/>
                </w:rPr>
                <w:t>ISTORY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EORGANIZATION</w:t>
              </w:r>
            </w:hyperlink>
          </w:p>
        </w:tc>
        <w:tc>
          <w:tcPr>
            <w:tcW w:w="7440" w:type="dxa"/>
            <w:vAlign w:val="bottom"/>
            <w:gridSpan w:val="7"/>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w:t>
              </w:r>
              <w:r>
                <w:rPr>
                  <w:rFonts w:ascii="Arial" w:cs="Arial" w:eastAsia="Arial" w:hAnsi="Arial"/>
                  <w:sz w:val="14"/>
                  <w:szCs w:val="14"/>
                  <w:color w:val="0000EE"/>
                </w:rPr>
                <w:t>INANCING</w:t>
              </w:r>
              <w:r>
                <w:rPr>
                  <w:rFonts w:ascii="Arial" w:cs="Arial" w:eastAsia="Arial" w:hAnsi="Arial"/>
                  <w:sz w:val="18"/>
                  <w:szCs w:val="18"/>
                  <w:color w:val="0000EE"/>
                </w:rPr>
                <w:t xml:space="preserve"> T</w:t>
              </w:r>
              <w:r>
                <w:rPr>
                  <w:rFonts w:ascii="Arial" w:cs="Arial" w:eastAsia="Arial" w:hAnsi="Arial"/>
                  <w:sz w:val="14"/>
                  <w:szCs w:val="14"/>
                  <w:color w:val="0000EE"/>
                </w:rPr>
                <w:t>RANSACTION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920" w:type="dxa"/>
            <w:vAlign w:val="bottom"/>
            <w:tcBorders>
              <w:top w:val="single" w:sz="8" w:color="0000EE"/>
            </w:tcBorders>
            <w:gridSpan w:val="12"/>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w:t>
              </w:r>
              <w:r>
                <w:rPr>
                  <w:rFonts w:ascii="Arial" w:cs="Arial" w:eastAsia="Arial" w:hAnsi="Arial"/>
                  <w:sz w:val="14"/>
                  <w:szCs w:val="14"/>
                  <w:color w:val="0000EE"/>
                </w:rPr>
                <w:t>NDUSTRY</w:t>
              </w:r>
            </w:hyperlink>
          </w:p>
        </w:tc>
        <w:tc>
          <w:tcPr>
            <w:tcW w:w="8800" w:type="dxa"/>
            <w:vAlign w:val="bottom"/>
            <w:gridSpan w:val="14"/>
            <w:vMerge w:val="restart"/>
          </w:tcPr>
          <w:p>
            <w:pPr>
              <w:spacing w:after="0"/>
              <w:rPr>
                <w:sz w:val="24"/>
                <w:szCs w:val="24"/>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920" w:type="dxa"/>
            <w:vAlign w:val="bottom"/>
            <w:tcBorders>
              <w:top w:val="single" w:sz="8" w:color="0000EE"/>
            </w:tcBorders>
            <w:gridSpan w:val="12"/>
            <w:vMerge w:val="continue"/>
          </w:tcPr>
          <w:p>
            <w:pPr>
              <w:spacing w:after="0"/>
              <w:rPr>
                <w:sz w:val="14"/>
                <w:szCs w:val="14"/>
                <w:color w:val="auto"/>
              </w:rPr>
            </w:pPr>
          </w:p>
        </w:tc>
        <w:tc>
          <w:tcPr>
            <w:tcW w:w="8800" w:type="dxa"/>
            <w:vAlign w:val="bottom"/>
            <w:gridSpan w:val="14"/>
            <w:vMerge w:val="continue"/>
          </w:tcPr>
          <w:p>
            <w:pPr>
              <w:spacing w:after="0"/>
              <w:rPr>
                <w:sz w:val="14"/>
                <w:szCs w:val="14"/>
                <w:color w:val="auto"/>
              </w:rPr>
            </w:pPr>
          </w:p>
        </w:tc>
        <w:tc>
          <w:tcPr>
            <w:tcW w:w="7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B</w:t>
              </w:r>
              <w:r>
                <w:rPr>
                  <w:rFonts w:ascii="Arial" w:cs="Arial" w:eastAsia="Arial" w:hAnsi="Arial"/>
                  <w:sz w:val="14"/>
                  <w:szCs w:val="14"/>
                  <w:color w:val="0000EE"/>
                  <w:w w:val="95"/>
                </w:rPr>
                <w:t>USINESS</w:t>
              </w:r>
            </w:hyperlink>
          </w:p>
        </w:tc>
        <w:tc>
          <w:tcPr>
            <w:tcW w:w="20" w:type="dxa"/>
            <w:vAlign w:val="bottom"/>
            <w:tcBorders>
              <w:top w:val="single" w:sz="8" w:color="0000EE"/>
            </w:tcBorders>
          </w:tcPr>
          <w:p>
            <w:pPr>
              <w:spacing w:after="0"/>
              <w:rPr>
                <w:sz w:val="17"/>
                <w:szCs w:val="17"/>
                <w:color w:val="auto"/>
              </w:rPr>
            </w:pPr>
          </w:p>
        </w:tc>
        <w:tc>
          <w:tcPr>
            <w:tcW w:w="9980" w:type="dxa"/>
            <w:vAlign w:val="bottom"/>
            <w:gridSpan w:val="2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M</w:t>
              </w:r>
              <w:r>
                <w:rPr>
                  <w:rFonts w:ascii="Arial" w:cs="Arial" w:eastAsia="Arial" w:hAnsi="Arial"/>
                  <w:sz w:val="14"/>
                  <w:szCs w:val="14"/>
                  <w:color w:val="0000EE"/>
                </w:rPr>
                <w:t>ANAGEMENT</w:t>
              </w:r>
            </w:hyperlink>
          </w:p>
        </w:tc>
        <w:tc>
          <w:tcPr>
            <w:tcW w:w="9620" w:type="dxa"/>
            <w:vAlign w:val="bottom"/>
            <w:gridSpan w:val="21"/>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w:anchor="page114">
              <w:r>
                <w:rPr>
                  <w:rFonts w:ascii="Arial" w:cs="Arial" w:eastAsia="Arial" w:hAnsi="Arial"/>
                  <w:sz w:val="18"/>
                  <w:szCs w:val="18"/>
                  <w:color w:val="0000EE"/>
                  <w:w w:val="99"/>
                </w:rPr>
                <w:t>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ELATIONSHIPS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P</w:t>
              </w:r>
              <w:r>
                <w:rPr>
                  <w:rFonts w:ascii="Arial" w:cs="Arial" w:eastAsia="Arial" w:hAnsi="Arial"/>
                  <w:sz w:val="14"/>
                  <w:szCs w:val="14"/>
                  <w:color w:val="0000EE"/>
                  <w:w w:val="99"/>
                </w:rPr>
                <w:t>ARTY</w:t>
              </w:r>
              <w:r>
                <w:rPr>
                  <w:rFonts w:ascii="Arial" w:cs="Arial" w:eastAsia="Arial" w:hAnsi="Arial"/>
                  <w:sz w:val="18"/>
                  <w:szCs w:val="18"/>
                  <w:color w:val="0000EE"/>
                  <w:w w:val="99"/>
                </w:rPr>
                <w:t xml:space="preserve"> T</w:t>
              </w:r>
              <w:r>
                <w:rPr>
                  <w:rFonts w:ascii="Arial" w:cs="Arial" w:eastAsia="Arial" w:hAnsi="Arial"/>
                  <w:sz w:val="14"/>
                  <w:szCs w:val="14"/>
                  <w:color w:val="0000EE"/>
                  <w:w w:val="99"/>
                </w:rPr>
                <w:t>RANSACTIONS</w:t>
              </w:r>
            </w:hyperlink>
          </w:p>
        </w:tc>
        <w:tc>
          <w:tcPr>
            <w:tcW w:w="6120" w:type="dxa"/>
            <w:vAlign w:val="bottom"/>
            <w:gridSpan w:val="2"/>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P</w:t>
              </w:r>
              <w:r>
                <w:rPr>
                  <w:rFonts w:ascii="Arial" w:cs="Arial" w:eastAsia="Arial" w:hAnsi="Arial"/>
                  <w:sz w:val="14"/>
                  <w:szCs w:val="14"/>
                  <w:color w:val="0000EE"/>
                  <w:w w:val="97"/>
                </w:rPr>
                <w:t>RINCIPAL</w:t>
              </w:r>
              <w:r>
                <w:rPr>
                  <w:rFonts w:ascii="Arial" w:cs="Arial" w:eastAsia="Arial" w:hAnsi="Arial"/>
                  <w:sz w:val="18"/>
                  <w:szCs w:val="18"/>
                  <w:color w:val="0000EE"/>
                  <w:w w:val="97"/>
                </w:rPr>
                <w:t xml:space="preserve"> S</w:t>
              </w:r>
              <w:r>
                <w:rPr>
                  <w:rFonts w:ascii="Arial" w:cs="Arial" w:eastAsia="Arial" w:hAnsi="Arial"/>
                  <w:sz w:val="14"/>
                  <w:szCs w:val="14"/>
                  <w:color w:val="0000EE"/>
                  <w:w w:val="97"/>
                </w:rPr>
                <w:t>TOCKHOLDERS</w:t>
              </w:r>
            </w:hyperlink>
          </w:p>
        </w:tc>
        <w:tc>
          <w:tcPr>
            <w:tcW w:w="8740" w:type="dxa"/>
            <w:vAlign w:val="bottom"/>
            <w:gridSpan w:val="13"/>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w:anchor="page129">
              <w:r>
                <w:rPr>
                  <w:rFonts w:ascii="Arial" w:cs="Arial" w:eastAsia="Arial" w:hAnsi="Arial"/>
                  <w:sz w:val="18"/>
                  <w:szCs w:val="18"/>
                  <w:color w:val="0000EE"/>
                  <w:w w:val="98"/>
                </w:rPr>
                <w:t>D</w:t>
              </w:r>
              <w:r>
                <w:rPr>
                  <w:rFonts w:ascii="Arial" w:cs="Arial" w:eastAsia="Arial" w:hAnsi="Arial"/>
                  <w:sz w:val="14"/>
                  <w:szCs w:val="14"/>
                  <w:color w:val="0000EE"/>
                  <w:w w:val="98"/>
                </w:rPr>
                <w:t>ESCRIPTION OF</w:t>
              </w:r>
              <w:r>
                <w:rPr>
                  <w:rFonts w:ascii="Arial" w:cs="Arial" w:eastAsia="Arial" w:hAnsi="Arial"/>
                  <w:sz w:val="18"/>
                  <w:szCs w:val="18"/>
                  <w:color w:val="0000EE"/>
                  <w:w w:val="98"/>
                </w:rPr>
                <w:t xml:space="preserve"> C</w:t>
              </w:r>
              <w:r>
                <w:rPr>
                  <w:rFonts w:ascii="Arial" w:cs="Arial" w:eastAsia="Arial" w:hAnsi="Arial"/>
                  <w:sz w:val="14"/>
                  <w:szCs w:val="14"/>
                  <w:color w:val="0000EE"/>
                  <w:w w:val="98"/>
                </w:rPr>
                <w:t>APITAL</w:t>
              </w:r>
              <w:r>
                <w:rPr>
                  <w:rFonts w:ascii="Arial" w:cs="Arial" w:eastAsia="Arial" w:hAnsi="Arial"/>
                  <w:sz w:val="18"/>
                  <w:szCs w:val="18"/>
                  <w:color w:val="0000EE"/>
                  <w:w w:val="98"/>
                </w:rPr>
                <w:t xml:space="preserve"> S</w:t>
              </w:r>
              <w:r>
                <w:rPr>
                  <w:rFonts w:ascii="Arial" w:cs="Arial" w:eastAsia="Arial" w:hAnsi="Arial"/>
                  <w:sz w:val="14"/>
                  <w:szCs w:val="14"/>
                  <w:color w:val="0000EE"/>
                  <w:w w:val="98"/>
                </w:rPr>
                <w:t>TOCK</w:t>
              </w:r>
            </w:hyperlink>
          </w:p>
        </w:tc>
        <w:tc>
          <w:tcPr>
            <w:tcW w:w="8300" w:type="dxa"/>
            <w:vAlign w:val="bottom"/>
            <w:gridSpan w:val="12"/>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w:t>
              </w:r>
              <w:r>
                <w:rPr>
                  <w:rFonts w:ascii="Arial" w:cs="Arial" w:eastAsia="Arial" w:hAnsi="Arial"/>
                  <w:sz w:val="14"/>
                  <w:szCs w:val="14"/>
                  <w:color w:val="0000EE"/>
                </w:rPr>
                <w:t>HARES</w:t>
              </w:r>
              <w:r>
                <w:rPr>
                  <w:rFonts w:ascii="Arial" w:cs="Arial" w:eastAsia="Arial" w:hAnsi="Arial"/>
                  <w:sz w:val="18"/>
                  <w:szCs w:val="18"/>
                  <w:color w:val="0000EE"/>
                </w:rPr>
                <w:t xml:space="preserve"> E</w:t>
              </w:r>
              <w:r>
                <w:rPr>
                  <w:rFonts w:ascii="Arial" w:cs="Arial" w:eastAsia="Arial" w:hAnsi="Arial"/>
                  <w:sz w:val="14"/>
                  <w:szCs w:val="14"/>
                  <w:color w:val="0000EE"/>
                </w:rPr>
                <w:t>LIGIBLE FOR</w:t>
              </w:r>
              <w:r>
                <w:rPr>
                  <w:rFonts w:ascii="Arial" w:cs="Arial" w:eastAsia="Arial" w:hAnsi="Arial"/>
                  <w:sz w:val="18"/>
                  <w:szCs w:val="18"/>
                  <w:color w:val="0000EE"/>
                </w:rPr>
                <w:t xml:space="preserve"> F</w:t>
              </w:r>
              <w:r>
                <w:rPr>
                  <w:rFonts w:ascii="Arial" w:cs="Arial" w:eastAsia="Arial" w:hAnsi="Arial"/>
                  <w:sz w:val="14"/>
                  <w:szCs w:val="14"/>
                  <w:color w:val="0000EE"/>
                </w:rPr>
                <w:t>UTURE</w:t>
              </w:r>
              <w:r>
                <w:rPr>
                  <w:rFonts w:ascii="Arial" w:cs="Arial" w:eastAsia="Arial" w:hAnsi="Arial"/>
                  <w:sz w:val="18"/>
                  <w:szCs w:val="18"/>
                  <w:color w:val="0000EE"/>
                </w:rPr>
                <w:t xml:space="preserve"> S</w:t>
              </w:r>
              <w:r>
                <w:rPr>
                  <w:rFonts w:ascii="Arial" w:cs="Arial" w:eastAsia="Arial" w:hAnsi="Arial"/>
                  <w:sz w:val="14"/>
                  <w:szCs w:val="14"/>
                  <w:color w:val="0000EE"/>
                </w:rPr>
                <w:t>ALE</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M</w:t>
              </w:r>
              <w:r>
                <w:rPr>
                  <w:rFonts w:ascii="Arial" w:cs="Arial" w:eastAsia="Arial" w:hAnsi="Arial"/>
                  <w:sz w:val="14"/>
                  <w:szCs w:val="14"/>
                  <w:color w:val="0000EE"/>
                  <w:w w:val="99"/>
                </w:rPr>
                <w:t>ATERIAL</w:t>
              </w:r>
              <w:r>
                <w:rPr>
                  <w:rFonts w:ascii="Arial" w:cs="Arial" w:eastAsia="Arial" w:hAnsi="Arial"/>
                  <w:sz w:val="18"/>
                  <w:szCs w:val="18"/>
                  <w:color w:val="0000EE"/>
                  <w:w w:val="99"/>
                </w:rPr>
                <w:t xml:space="preserve"> U.S. F</w:t>
              </w:r>
              <w:r>
                <w:rPr>
                  <w:rFonts w:ascii="Arial" w:cs="Arial" w:eastAsia="Arial" w:hAnsi="Arial"/>
                  <w:sz w:val="14"/>
                  <w:szCs w:val="14"/>
                  <w:color w:val="0000EE"/>
                  <w:w w:val="99"/>
                </w:rPr>
                <w:t>EDERAL</w:t>
              </w:r>
              <w:r>
                <w:rPr>
                  <w:rFonts w:ascii="Arial" w:cs="Arial" w:eastAsia="Arial" w:hAnsi="Arial"/>
                  <w:sz w:val="18"/>
                  <w:szCs w:val="18"/>
                  <w:color w:val="0000EE"/>
                  <w:w w:val="99"/>
                </w:rPr>
                <w:t xml:space="preserve"> I</w:t>
              </w:r>
              <w:r>
                <w:rPr>
                  <w:rFonts w:ascii="Arial" w:cs="Arial" w:eastAsia="Arial" w:hAnsi="Arial"/>
                  <w:sz w:val="14"/>
                  <w:szCs w:val="14"/>
                  <w:color w:val="0000EE"/>
                  <w:w w:val="99"/>
                </w:rPr>
                <w:t>NCOME</w:t>
              </w:r>
              <w:r>
                <w:rPr>
                  <w:rFonts w:ascii="Arial" w:cs="Arial" w:eastAsia="Arial" w:hAnsi="Arial"/>
                  <w:sz w:val="18"/>
                  <w:szCs w:val="18"/>
                  <w:color w:val="0000EE"/>
                  <w:w w:val="99"/>
                </w:rPr>
                <w:t xml:space="preserve"> T</w:t>
              </w:r>
              <w:r>
                <w:rPr>
                  <w:rFonts w:ascii="Arial" w:cs="Arial" w:eastAsia="Arial" w:hAnsi="Arial"/>
                  <w:sz w:val="14"/>
                  <w:szCs w:val="14"/>
                  <w:color w:val="0000EE"/>
                  <w:w w:val="99"/>
                </w:rPr>
                <w:t>AX</w:t>
              </w:r>
              <w:r>
                <w:rPr>
                  <w:rFonts w:ascii="Arial" w:cs="Arial" w:eastAsia="Arial" w:hAnsi="Arial"/>
                  <w:sz w:val="18"/>
                  <w:szCs w:val="18"/>
                  <w:color w:val="0000EE"/>
                  <w:w w:val="99"/>
                </w:rPr>
                <w:t xml:space="preserve"> C</w:t>
              </w:r>
              <w:r>
                <w:rPr>
                  <w:rFonts w:ascii="Arial" w:cs="Arial" w:eastAsia="Arial" w:hAnsi="Arial"/>
                  <w:sz w:val="14"/>
                  <w:szCs w:val="14"/>
                  <w:color w:val="0000EE"/>
                  <w:w w:val="99"/>
                </w:rPr>
                <w:t>ONSIDERATIONS</w:t>
              </w:r>
            </w:hyperlink>
          </w:p>
        </w:tc>
        <w:tc>
          <w:tcPr>
            <w:tcW w:w="6560" w:type="dxa"/>
            <w:vAlign w:val="bottom"/>
            <w:gridSpan w:val="5"/>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w:t>
              </w:r>
              <w:r>
                <w:rPr>
                  <w:rFonts w:ascii="Arial" w:cs="Arial" w:eastAsia="Arial" w:hAnsi="Arial"/>
                  <w:sz w:val="14"/>
                  <w:szCs w:val="14"/>
                  <w:color w:val="0000EE"/>
                </w:rPr>
                <w:t>NDERWRITING</w:t>
              </w:r>
            </w:hyperlink>
          </w:p>
        </w:tc>
        <w:tc>
          <w:tcPr>
            <w:tcW w:w="9560" w:type="dxa"/>
            <w:vAlign w:val="bottom"/>
            <w:gridSpan w:val="20"/>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N</w:t>
              </w:r>
              <w:r>
                <w:rPr>
                  <w:rFonts w:ascii="Arial" w:cs="Arial" w:eastAsia="Arial" w:hAnsi="Arial"/>
                  <w:sz w:val="14"/>
                  <w:szCs w:val="14"/>
                  <w:color w:val="0000EE"/>
                </w:rPr>
                <w:t>OTICE TO</w:t>
              </w:r>
              <w:r>
                <w:rPr>
                  <w:rFonts w:ascii="Arial" w:cs="Arial" w:eastAsia="Arial" w:hAnsi="Arial"/>
                  <w:sz w:val="18"/>
                  <w:szCs w:val="18"/>
                  <w:color w:val="0000EE"/>
                </w:rPr>
                <w:t xml:space="preserve"> C</w:t>
              </w:r>
              <w:r>
                <w:rPr>
                  <w:rFonts w:ascii="Arial" w:cs="Arial" w:eastAsia="Arial" w:hAnsi="Arial"/>
                  <w:sz w:val="14"/>
                  <w:szCs w:val="14"/>
                  <w:color w:val="0000EE"/>
                </w:rPr>
                <w:t>ANADIAN</w:t>
              </w:r>
              <w:r>
                <w:rPr>
                  <w:rFonts w:ascii="Arial" w:cs="Arial" w:eastAsia="Arial" w:hAnsi="Arial"/>
                  <w:sz w:val="18"/>
                  <w:szCs w:val="18"/>
                  <w:color w:val="0000EE"/>
                </w:rPr>
                <w:t xml:space="preserve"> R</w:t>
              </w:r>
              <w:r>
                <w:rPr>
                  <w:rFonts w:ascii="Arial" w:cs="Arial" w:eastAsia="Arial" w:hAnsi="Arial"/>
                  <w:sz w:val="14"/>
                  <w:szCs w:val="14"/>
                  <w:color w:val="0000EE"/>
                </w:rPr>
                <w:t>ESIDENTS</w:t>
              </w:r>
            </w:hyperlink>
          </w:p>
        </w:tc>
        <w:tc>
          <w:tcPr>
            <w:tcW w:w="8220" w:type="dxa"/>
            <w:vAlign w:val="bottom"/>
            <w:gridSpan w:val="11"/>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E</w:t>
              </w:r>
              <w:r>
                <w:rPr>
                  <w:rFonts w:ascii="Arial" w:cs="Arial" w:eastAsia="Arial" w:hAnsi="Arial"/>
                  <w:sz w:val="14"/>
                  <w:szCs w:val="14"/>
                  <w:color w:val="0000EE"/>
                  <w:w w:val="94"/>
                </w:rPr>
                <w:t>XPERTS</w:t>
              </w:r>
            </w:hyperlink>
          </w:p>
        </w:tc>
        <w:tc>
          <w:tcPr>
            <w:tcW w:w="580" w:type="dxa"/>
            <w:vAlign w:val="bottom"/>
            <w:tcBorders>
              <w:top w:val="single" w:sz="8" w:color="0000EE"/>
            </w:tcBorders>
            <w:gridSpan w:val="7"/>
          </w:tcPr>
          <w:p>
            <w:pPr>
              <w:spacing w:after="0"/>
              <w:rPr>
                <w:sz w:val="17"/>
                <w:szCs w:val="17"/>
                <w:color w:val="auto"/>
              </w:rPr>
            </w:pPr>
          </w:p>
        </w:tc>
        <w:tc>
          <w:tcPr>
            <w:tcW w:w="9480" w:type="dxa"/>
            <w:vAlign w:val="bottom"/>
            <w:gridSpan w:val="18"/>
          </w:tcPr>
          <w:p>
            <w:pPr>
              <w:spacing w:after="0"/>
              <w:rPr>
                <w:sz w:val="17"/>
                <w:szCs w:val="17"/>
                <w:color w:val="auto"/>
              </w:rPr>
            </w:pPr>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10720" w:type="dxa"/>
            <w:vAlign w:val="bottom"/>
            <w:gridSpan w:val="2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W</w:t>
              </w:r>
              <w:r>
                <w:rPr>
                  <w:rFonts w:ascii="Arial" w:cs="Arial" w:eastAsia="Arial" w:hAnsi="Arial"/>
                  <w:sz w:val="14"/>
                  <w:szCs w:val="14"/>
                  <w:color w:val="0000EE"/>
                </w:rPr>
                <w:t>HERE</w:t>
              </w:r>
              <w:r>
                <w:rPr>
                  <w:rFonts w:ascii="Arial" w:cs="Arial" w:eastAsia="Arial" w:hAnsi="Arial"/>
                  <w:sz w:val="18"/>
                  <w:szCs w:val="18"/>
                  <w:color w:val="0000EE"/>
                </w:rPr>
                <w:t xml:space="preserve"> Y</w:t>
              </w:r>
              <w:r>
                <w:rPr>
                  <w:rFonts w:ascii="Arial" w:cs="Arial" w:eastAsia="Arial" w:hAnsi="Arial"/>
                  <w:sz w:val="14"/>
                  <w:szCs w:val="14"/>
                  <w:color w:val="0000EE"/>
                </w:rPr>
                <w:t>OU</w:t>
              </w:r>
              <w:r>
                <w:rPr>
                  <w:rFonts w:ascii="Arial" w:cs="Arial" w:eastAsia="Arial" w:hAnsi="Arial"/>
                  <w:sz w:val="18"/>
                  <w:szCs w:val="18"/>
                  <w:color w:val="0000EE"/>
                </w:rPr>
                <w:t xml:space="preserve"> C</w:t>
              </w:r>
              <w:r>
                <w:rPr>
                  <w:rFonts w:ascii="Arial" w:cs="Arial" w:eastAsia="Arial" w:hAnsi="Arial"/>
                  <w:sz w:val="14"/>
                  <w:szCs w:val="14"/>
                  <w:color w:val="0000EE"/>
                </w:rPr>
                <w:t>AN</w:t>
              </w:r>
              <w:r>
                <w:rPr>
                  <w:rFonts w:ascii="Arial" w:cs="Arial" w:eastAsia="Arial" w:hAnsi="Arial"/>
                  <w:sz w:val="18"/>
                  <w:szCs w:val="18"/>
                  <w:color w:val="0000EE"/>
                </w:rPr>
                <w:t xml:space="preserve"> F</w:t>
              </w:r>
              <w:r>
                <w:rPr>
                  <w:rFonts w:ascii="Arial" w:cs="Arial" w:eastAsia="Arial" w:hAnsi="Arial"/>
                  <w:sz w:val="14"/>
                  <w:szCs w:val="14"/>
                  <w:color w:val="0000EE"/>
                </w:rPr>
                <w:t>IND</w:t>
              </w:r>
              <w:r>
                <w:rPr>
                  <w:rFonts w:ascii="Arial" w:cs="Arial" w:eastAsia="Arial" w:hAnsi="Arial"/>
                  <w:sz w:val="18"/>
                  <w:szCs w:val="18"/>
                  <w:color w:val="0000EE"/>
                </w:rPr>
                <w:t xml:space="preserve"> M</w:t>
              </w:r>
              <w:r>
                <w:rPr>
                  <w:rFonts w:ascii="Arial" w:cs="Arial" w:eastAsia="Arial" w:hAnsi="Arial"/>
                  <w:sz w:val="14"/>
                  <w:szCs w:val="14"/>
                  <w:color w:val="0000EE"/>
                </w:rPr>
                <w:t>ORE</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w:t>
              </w:r>
              <w:r>
                <w:rPr>
                  <w:rFonts w:ascii="Arial" w:cs="Arial" w:eastAsia="Arial" w:hAnsi="Arial"/>
                  <w:sz w:val="14"/>
                  <w:szCs w:val="14"/>
                  <w:color w:val="0000EE"/>
                </w:rPr>
                <w:t>NDEX TO</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720" w:type="dxa"/>
            <w:vAlign w:val="bottom"/>
            <w:tcBorders>
              <w:top w:val="single" w:sz="8" w:color="0000EE"/>
            </w:tcBorders>
            <w:gridSpan w:val="2"/>
          </w:tcPr>
          <w:p>
            <w:pPr>
              <w:spacing w:after="0"/>
              <w:rPr>
                <w:sz w:val="17"/>
                <w:szCs w:val="17"/>
                <w:color w:val="auto"/>
              </w:rPr>
            </w:pPr>
          </w:p>
        </w:tc>
        <w:tc>
          <w:tcPr>
            <w:tcW w:w="74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180340</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44"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2006, all dealers that effect transactions in these securities, whether or not participating in this offering, may be required to</w:t>
      </w:r>
    </w:p>
    <w:p>
      <w:pPr>
        <w:spacing w:after="0" w:line="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color w:val="auto"/>
        </w:rPr>
        <w:t>deliver a prospectus. This is in addition to the dealer’s obligation to deliver a prospectus when acting as an underwriter and with respect to unsold allotments or subscriptions.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unless the context otherwise requires:</w:t>
      </w:r>
    </w:p>
    <w:p>
      <w:pPr>
        <w:spacing w:after="0" w:line="90" w:lineRule="exact"/>
        <w:rPr>
          <w:sz w:val="20"/>
          <w:szCs w:val="20"/>
          <w:color w:val="auto"/>
        </w:rPr>
      </w:pPr>
    </w:p>
    <w:p>
      <w:pPr>
        <w:ind w:left="780" w:right="200" w:hanging="249"/>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“NCM Inc.,” “we,” “us” or “our” refer to National CineMedia, Inc., a newly-formed Delaware corporation, and its consolidated subsidiary National CineMedia, LLC, and the businesses that NCM LLC will operate upon completion of this offering.</w:t>
      </w:r>
    </w:p>
    <w:p>
      <w:pPr>
        <w:spacing w:after="0" w:line="50" w:lineRule="exact"/>
        <w:rPr>
          <w:rFonts w:ascii="Arial" w:cs="Arial" w:eastAsia="Arial" w:hAnsi="Arial"/>
          <w:sz w:val="18"/>
          <w:szCs w:val="18"/>
          <w:color w:val="auto"/>
        </w:rPr>
      </w:pPr>
    </w:p>
    <w:p>
      <w:pPr>
        <w:ind w:left="780" w:right="100" w:hanging="249"/>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“NCM LLC” refers to National CineMedia, LLC, a Delaware limited liability company that is the current operating company for our business, which NCM Inc. will acquire an interest in, and become a member and the sole manager of, upon completion of this offering.</w:t>
      </w:r>
    </w:p>
    <w:p>
      <w:pPr>
        <w:spacing w:after="0" w:line="4" w:lineRule="exact"/>
        <w:rPr>
          <w:rFonts w:ascii="Arial" w:cs="Arial" w:eastAsia="Arial" w:hAnsi="Arial"/>
          <w:sz w:val="16"/>
          <w:szCs w:val="16"/>
          <w:color w:val="auto"/>
        </w:rPr>
      </w:pPr>
    </w:p>
    <w:p>
      <w:pPr>
        <w:ind w:left="780" w:right="220" w:hanging="249"/>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“AMC” refers to AMC Entertainment Inc. and its subsidiaries, National Cinema Network, Inc., which contributed assets used in the operations of NCM LLC, and American Multi-Cinema, Inc., which will become party to an amended and restated Exhibitor Services Agreement with NCM LLC upon completion of this offering.</w:t>
      </w:r>
    </w:p>
    <w:p>
      <w:pPr>
        <w:spacing w:after="0" w:line="59" w:lineRule="exact"/>
        <w:rPr>
          <w:rFonts w:ascii="Arial" w:cs="Arial" w:eastAsia="Arial" w:hAnsi="Arial"/>
          <w:sz w:val="18"/>
          <w:szCs w:val="18"/>
          <w:color w:val="auto"/>
        </w:rPr>
      </w:pPr>
    </w:p>
    <w:p>
      <w:pPr>
        <w:ind w:left="780" w:right="60" w:hanging="249"/>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and became one of the Founding Members in July 2005, and Cinemark USA, Inc., which will become party to an amended and restated Exhibitor Services Agreement with NCM LLC upon completion of this offering.</w:t>
      </w:r>
    </w:p>
    <w:p>
      <w:pPr>
        <w:spacing w:after="0" w:line="59" w:lineRule="exact"/>
        <w:rPr>
          <w:rFonts w:ascii="Arial" w:cs="Arial" w:eastAsia="Arial" w:hAnsi="Arial"/>
          <w:sz w:val="18"/>
          <w:szCs w:val="18"/>
          <w:color w:val="auto"/>
        </w:rPr>
      </w:pPr>
    </w:p>
    <w:p>
      <w:pPr>
        <w:jc w:val="both"/>
        <w:ind w:left="780" w:right="240" w:hanging="249"/>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“Regal” refers to Regal Entertainment Group and its subsidiaries, Regal CineMedia Corporation, which contributed assets used in the operations of NCM LLC, Regal CineMedia Holdings, LLC, which is one of the Founding Members of NCM LLC, and Regal Cinemas, Inc., which will become party to an Exhibitor Services Agreement with NCM LLC upon completion of this offering.</w:t>
      </w:r>
    </w:p>
    <w:p>
      <w:pPr>
        <w:spacing w:after="0" w:line="59" w:lineRule="exact"/>
        <w:rPr>
          <w:rFonts w:ascii="Arial" w:cs="Arial" w:eastAsia="Arial" w:hAnsi="Arial"/>
          <w:sz w:val="18"/>
          <w:szCs w:val="18"/>
          <w:color w:val="auto"/>
        </w:rPr>
      </w:pPr>
    </w:p>
    <w:p>
      <w:pPr>
        <w:ind w:left="780" w:hanging="24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90" w:lineRule="exact"/>
        <w:rPr>
          <w:rFonts w:ascii="Arial" w:cs="Arial" w:eastAsia="Arial" w:hAnsi="Arial"/>
          <w:sz w:val="18"/>
          <w:szCs w:val="18"/>
          <w:color w:val="auto"/>
        </w:rPr>
      </w:pPr>
    </w:p>
    <w:p>
      <w:pPr>
        <w:ind w:left="780" w:right="20" w:hanging="249"/>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“RCM” refers to Regal CineMedia Corporation, which contributed assets used in the operations of NCM LLC and which is the “predecessor” entity to NCM LLC under generally accepted accounting principles.</w:t>
      </w:r>
    </w:p>
    <w:p>
      <w:pPr>
        <w:spacing w:after="0" w:line="50" w:lineRule="exact"/>
        <w:rPr>
          <w:rFonts w:ascii="Arial" w:cs="Arial" w:eastAsia="Arial" w:hAnsi="Arial"/>
          <w:sz w:val="18"/>
          <w:szCs w:val="18"/>
          <w:color w:val="auto"/>
        </w:rPr>
      </w:pPr>
    </w:p>
    <w:p>
      <w:pPr>
        <w:ind w:left="780" w:right="220" w:hanging="249"/>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“NCN” refers to National Cinema Network, Inc., which contributed assets used in the operations of NCM LLC and which is an “acquired entity” of NCM LLC under generally accepted accounting principles.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“Loews” refers to Loews Cineplex Entertainment Inc., which AMC acquired in January 2006.</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“Century” refers to Century Theatres, Inc., which Cinemark acquired in October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173990</wp:posOffset>
            </wp:positionV>
            <wp:extent cx="1106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 AND MARKET DATA</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December 2004 </w:t>
      </w:r>
      <w:r>
        <w:rPr>
          <w:rFonts w:ascii="Arial" w:cs="Arial" w:eastAsia="Arial" w:hAnsi="Arial"/>
          <w:sz w:val="18"/>
          <w:szCs w:val="18"/>
          <w:i w:val="1"/>
          <w:iCs w:val="1"/>
          <w:color w:val="auto"/>
        </w:rPr>
        <w:t>King Brown</w:t>
      </w:r>
      <w:r>
        <w:rPr>
          <w:rFonts w:ascii="Arial" w:cs="Arial" w:eastAsia="Arial" w:hAnsi="Arial"/>
          <w:sz w:val="18"/>
          <w:szCs w:val="18"/>
          <w:color w:val="auto"/>
        </w:rPr>
        <w:t xml:space="preserve"> study, the January 2005 </w:t>
      </w:r>
      <w:r>
        <w:rPr>
          <w:rFonts w:ascii="Arial" w:cs="Arial" w:eastAsia="Arial" w:hAnsi="Arial"/>
          <w:sz w:val="18"/>
          <w:szCs w:val="18"/>
          <w:i w:val="1"/>
          <w:iCs w:val="1"/>
          <w:color w:val="auto"/>
        </w:rPr>
        <w:t>IAG</w:t>
      </w:r>
      <w:r>
        <w:rPr>
          <w:rFonts w:ascii="Arial" w:cs="Arial" w:eastAsia="Arial" w:hAnsi="Arial"/>
          <w:sz w:val="18"/>
          <w:szCs w:val="18"/>
          <w:color w:val="auto"/>
        </w:rPr>
        <w:t xml:space="preserve"> study, the March 2005 </w:t>
      </w:r>
      <w:r>
        <w:rPr>
          <w:rFonts w:ascii="Arial" w:cs="Arial" w:eastAsia="Arial" w:hAnsi="Arial"/>
          <w:sz w:val="18"/>
          <w:szCs w:val="18"/>
          <w:i w:val="1"/>
          <w:iCs w:val="1"/>
          <w:color w:val="auto"/>
        </w:rPr>
        <w:t>Roper</w:t>
      </w:r>
      <w:r>
        <w:rPr>
          <w:rFonts w:ascii="Arial" w:cs="Arial" w:eastAsia="Arial" w:hAnsi="Arial"/>
          <w:sz w:val="18"/>
          <w:szCs w:val="18"/>
          <w:color w:val="auto"/>
        </w:rPr>
        <w:t xml:space="preserve"> study</w:t>
      </w:r>
      <w:r>
        <w:rPr>
          <w:rFonts w:ascii="Arial" w:cs="Arial" w:eastAsia="Arial" w:hAnsi="Arial"/>
          <w:sz w:val="18"/>
          <w:szCs w:val="18"/>
          <w:i w:val="1"/>
          <w:iCs w:val="1"/>
          <w:color w:val="auto"/>
        </w:rPr>
        <w:t>,</w:t>
      </w:r>
      <w:r>
        <w:rPr>
          <w:rFonts w:ascii="Arial" w:cs="Arial" w:eastAsia="Arial" w:hAnsi="Arial"/>
          <w:sz w:val="18"/>
          <w:szCs w:val="18"/>
          <w:color w:val="auto"/>
        </w:rPr>
        <w:t xml:space="preserve"> the June 2005 </w:t>
      </w:r>
      <w:r>
        <w:rPr>
          <w:rFonts w:ascii="Arial" w:cs="Arial" w:eastAsia="Arial" w:hAnsi="Arial"/>
          <w:sz w:val="18"/>
          <w:szCs w:val="18"/>
          <w:i w:val="1"/>
          <w:iCs w:val="1"/>
          <w:color w:val="auto"/>
        </w:rPr>
        <w:t>RH Bruskin Marketing, Inc.</w:t>
      </w:r>
      <w:r>
        <w:rPr>
          <w:rFonts w:ascii="Arial" w:cs="Arial" w:eastAsia="Arial" w:hAnsi="Arial"/>
          <w:sz w:val="18"/>
          <w:szCs w:val="18"/>
          <w:color w:val="auto"/>
        </w:rPr>
        <w:t xml:space="preserve"> study and the June 2006 </w:t>
      </w:r>
      <w:r>
        <w:rPr>
          <w:rFonts w:ascii="Arial" w:cs="Arial" w:eastAsia="Arial" w:hAnsi="Arial"/>
          <w:sz w:val="18"/>
          <w:szCs w:val="18"/>
          <w:i w:val="1"/>
          <w:iCs w:val="1"/>
          <w:color w:val="auto"/>
        </w:rPr>
        <w:t>OTX Screening</w:t>
      </w:r>
      <w:r>
        <w:rPr>
          <w:rFonts w:ascii="Arial" w:cs="Arial" w:eastAsia="Arial" w:hAnsi="Arial"/>
          <w:sz w:val="18"/>
          <w:szCs w:val="18"/>
          <w:color w:val="auto"/>
        </w:rPr>
        <w:t xml:space="preserve"> study were commissioned by us or RCM, our predecessor company. None of the other independent industry publications used in this prospectus were prepared or commissioned by us or our affiliates.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DMA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a registered trademark of Nielsen Media Research, Inc.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is not complete and does not contain all of the information that you should consider before investing in our common stock. You should read the entire prospectus carefully, especially the risks of investing in our common stock discussed under “Risk Factors” and our consolidated financial statements and accompanying notes.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operate the largest digital in-theatre network in North America, which we currently use to distribute content for our advertising, meetings and events businesses. Upon completion of this offering, we will have long-term exhibitor services agreements, which we call ESAs, with our Founding Members—AMC, Cinemark and Regal, the three largest motion picture exhibition companies in the U.S.—and multi-year agreements with several other theatre operators whom we refer to as the Network Affiliates. The ESAs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 We currently derive revenue principally from the following activities:</w:t>
      </w:r>
    </w:p>
    <w:p>
      <w:pPr>
        <w:spacing w:after="0" w:line="39" w:lineRule="exact"/>
        <w:rPr>
          <w:sz w:val="20"/>
          <w:szCs w:val="20"/>
          <w:color w:val="auto"/>
        </w:rPr>
      </w:pPr>
    </w:p>
    <w:p>
      <w:pPr>
        <w:ind w:left="780" w:right="100" w:hanging="249"/>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Advertising</w:t>
      </w:r>
      <w:r>
        <w:rPr>
          <w:rFonts w:ascii="Arial" w:cs="Arial" w:eastAsia="Arial" w:hAnsi="Arial"/>
          <w:sz w:val="16"/>
          <w:szCs w:val="16"/>
          <w:color w:val="auto"/>
        </w:rPr>
        <w:t>: We develop, produce, sell and distribute a branded, pre-feature entertainment and advertising program called “</w:t>
      </w:r>
      <w:r>
        <w:rPr>
          <w:rFonts w:ascii="Arial" w:cs="Arial" w:eastAsia="Arial" w:hAnsi="Arial"/>
          <w:sz w:val="16"/>
          <w:szCs w:val="16"/>
          <w:i w:val="1"/>
          <w:iCs w:val="1"/>
          <w:color w:val="auto"/>
        </w:rPr>
        <w:t>FirstLook</w:t>
      </w:r>
      <w:r>
        <w:rPr>
          <w:rFonts w:ascii="Arial" w:cs="Arial" w:eastAsia="Arial" w:hAnsi="Arial"/>
          <w:sz w:val="16"/>
          <w:szCs w:val="16"/>
          <w:color w:val="auto"/>
        </w:rPr>
        <w:t>,” along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program for our lobby entertainment network, or LEN, and various marketing and promotional products in theatre lobbies;</w:t>
      </w:r>
    </w:p>
    <w:p>
      <w:pPr>
        <w:spacing w:after="0" w:line="4" w:lineRule="exact"/>
        <w:rPr>
          <w:rFonts w:ascii="Arial" w:cs="Arial" w:eastAsia="Arial" w:hAnsi="Arial"/>
          <w:sz w:val="16"/>
          <w:szCs w:val="16"/>
          <w:color w:val="auto"/>
        </w:rPr>
      </w:pPr>
    </w:p>
    <w:p>
      <w:pPr>
        <w:ind w:left="780" w:hanging="249"/>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CineMeetings</w:t>
      </w:r>
      <w:r>
        <w:rPr>
          <w:rFonts w:ascii="Arial" w:cs="Arial" w:eastAsia="Arial" w:hAnsi="Arial"/>
          <w:sz w:val="16"/>
          <w:szCs w:val="16"/>
          <w:color w:val="auto"/>
        </w:rPr>
        <w:t>: We provide live and pre-recorded networked and single-site meetings and events in the theatres throughout our network; and</w:t>
      </w:r>
    </w:p>
    <w:p>
      <w:pPr>
        <w:spacing w:after="0" w:line="113" w:lineRule="exact"/>
        <w:rPr>
          <w:rFonts w:ascii="Arial" w:cs="Arial" w:eastAsia="Arial" w:hAnsi="Arial"/>
          <w:sz w:val="16"/>
          <w:szCs w:val="16"/>
          <w:color w:val="auto"/>
        </w:rPr>
      </w:pPr>
    </w:p>
    <w:p>
      <w:pPr>
        <w:ind w:left="780" w:right="200" w:hanging="249"/>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Digital Programming Events</w:t>
      </w:r>
      <w:r>
        <w:rPr>
          <w:rFonts w:ascii="Arial" w:cs="Arial" w:eastAsia="Arial" w:hAnsi="Arial"/>
          <w:sz w:val="18"/>
          <w:szCs w:val="18"/>
          <w:color w:val="auto"/>
        </w:rPr>
        <w:t>: We distribute live and pre-recorded concerts, sporting events and other entertainment programming to theatres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digital network.</w:t>
      </w:r>
    </w:p>
    <w:p>
      <w:pPr>
        <w:spacing w:after="0" w:line="13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7"/>
          <w:szCs w:val="17"/>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45 states and the District of Columbia and covers all of the top 25, as well as 49 of the top 50, Designated Market Areas</w:t>
      </w:r>
      <w:r>
        <w:rPr>
          <w:rFonts w:ascii="Arial" w:cs="Arial" w:eastAsia="Arial" w:hAnsi="Arial"/>
          <w:sz w:val="21"/>
          <w:szCs w:val="21"/>
          <w:color w:val="auto"/>
          <w:vertAlign w:val="superscript"/>
        </w:rPr>
        <w:t>®</w:t>
      </w:r>
      <w:r>
        <w:rPr>
          <w:rFonts w:ascii="Arial" w:cs="Arial" w:eastAsia="Arial" w:hAnsi="Arial"/>
          <w:sz w:val="17"/>
          <w:szCs w:val="17"/>
          <w:color w:val="auto"/>
        </w:rPr>
        <w:t>, or DMAs</w:t>
      </w:r>
      <w:r>
        <w:rPr>
          <w:rFonts w:ascii="Arial" w:cs="Arial" w:eastAsia="Arial" w:hAnsi="Arial"/>
          <w:sz w:val="21"/>
          <w:szCs w:val="21"/>
          <w:color w:val="auto"/>
          <w:vertAlign w:val="superscript"/>
        </w:rPr>
        <w:t>®</w:t>
      </w:r>
      <w:r>
        <w:rPr>
          <w:rFonts w:ascii="Arial" w:cs="Arial" w:eastAsia="Arial" w:hAnsi="Arial"/>
          <w:sz w:val="17"/>
          <w:szCs w:val="17"/>
          <w:color w:val="auto"/>
        </w:rPr>
        <w:t>, and 150 DMAs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total. During 2005, approximately 500 million patrons, representing 36% of the total U.S. theatre attendance, attended movies shown in theatres owned by our Founding Members. As of June 29, 2006, we had a total of 13,095 screens in our network, as set forth in the table below:</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June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58420</wp:posOffset>
            </wp:positionV>
            <wp:extent cx="6080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Theatres</w:t>
            </w:r>
          </w:p>
        </w:tc>
        <w:tc>
          <w:tcPr>
            <w:tcW w:w="380" w:type="dxa"/>
            <w:vAlign w:val="bottom"/>
          </w:tcPr>
          <w:p>
            <w:pPr>
              <w:spacing w:after="0"/>
              <w:rPr>
                <w:sz w:val="14"/>
                <w:szCs w:val="14"/>
                <w:color w:val="auto"/>
              </w:rPr>
            </w:pPr>
          </w:p>
        </w:tc>
        <w:tc>
          <w:tcPr>
            <w:tcW w:w="10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88"/>
              </w:rPr>
              <w:t>Screens</w:t>
            </w:r>
          </w:p>
        </w:tc>
        <w:tc>
          <w:tcPr>
            <w:tcW w:w="520" w:type="dxa"/>
            <w:vAlign w:val="bottom"/>
            <w:tcBorders>
              <w:bottom w:val="single" w:sz="8" w:color="auto"/>
            </w:tcBorders>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Digital</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10,815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12,025</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Network Affiliates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163195</wp:posOffset>
            </wp:positionV>
            <wp:extent cx="6080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Excludes Loews and Century.</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January 26, 2006, AMC acquired the Loews theatre circuit. As of June 29, 2006, Loews operated approximately 112 theatres with 1,334 screens. The Loews screens will become part of our network on an exclusive basis beginning on June 1, 2008, subject to the run-out of certain pre-existing contractual obligations for on-screen advertising existing on June 1, 2008. During 2005, approximately 66.5 million movie patrons attended Loews’ theatres in the United States.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October 5, 2006, Cinemark acquired the Century theatre circuit. As of that date, Century operated 77 theatres with 1,017 screens. The Century screens were added to our network on an exclusive basis subject to limited exceptions. During Century’s fiscal year ended September 30, 2005, approximately 47.1 million movie patrons attended Century’s theatres in the United States.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LEN and other promotional products in the lobby, we provide our advertising clients and sponsors with bundled offerings of on-screen and lobby marketing products that provide multiple touch points to interact with theatre patrons. We distribute our programming primarily through our proprietary digital content network, or DCN.</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Our on-screen digital pre-feature show consists of a national and regional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which is preceded by a local advertising presentation. National advertising is sold on a cost per thousand impressions, or CPM, basis, while local and regional advertising is sold on a per-screen, per-week basis. The pre-feature show generally ranges in length from 20 to 30 minutes with entertainment content segments integrated with advertisements that end at or about the advertised movie show time. Our LEN is a network of television and high-definition plasma screens strategically located throughout the lobbies of most of our digitally equipped theatres. As of June 29, 2006, we had 1,733 lobby screens in 670 theatres deployed across our network. In addition to the LEN, we provide a wide variety of advertising and promotional products in our theatre lobbies such as posters, standees, product displays or sampling opportunities, and box office coupons or flyer handouts. These products can be sold individually or bundled with on-screen or LEN advertisements. For the six-month period ended June 29, 2006, advertising accounted for 93.3% of our total pro forma revenue.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entertainment content segments are provided under multi-year contractual arrangements with leading media companies that we refer to as content partners. Our content partners currently include NBC Universal, Sony Pictures Entertainment, Turner Broadcasting Systems Inc., Twentieth Century Fox and Universal City Studios. Under the terms of these contracts, our content partners make available to us original content segments and make long-term commitments to buy a portion of our available advertising inventory. These multi-year contracts represent 21.4% of our pro forma total revenue for the six months ended June 29, 2006. The original content produced by these partners typically features two and one-half minutes of behind-the-scenes interviews with producers, directors and actors or “making-of” segments relating to feature films or upcoming broadcast television shows. We offer multiple versions of the show each month, generally tailored to a specific film rating category. This programming flexibility provides advertisers with the ability to target specific audience demographics and gives us the ability to ensure that the content and advertising is age-appropriate for the movie audience.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CineMeetings business facilitates live and pre-recorded networked and single-site business meetings and corporate events in movie theatres. We offer a business communications product for our corporate customers that enhances the educational and entertainment value of a presentation and facilitates large meetings in multiple locations across the U.S. Event content can be broadcast over our digital network live or prior to the event for multi-site or single-site meetings. Examples of recent events include corporate meetings, training seminars, product launches, religious services and sales and marketing events. Also, by bundling meetings or events with the screening of a feature film, sometimes before the film opens to the general public, our “Meeting and a Movie” product represents a significant point of differentiation between us and other meeting venues such as hotels. Also, we are able to offer our customers a single point of contact and standardized pricing across our network, which increases the efficiency of booking multi-location events for our clients. For the six months ended June 29, 2006, CineMeetings accounted for 5.4% of our total pro forma revenue.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digital programming events business focuses on the licensing and distribution of live and pre-recorded entertainment programming content and the sale of associated sponsorships. Our DCN also provides a high-definition distribution network for programming and promotional opportunities for national brands. Our digital programming events include live and pre-recorded concerts and music events, DVD product releases, marketing events, theatrical premieres, Broadway plays, live sporting events and other special events. Recent events have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included concerts by musical performers such as Bruce Springsteen, the Rolling Stones, Phish and Prince, and broadcasts of sporting events such as the Tour de France and marketing events for the DVD releases of </w:t>
      </w:r>
      <w:r>
        <w:rPr>
          <w:rFonts w:ascii="Arial" w:cs="Arial" w:eastAsia="Arial" w:hAnsi="Arial"/>
          <w:sz w:val="18"/>
          <w:szCs w:val="18"/>
          <w:i w:val="1"/>
          <w:iCs w:val="1"/>
          <w:color w:val="auto"/>
        </w:rPr>
        <w:t>Wedding Crashers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Boondock Saints</w:t>
      </w:r>
      <w:r>
        <w:rPr>
          <w:rFonts w:ascii="Arial" w:cs="Arial" w:eastAsia="Arial" w:hAnsi="Arial"/>
          <w:sz w:val="18"/>
          <w:szCs w:val="18"/>
          <w:color w:val="auto"/>
        </w:rPr>
        <w:t>. For the six-month period ended June 29, 2006, digital programming events accounted for 1.3% of our total pro forma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29, 2006, the first full quarterly period for which Cinemark, excluding Century, was included in our results, and the six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29, 2006, we generated pro forma revenues, operating income and adjusted EBITDA of $73.0 million, $36.8 million and $39.0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$114.1 million, $46.2 million and $51.5 million, respectively. Because Cinemark had a pre-existing contract with another cinema advertising provider, NCM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began selling advertising for Cinemark’s screens on an exclusive basis beginning on January 1, 2006, subject to the run-out of certain pre-existing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for on-screen advertising through April 1, 2006. See the notes to “Selected Historical Financial and Operating Data” for a discussion of the calculation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adjusted EBITDA. For additional financial information about our business, see “Management’s Discussion and Analysis of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“Unaudited Pro Forma Financial Information” and NCM LLC’s historical financial statements and related notes included elsewhere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Our historical operating and pro forma results for these periods do not include payments that will be made by AMC to us pursuant to the Loews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Screen Integration Agreement as such payments will be recorded directly to our equity account. See “Management’s Discussion and Analysis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Operations—Our Company Following the Completion of this Offering—Loews Payments.”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According to </w:t>
      </w:r>
      <w:r>
        <w:rPr>
          <w:rFonts w:ascii="Arial" w:cs="Arial" w:eastAsia="Arial" w:hAnsi="Arial"/>
          <w:sz w:val="16"/>
          <w:szCs w:val="16"/>
          <w:i w:val="1"/>
          <w:iCs w:val="1"/>
          <w:color w:val="auto"/>
        </w:rPr>
        <w:t>Kagan Research</w:t>
      </w:r>
      <w:r>
        <w:rPr>
          <w:rFonts w:ascii="Arial" w:cs="Arial" w:eastAsia="Arial" w:hAnsi="Arial"/>
          <w:sz w:val="16"/>
          <w:szCs w:val="16"/>
          <w:color w:val="auto"/>
        </w:rPr>
        <w:t>, advertising spending in the United States has grown at a compound annual growth rate, or CAGR, of 4.8% since 1996, to $240 billion in 2005. From 2001 to 2005, Internet and cinema advertising grew at a CAGR of 13.2% and 26.0%, respectively, while more traditional media platforms such as broadcast television, radio, magazines and newspapers grew slower than the overall advertising market. We believe a number of factors have caused non-traditional media platforms, including cinema advertising, to grow faster than the overall advertising market. Specifically, the increase in the number of media platforms available to advertisers, the enhanced ability to target narrow consumer demographics and the availability of more sophisticated return on investment measurement tools have enabled marketers to better measure and reach specific audience segments, especially those in attractive demographic groups such as 18-34 year olds.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Historically, cinema advertising in the U.S. has been a low-quality medium consisting of slide advertisements delivered by 35 mm projectors and repurposed national television advertisements played on 35 mm film. The 35 mm medium was expensive, required long distribution lead times to make film prints, and provided advertisers very little flexibility to target specific audiences or geographic regions, or to change advertising messages once a campaign was launched. Due to the lack of scale amongst cinema advertising businesses, advertisers were unable to purchase national coverage from any one operator, with consistent delivery and pricing metrics. Further, cinema advertising was not measured by a nationally recognized media measurement service, and therefore was not considered by many national advertisers.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Over the past few years, cinema advertising in the U.S. has undergone significant changes as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and </w:t>
      </w:r>
      <w:r>
        <w:rPr>
          <w:rFonts w:ascii="Arial" w:cs="Arial" w:eastAsia="Arial" w:hAnsi="Arial"/>
          <w:sz w:val="16"/>
          <w:szCs w:val="16"/>
          <w:i w:val="1"/>
          <w:iCs w:val="1"/>
          <w:color w:val="auto"/>
        </w:rPr>
        <w:t>Arbitron</w:t>
      </w:r>
      <w:r>
        <w:rPr>
          <w:rFonts w:ascii="Arial" w:cs="Arial" w:eastAsia="Arial" w:hAnsi="Arial"/>
          <w:sz w:val="16"/>
          <w:szCs w:val="16"/>
          <w:color w:val="auto"/>
        </w:rPr>
        <w:t xml:space="preserve">. Today, cinema advertising accounts for a small but growing portion of the U.S. advertising market. According to </w:t>
      </w:r>
      <w:r>
        <w:rPr>
          <w:rFonts w:ascii="Arial" w:cs="Arial" w:eastAsia="Arial" w:hAnsi="Arial"/>
          <w:sz w:val="16"/>
          <w:szCs w:val="16"/>
          <w:i w:val="1"/>
          <w:iCs w:val="1"/>
          <w:color w:val="auto"/>
        </w:rPr>
        <w:t>Kagan</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w:t>
      </w:r>
      <w:r>
        <w:rPr>
          <w:rFonts w:ascii="Arial" w:cs="Arial" w:eastAsia="Arial" w:hAnsi="Arial"/>
          <w:sz w:val="16"/>
          <w:szCs w:val="16"/>
          <w:color w:val="auto"/>
        </w:rPr>
        <w:t>, cinema advertising revenue grew to $514 million in 2005, representing a CAGR during 1996-2005 and 2001-2005 of 15.7% and 26.0%,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recall rates that are two to five times those of television advertising, according to </w:t>
      </w:r>
      <w:r>
        <w:rPr>
          <w:rFonts w:ascii="Arial" w:cs="Arial" w:eastAsia="Arial" w:hAnsi="Arial"/>
          <w:sz w:val="16"/>
          <w:szCs w:val="16"/>
          <w:i w:val="1"/>
          <w:iCs w:val="1"/>
          <w:color w:val="auto"/>
        </w:rPr>
        <w:t>IAG Research</w:t>
      </w:r>
      <w:r>
        <w:rPr>
          <w:rFonts w:ascii="Arial" w:cs="Arial" w:eastAsia="Arial" w:hAnsi="Arial"/>
          <w:sz w:val="16"/>
          <w:szCs w:val="16"/>
          <w:color w:val="auto"/>
        </w:rPr>
        <w:t>, and the targeted nature of this medium, advertisers can achieve their desired marketing results by more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effectively reaching their chosen consumer segments while still achieving broad national reach. For these reasons, we believe that cinema advertising results in a better value proposition than traditional mass media platforms.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Cinema advertising providers have been able to generate above average CPM rates as compared to more traditional media platforms. However, we believe that in the U.S. cinema advertising CPMs do not yet fully reflect the enhanced value proposition that cinema advertising provides advertisers. According to a </w:t>
      </w:r>
      <w:r>
        <w:rPr>
          <w:rFonts w:ascii="Arial" w:cs="Arial" w:eastAsia="Arial" w:hAnsi="Arial"/>
          <w:sz w:val="16"/>
          <w:szCs w:val="16"/>
          <w:i w:val="1"/>
          <w:iCs w:val="1"/>
          <w:color w:val="auto"/>
        </w:rPr>
        <w:t xml:space="preserve">World Advertising Research Center </w:t>
      </w:r>
      <w:r>
        <w:rPr>
          <w:rFonts w:ascii="Arial" w:cs="Arial" w:eastAsia="Arial" w:hAnsi="Arial"/>
          <w:sz w:val="16"/>
          <w:szCs w:val="16"/>
          <w:color w:val="auto"/>
        </w:rPr>
        <w:t>study</w:t>
      </w:r>
      <w:r>
        <w:rPr>
          <w:rFonts w:ascii="Arial" w:cs="Arial" w:eastAsia="Arial" w:hAnsi="Arial"/>
          <w:sz w:val="16"/>
          <w:szCs w:val="16"/>
          <w:i w:val="1"/>
          <w:iCs w:val="1"/>
          <w:color w:val="auto"/>
        </w:rPr>
        <w:t xml:space="preserve">, </w:t>
      </w:r>
      <w:r>
        <w:rPr>
          <w:rFonts w:ascii="Arial" w:cs="Arial" w:eastAsia="Arial" w:hAnsi="Arial"/>
          <w:sz w:val="16"/>
          <w:szCs w:val="16"/>
          <w:color w:val="auto"/>
        </w:rPr>
        <w:t>in 2003 cinema advertising sold at a premium CPM to peak television advertising in world markets other than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commanding a 7.0x premium in Western Europe, a 7.7x premium in Australasia, and a 13.8x premium in Asia. In North America the comparable premium was 1.3x. Therefore, we believe that there is an opportunity for continued CPM growth in U.S.-based cinema advertising as inventory utilization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Superior, Targeted National Advertising Network. </w:t>
      </w:r>
      <w:r>
        <w:rPr>
          <w:rFonts w:ascii="Arial" w:cs="Arial" w:eastAsia="Arial" w:hAnsi="Arial"/>
          <w:sz w:val="16"/>
          <w:szCs w:val="16"/>
          <w:color w:val="auto"/>
        </w:rPr>
        <w:t>Our national advertising network delivers a young and affluent audience that we believe allows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targeting by advertisers. We believe our ability to deliver marketing messages in theatre auditoriums to engaged audiences provides measurable results, yielding a superior return on investment for advertisers as compared to many traditional media platforms. Our contractual agreements with our Founding Members provide exclusive access, subject to limited exceptions, to the largest network of digitally equipped theatres in the United States and allow us to sell advertising nationwide as well as on a regional or local basis. We also have contractual agreements with our Network Affiliates that give us the exclusive right, subject to limited exceptions, to sell advertising on their theatre screens. Our digital network technology gives us flexibility in distributing content to our entire audience, specific theatres, geographic regions, or demographic groups based on film or film-rating category.</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Innovative, Branded Digital Pre-Feature Content. </w:t>
      </w:r>
      <w:r>
        <w:rPr>
          <w:rFonts w:ascii="Arial" w:cs="Arial" w:eastAsia="Arial" w:hAnsi="Arial"/>
          <w:sz w:val="18"/>
          <w:szCs w:val="18"/>
          <w:color w:val="auto"/>
        </w:rPr>
        <w:t>We believe that our digital entertainment and advertising pre-feature program,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FirstLook,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high-quality entertainment experience for patrons and an effective marketing platform for advertisers. We also offer pre- and post-production services to our clients for a fee to enhance the quality of the content we display.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Integrated Marketing Products. </w:t>
      </w:r>
      <w:r>
        <w:rPr>
          <w:rFonts w:ascii="Arial" w:cs="Arial" w:eastAsia="Arial" w:hAnsi="Arial"/>
          <w:sz w:val="18"/>
          <w:szCs w:val="18"/>
          <w:color w:val="auto"/>
        </w:rPr>
        <w:t>We offer advertisers the opportunity to integrate and reinforce their on-screen advertisements with various in-lobby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and on-site product sampling opportunities. By integrating on-screen advertising with our in-lobby marketing programs, we believe our advertisers can extend the exposure for their brands and products and create an interactive “relationship” with the consumer that is not available with broadcast television or traditional display advertising.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Scalable, State-of-the-Art Content Distribution Technology. </w:t>
      </w:r>
      <w:r>
        <w:rPr>
          <w:rFonts w:ascii="Arial" w:cs="Arial" w:eastAsia="Arial" w:hAnsi="Arial"/>
          <w:sz w:val="18"/>
          <w:szCs w:val="18"/>
          <w:color w:val="auto"/>
        </w:rPr>
        <w:t>Our technology provides the ability to electronically change advertisements from our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center, or NOC, as needed by advertising clients, which shortens lead times, provides increased flexibility to change messages or target specific audiences, and significantly reduces production costs. Our use of satellite network technology, combined with the design and functionality of our digital content system, or DCS, software and NOC infrastructure make our network efficient and scalable. We believe our network capabilities could be easily adapted to other out-of-home environments.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Attractive Financial Characteristics. </w:t>
      </w:r>
      <w:r>
        <w:rPr>
          <w:rFonts w:ascii="Arial" w:cs="Arial" w:eastAsia="Arial" w:hAnsi="Arial"/>
          <w:sz w:val="18"/>
          <w:szCs w:val="18"/>
          <w:color w:val="auto"/>
        </w:rPr>
        <w:t>A significant portion of our advertising inventory is covered by multi-year contracts with our content partners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to satisfy our Founding Members’ on-screen marketing obligations to their beverage concessionaires. These contracts accounted for 40.8% of our total pro forma revenue in the six months ended June 29, 2006. Due to the agreements with our Founding Members and the scalable nature of our business model, we do not expect to make major capital investments to maintain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grow our operations as our network of theatres expands. The combination of our strong operating margins and our limited capital expenditures has allowed us to generate significant free cash flow before distributions to our Founding Members. We believe our expected level of free cash flow generation will provide us with the strategic and financial flexibility to pursue growth opportunities, support our debt payments and make dividend payments to our stockholders.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Our management team has significant experience in advertising sales and marketing, theatre operations, digital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 and operations, and finance. The majority of our senior management team was assembled during the formation of RCM, our predecessor company, in early 2002 and thus has worked together for several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strategic initiatives are to:</w:t>
      </w:r>
    </w:p>
    <w:p>
      <w:pPr>
        <w:spacing w:after="0" w:line="90" w:lineRule="exact"/>
        <w:rPr>
          <w:sz w:val="20"/>
          <w:szCs w:val="20"/>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inventory utilization by increasing existing client expenditures and creating new client relationships;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national CPM by providing a superior return on investment to our clients and carefully managing available inventory;</w:t>
      </w:r>
    </w:p>
    <w:p>
      <w:pPr>
        <w:spacing w:after="0" w:line="90" w:lineRule="exact"/>
        <w:rPr>
          <w:rFonts w:ascii="Arial" w:cs="Arial" w:eastAsia="Arial" w:hAnsi="Arial"/>
          <w:sz w:val="18"/>
          <w:szCs w:val="18"/>
          <w:color w:val="auto"/>
        </w:rPr>
      </w:pPr>
    </w:p>
    <w:p>
      <w:pPr>
        <w:ind w:left="780" w:right="440" w:hanging="249"/>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geographic coverage and reach through the growth in the number of our Founding Members’ digital theatres and the establishment of Network Affiliate relationships with additional theatre operators;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integrated marketing solutions that create more effective marketing campaigns for our clients;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market awareness of our CineMeetings business to expand our client base and increase our revenues;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live and pre-recorded digital programming revenue by securing additional high-quality entertainment content;</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upgrade our advertising sales and inventory management systems to allow us to more effectively manage our advertising inventory; and</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new marketing and distribution platforms that leverage our sales and marketing and technology infrastructures.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AMC Entertainment Inc.</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AMC is the second largest theatre circuit in the United States based on total number of screens. As of March 30, 2006, after giving effect to expected dispositions of certain theatres, AMC owned, operated or held interests in 413 theatres with a total of 5,603 screens globally, with approximately 79.2% or 4,437, of the screens in the United States (including Loews). For the fiscal year ended March 30, 2006, AMC’s theatres had total worldwide attendance of 171.4 million, including 149.1 million in the United States, and AMC had revenue of $1,730.5 million. Pro forma for the Loews acquisition, which was completed on January 26, 2006, AMC’s total attendance for the fiscal year ended March 30, 2006, was 243.5 million, and AMC had revenue of $2,388.1 million.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Cinemark, Inc.</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Cinemark is the third largest theatre circuit in the United States based on total number of screens. As of December 31, 2005, Cinemark operated 308 theatres with a total of 3,329 screens globally, with approximately 72.2%, or 2,405, of the screens in the United States. For the year ended December 31, 2005, Cinemark’s theatres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had total worldwide attendance of 165.7 million, including 105.4 million in the United States, and Cinemark reported total revenue of $1,020.6 million. On October 5, 2006, Cinemark acquired the Century theatre circuit. As of that date, Century operated 77 theatres with 1,017 screens.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Regal Entertainment Group</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Regal operates the largest theatre circuit in the United States based on total number of screens. As of December 29, 2005, Regal operated 555 theatres with a total of 6,463 screens, all of which are located in the United States. For the fiscal year ended December 29, 2005, Regal’s theatres had total attendance of 244.3 million and Regal reported total revenue of $2,516.7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Structure and Reorganization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Current Structure</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January 26, 2006, AMC completed the acquisition of the Loews theatre circuit. On October 5, 2006, Cinemark completed the acquisition of the Century theatre circuit and the Century screens were added to our network on an exclusive basis subject to limited exceptions.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transactions, which we collectively refer to as the “Reorganization,” will occur in connection with the completion of this offering:</w:t>
      </w:r>
    </w:p>
    <w:p>
      <w:pPr>
        <w:spacing w:after="0" w:line="113" w:lineRule="exact"/>
        <w:rPr>
          <w:sz w:val="20"/>
          <w:szCs w:val="20"/>
          <w:color w:val="auto"/>
        </w:rPr>
      </w:pPr>
    </w:p>
    <w:p>
      <w:pPr>
        <w:ind w:left="780" w:right="180" w:hanging="249"/>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NCM LLC’s agreements with its Founding Members will be amended and restated, including the Exhibitor Services Agreements and the NCM LLC Operating Agreement, each as described under “—Our Relationships with our Founding Members”;</w:t>
      </w:r>
    </w:p>
    <w:p>
      <w:pPr>
        <w:spacing w:after="0" w:line="50" w:lineRule="exact"/>
        <w:rPr>
          <w:rFonts w:ascii="Arial" w:cs="Arial" w:eastAsia="Arial" w:hAnsi="Arial"/>
          <w:sz w:val="18"/>
          <w:szCs w:val="18"/>
          <w:color w:val="auto"/>
        </w:rPr>
      </w:pPr>
    </w:p>
    <w:p>
      <w:pPr>
        <w:ind w:left="780" w:right="40" w:hanging="249"/>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NCM LLC will enter into the Loews Screen Integration Agreement with AMC pursuant to which AMC will pay NCM LLC an amount that approximates the EBITDA we would have generated if we were able to sell advertising in the Loews theatre chain on an exclusive basis commencing upon the completion of this offering, and NCM LLC will issue to AMC common membership units in NCM LLC; such Loews payments will be made quarterly for a specified time period;</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NCM LLC will be recapitalized on a non-cash basis with a distribution to the Founding Members of preferred membership units in exchange for each outstanding common membership unit;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common membership units and</w:t>
      </w:r>
    </w:p>
    <w:p>
      <w:pPr>
        <w:spacing w:after="0" w:line="340" w:lineRule="exact"/>
        <w:rPr>
          <w:sz w:val="20"/>
          <w:szCs w:val="20"/>
          <w:color w:val="auto"/>
        </w:rPr>
      </w:pPr>
    </w:p>
    <w:p>
      <w:pPr>
        <w:sectPr>
          <w:pgSz w:w="11900" w:h="16838" w:orient="portrait"/>
          <w:cols w:equalWidth="0" w:num="3">
            <w:col w:w="600" w:space="180"/>
            <w:col w:w="7040" w:space="620"/>
            <w:col w:w="2960"/>
          </w:cols>
          <w:pgMar w:left="240" w:top="459" w:right="259" w:bottom="1440" w:gutter="0" w:footer="0" w:header="0"/>
          <w:type w:val="continuous"/>
        </w:sectPr>
      </w:pPr>
    </w:p>
    <w:p>
      <w:pPr>
        <w:ind w:left="780" w:hanging="249"/>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will split the number of outstanding common membership units so that a common membership unit can be acquired with the proceeds from the initial offering of one share of our common stock after underwriting discounts and commissions;</w:t>
      </w:r>
    </w:p>
    <w:p>
      <w:pPr>
        <w:spacing w:after="0" w:line="50" w:lineRule="exact"/>
        <w:rPr>
          <w:rFonts w:ascii="Arial" w:cs="Arial" w:eastAsia="Arial" w:hAnsi="Arial"/>
          <w:sz w:val="18"/>
          <w:szCs w:val="18"/>
          <w:color w:val="auto"/>
        </w:rPr>
      </w:pPr>
    </w:p>
    <w:p>
      <w:pPr>
        <w:jc w:val="both"/>
        <w:ind w:left="780" w:right="180" w:hanging="249"/>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NCM Inc. will become a member and the sole manager of NCM LLC following the purchase from NCM LLC of a number of common membership units equal to the number of shares of common stock sold in this offering; the units will be purchased with the proceeds of this offering at a price per unit equal to the public offering price per share, less underwriting discounts and commissions;</w:t>
      </w:r>
    </w:p>
    <w:p>
      <w:pPr>
        <w:spacing w:after="0" w:line="25" w:lineRule="exact"/>
        <w:rPr>
          <w:rFonts w:ascii="Arial" w:cs="Arial" w:eastAsia="Arial" w:hAnsi="Arial"/>
          <w:sz w:val="16"/>
          <w:szCs w:val="16"/>
          <w:color w:val="auto"/>
        </w:rPr>
      </w:pPr>
    </w:p>
    <w:p>
      <w:pPr>
        <w:ind w:left="780" w:hanging="249"/>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NCM LLC will use $ of the proceeds it receives from us to compensate our Founding Members for agreeing to modify our payment obligations under our ESAs;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249"/>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options to acquire common membership units in NCM LLC held by employees of NCM LLC will be converted to options to acquire our common stock and any additional options required to be issued under the terms of the 2006 NCM LLC Unit Option Plan will be issued to the option holders; and</w:t>
      </w:r>
    </w:p>
    <w:p>
      <w:pPr>
        <w:spacing w:after="0" w:line="59" w:lineRule="exact"/>
        <w:rPr>
          <w:sz w:val="20"/>
          <w:szCs w:val="20"/>
          <w:color w:val="auto"/>
        </w:rPr>
      </w:pPr>
    </w:p>
    <w:p>
      <w:pPr>
        <w:ind w:left="780" w:right="20" w:hanging="239"/>
        <w:spacing w:after="0" w:line="259" w:lineRule="auto"/>
        <w:tabs>
          <w:tab w:leader="none" w:pos="760" w:val="left"/>
        </w:tabs>
        <w:rPr>
          <w:sz w:val="20"/>
          <w:szCs w:val="20"/>
          <w:color w:val="auto"/>
        </w:rPr>
      </w:pPr>
      <w:r>
        <w:rPr>
          <w:rFonts w:ascii="Arial" w:cs="Arial" w:eastAsia="Arial" w:hAnsi="Arial"/>
          <w:sz w:val="18"/>
          <w:szCs w:val="18"/>
          <w:color w:val="auto"/>
        </w:rPr>
        <w:t>•</w:t>
        <w:tab/>
        <w:t>NCM LLC will redeem the preferred membership units in NCM LLC at a price of $ per unit using the proceeds of a term loan of $725 million that is a part of our new senior secured credit facility, as described under “Financing Transaction.” The size of the credit facility is subject to change prior to its closing.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sell our common stock to the public in this offering. After completion of this offering, we will have no material assets other than direct ownership</w:t>
      </w:r>
    </w:p>
    <w:p>
      <w:pPr>
        <w:spacing w:after="0" w:line="38"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of approximately % of the common membership units in NCM LLC. Our Founding Members will hold the remaining % of NCM LLC’s common membership units.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Our only source of cash flow from operations will be distributions from NCM LLC and management fees pursuant to a management services agreement between us and NCM LLC.</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Governance Matters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sole manager of NCM LLC, may authorize NCM LLC to take any of the following actions:</w:t>
      </w:r>
    </w:p>
    <w:p>
      <w:pPr>
        <w:spacing w:after="0" w:line="62" w:lineRule="exact"/>
        <w:rPr>
          <w:sz w:val="20"/>
          <w:szCs w:val="20"/>
          <w:color w:val="auto"/>
        </w:rPr>
      </w:pPr>
    </w:p>
    <w:p>
      <w:pPr>
        <w:ind w:left="780" w:hanging="24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780" w:right="160" w:hanging="249"/>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ectPr>
          <w:pgSz w:w="11900" w:h="16838" w:orient="portrait"/>
          <w:cols w:equalWidth="0" w:num="1">
            <w:col w:w="11320"/>
          </w:cols>
          <w:pgMar w:left="240" w:top="459" w:right="339" w:bottom="1440" w:gutter="0" w:footer="0" w:header="0"/>
        </w:sectPr>
      </w:pPr>
    </w:p>
    <w:p>
      <w:pPr>
        <w:spacing w:after="0" w:line="9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incur or repay any indebtedness with a fixed term before due, in an amount exceeding operating as a going concern;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of the fair market value of the business of NCM LLC</w:t>
      </w:r>
    </w:p>
    <w:p>
      <w:pPr>
        <w:spacing w:after="0" w:line="329" w:lineRule="exact"/>
        <w:rPr>
          <w:sz w:val="20"/>
          <w:szCs w:val="20"/>
          <w:color w:val="auto"/>
        </w:rPr>
      </w:pPr>
    </w:p>
    <w:p>
      <w:pPr>
        <w:sectPr>
          <w:pgSz w:w="11900" w:h="16838" w:orient="portrait"/>
          <w:cols w:equalWidth="0" w:num="3">
            <w:col w:w="600" w:space="180"/>
            <w:col w:w="6020" w:space="400"/>
            <w:col w:w="4120"/>
          </w:cols>
          <w:pgMar w:left="240" w:top="459" w:right="339" w:bottom="1440" w:gutter="0" w:footer="0" w:header="0"/>
          <w:type w:val="continuous"/>
        </w:sectPr>
      </w:pPr>
    </w:p>
    <w:p>
      <w:pPr>
        <w:ind w:left="780" w:hanging="249"/>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NCM LLC’s Operating Agreement;</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jc w:val="both"/>
        <w:ind w:left="780" w:right="140" w:hanging="249"/>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specifically set forth in the NCM LLC Operating Agreement, declare, set aside or pay any redemption of, dividends on, or make any other distributions that would require an adjustment to the terms of options issued pursuant to the NCM Inc. equity incentive plan in respect of, any of the common stock, preferred stock, membership interests or rights with respect to any such securities;</w:t>
      </w:r>
    </w:p>
    <w:p>
      <w:pPr>
        <w:spacing w:after="0" w:line="25" w:lineRule="exact"/>
        <w:rPr>
          <w:rFonts w:ascii="Arial" w:cs="Arial" w:eastAsia="Arial" w:hAnsi="Arial"/>
          <w:sz w:val="16"/>
          <w:szCs w:val="16"/>
          <w:color w:val="auto"/>
        </w:rPr>
      </w:pPr>
    </w:p>
    <w:p>
      <w:pPr>
        <w:ind w:left="780" w:hanging="249"/>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amend any material terms or provisions of NCM Inc.’s equity incentive plan or enter into any new equity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903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3"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80" w:type="dxa"/>
            <w:vAlign w:val="bottom"/>
            <w:vMerge w:val="restart"/>
          </w:tcPr>
          <w:p>
            <w:pPr>
              <w:ind w:left="30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0"/>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jc w:val="right"/>
              <w:ind w:right="2492"/>
              <w:spacing w:after="0"/>
              <w:rPr>
                <w:sz w:val="20"/>
                <w:szCs w:val="20"/>
                <w:color w:val="auto"/>
              </w:rPr>
            </w:pPr>
            <w:r>
              <w:rPr>
                <w:rFonts w:ascii="Arial" w:cs="Arial" w:eastAsia="Arial" w:hAnsi="Arial"/>
                <w:sz w:val="18"/>
                <w:szCs w:val="18"/>
                <w:color w:val="auto"/>
              </w:rPr>
              <w:t>7</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00" w:hanging="249"/>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a Director Designation and Voting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and only during such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nominee designated by our Founding Members is not elected by our stockholders, then certain of the Founding Members will be entitled to vote on the following actions of NCM LLC:</w:t>
      </w:r>
    </w:p>
    <w:p>
      <w:pPr>
        <w:spacing w:after="0" w:line="51" w:lineRule="exact"/>
        <w:rPr>
          <w:sz w:val="20"/>
          <w:szCs w:val="20"/>
          <w:color w:val="auto"/>
        </w:rPr>
      </w:pPr>
    </w:p>
    <w:p>
      <w:pPr>
        <w:ind w:left="780" w:hanging="2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NCM LLC matters set forth in the bullets above;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NCM LLC’s annual budget;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hiring and firing certain key employees of NCM LLC.</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purposes of calculating the 5% ownership thresholds for the supermajority director approval rights and Director Designation and Voting Agreement provisions discussed above, shares of our common stock held by a Founding Member and received upon redemption of NCM LLC common membership units will be counted toward the threshold, but shares of our common stock otherwise acquired by the Founding Members will be excluded.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depicts our organizational structure immediately after the Reorganization and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165735</wp:posOffset>
            </wp:positionV>
            <wp:extent cx="5059680" cy="2710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968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Based on our Founding Members’ operating data for the twelve months ended August 31, 2006, and taking into account the Loews Screen Integration Agreement, the acquisition of Century theatre circuit by Cinemark, and other acquisitions or dispositions of theatres by the Founding Members, but not taking into account the completion of this offering, we estimate the issued and outstanding common membership units of NCM LLC are owned approximately 33.2% by AMC, approximately 25.6% by Cinemark and approximately 41.2% by Regal. Upon completion of this offering, the issued and outstanding common membership</w:t>
      </w:r>
    </w:p>
    <w:p>
      <w:pPr>
        <w:spacing w:after="0" w:line="3" w:lineRule="exact"/>
        <w:rPr>
          <w:sz w:val="20"/>
          <w:szCs w:val="20"/>
          <w:color w:val="auto"/>
        </w:rPr>
      </w:pPr>
    </w:p>
    <w:p>
      <w:pPr>
        <w:spacing w:after="0"/>
        <w:tabs>
          <w:tab w:leader="none" w:pos="2780" w:val="left"/>
          <w:tab w:leader="none" w:pos="4340" w:val="left"/>
          <w:tab w:leader="none" w:pos="5580" w:val="left"/>
          <w:tab w:leader="none" w:pos="7380" w:val="left"/>
        </w:tabs>
        <w:rPr>
          <w:sz w:val="20"/>
          <w:szCs w:val="20"/>
          <w:color w:val="auto"/>
        </w:rPr>
      </w:pPr>
      <w:r>
        <w:rPr>
          <w:rFonts w:ascii="Arial" w:cs="Arial" w:eastAsia="Arial" w:hAnsi="Arial"/>
          <w:sz w:val="18"/>
          <w:szCs w:val="18"/>
          <w:color w:val="auto"/>
        </w:rPr>
        <w:t>units of NCM LLC will be owned</w:t>
      </w:r>
      <w:r>
        <w:rPr>
          <w:sz w:val="20"/>
          <w:szCs w:val="20"/>
          <w:color w:val="auto"/>
        </w:rPr>
        <w:tab/>
      </w:r>
      <w:r>
        <w:rPr>
          <w:rFonts w:ascii="Arial" w:cs="Arial" w:eastAsia="Arial" w:hAnsi="Arial"/>
          <w:sz w:val="18"/>
          <w:szCs w:val="18"/>
          <w:color w:val="auto"/>
        </w:rPr>
        <w:t>% by NCM Inc.,</w:t>
      </w:r>
      <w:r>
        <w:rPr>
          <w:sz w:val="20"/>
          <w:szCs w:val="20"/>
          <w:color w:val="auto"/>
        </w:rPr>
        <w:tab/>
      </w:r>
      <w:r>
        <w:rPr>
          <w:rFonts w:ascii="Arial" w:cs="Arial" w:eastAsia="Arial" w:hAnsi="Arial"/>
          <w:sz w:val="18"/>
          <w:szCs w:val="18"/>
          <w:color w:val="auto"/>
        </w:rPr>
        <w:t>% by AMC,</w:t>
      </w:r>
      <w:r>
        <w:rPr>
          <w:sz w:val="20"/>
          <w:szCs w:val="20"/>
          <w:color w:val="auto"/>
        </w:rPr>
        <w:tab/>
      </w:r>
      <w:r>
        <w:rPr>
          <w:rFonts w:ascii="Arial" w:cs="Arial" w:eastAsia="Arial" w:hAnsi="Arial"/>
          <w:sz w:val="18"/>
          <w:szCs w:val="18"/>
          <w:color w:val="auto"/>
        </w:rPr>
        <w:t>% by Cinemark and</w:t>
      </w:r>
      <w:r>
        <w:rPr>
          <w:sz w:val="20"/>
          <w:szCs w:val="20"/>
          <w:color w:val="auto"/>
        </w:rPr>
        <w:tab/>
      </w:r>
      <w:r>
        <w:rPr>
          <w:rFonts w:ascii="Arial" w:cs="Arial" w:eastAsia="Arial" w:hAnsi="Arial"/>
          <w:sz w:val="15"/>
          <w:szCs w:val="15"/>
          <w:color w:val="auto"/>
        </w:rPr>
        <w:t>% by Regal.</w:t>
      </w:r>
      <w:r>
        <w:rPr>
          <w:rFonts w:ascii="Arial" w:cs="Arial" w:eastAsia="Arial" w:hAnsi="Arial"/>
          <w:sz w:val="19"/>
          <w:szCs w:val="19"/>
          <w:color w:val="auto"/>
          <w:vertAlign w:val="superscript"/>
        </w:rPr>
        <w:t>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Relationships with Our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 (ESAs)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NCM LLC has been the exclusive provider of in-theater advertising (subject to certain pre-existing contractual obligations and other limited exceptions for the benefit of the Founding Members) to the Founding Members pursuant to agreements entered into with AMC and Regal in March 2005 and with Cinemark in July 2005. These agreements contain NCM LLC’s obligation to provide on-screen and lobby advertising services, and the Founding Members’ obligation to exhibit advertising on the theatre and lobby screens and in theatre lobbies. They also set forth the terms on which the Founding Members participate in our CineMeetings and digital programming events businesses.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completion of this offering, we will enter into amended and restated Exhibitor Services Agreements with our Founding Members.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new agreements, which we refer to as ESAs, will include:</w:t>
      </w:r>
    </w:p>
    <w:p>
      <w:pPr>
        <w:spacing w:after="0" w:line="84" w:lineRule="exact"/>
        <w:rPr>
          <w:sz w:val="20"/>
          <w:szCs w:val="20"/>
          <w:color w:val="auto"/>
        </w:rPr>
      </w:pPr>
    </w:p>
    <w:p>
      <w:pPr>
        <w:ind w:left="780" w:right="680" w:hanging="249"/>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term of 30 years (the term relating to our CineMeetings business will be five years with provisions for automatic renewal if certain financial performance conditions are met);</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five-year right of first refusal, which begins one year prior to the end of the term of the ESA;</w:t>
      </w:r>
    </w:p>
    <w:p>
      <w:pPr>
        <w:spacing w:after="0" w:line="90" w:lineRule="exact"/>
        <w:rPr>
          <w:rFonts w:ascii="Arial" w:cs="Arial" w:eastAsia="Arial" w:hAnsi="Arial"/>
          <w:sz w:val="18"/>
          <w:szCs w:val="18"/>
          <w:color w:val="auto"/>
        </w:rPr>
      </w:pPr>
    </w:p>
    <w:p>
      <w:pPr>
        <w:ind w:left="780" w:right="200" w:hanging="249"/>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260" w:right="280" w:hanging="446"/>
        <w:spacing w:after="0" w:line="268" w:lineRule="auto"/>
        <w:rPr>
          <w:rFonts w:ascii="Arial" w:cs="Arial" w:eastAsia="Arial" w:hAnsi="Arial"/>
          <w:sz w:val="18"/>
          <w:szCs w:val="18"/>
          <w:color w:val="auto"/>
        </w:rPr>
      </w:pPr>
      <w:r>
        <w:rPr>
          <w:rFonts w:ascii="Arial" w:cs="Arial" w:eastAsia="Arial" w:hAnsi="Arial"/>
          <w:sz w:val="18"/>
          <w:szCs w:val="18"/>
          <w:color w:val="auto"/>
        </w:rPr>
        <w:t>— promote activities associated with theatre operations, on screen, on the LEN and in the lobby including on additional video screens in theatre lobbies; and</w:t>
      </w:r>
    </w:p>
    <w:p>
      <w:pPr>
        <w:spacing w:after="0" w:line="50" w:lineRule="exact"/>
        <w:rPr>
          <w:rFonts w:ascii="Arial" w:cs="Arial" w:eastAsia="Arial" w:hAnsi="Arial"/>
          <w:sz w:val="18"/>
          <w:szCs w:val="18"/>
          <w:color w:val="auto"/>
        </w:rPr>
      </w:pPr>
    </w:p>
    <w:p>
      <w:pPr>
        <w:ind w:left="1260" w:right="420" w:hanging="446"/>
        <w:spacing w:after="0" w:line="332" w:lineRule="auto"/>
        <w:rPr>
          <w:rFonts w:ascii="Arial" w:cs="Arial" w:eastAsia="Arial" w:hAnsi="Arial"/>
          <w:sz w:val="18"/>
          <w:szCs w:val="18"/>
          <w:color w:val="auto"/>
        </w:rPr>
      </w:pPr>
      <w:r>
        <w:rPr>
          <w:rFonts w:ascii="Arial" w:cs="Arial" w:eastAsia="Arial" w:hAnsi="Arial"/>
          <w:sz w:val="16"/>
          <w:szCs w:val="16"/>
          <w:color w:val="auto"/>
        </w:rPr>
        <w:t>— promote, on the LEN and in theatre lobbies only, certain non-exclusive cross-marketing arrangements with third parties entered into by the Founding Members which is designed to promote the theatres and the movie-going experience to increase attendance or revenue;</w:t>
      </w:r>
    </w:p>
    <w:p>
      <w:pPr>
        <w:spacing w:after="0" w:line="4" w:lineRule="exact"/>
        <w:rPr>
          <w:rFonts w:ascii="Arial" w:cs="Arial" w:eastAsia="Arial" w:hAnsi="Arial"/>
          <w:sz w:val="18"/>
          <w:szCs w:val="18"/>
          <w:color w:val="auto"/>
        </w:rPr>
      </w:pPr>
    </w:p>
    <w:p>
      <w:pPr>
        <w:ind w:left="780" w:hanging="24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780" w:right="20" w:hanging="249"/>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requirement that the Founding Members purchase up to 90 seconds of on-screen advertising time during the pre-feature program at a negotiated rate (intended to approximate a market rate) in order to satisfy the Founding Members’ obligation to provide certain on-screen advertising to their beverage concessionaires pursuant to their beverage concessionaire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903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3"/>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6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3"/>
            <w:vMerge w:val="continue"/>
          </w:tcPr>
          <w:p>
            <w:pPr>
              <w:spacing w:after="0"/>
              <w:rPr>
                <w:sz w:val="7"/>
                <w:szCs w:val="7"/>
                <w:color w:val="auto"/>
              </w:rPr>
            </w:pPr>
          </w:p>
        </w:tc>
        <w:tc>
          <w:tcPr>
            <w:tcW w:w="2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w w:val="96"/>
              </w:rPr>
              <w:t>the cover page of the prospectus) would result in a decrease of</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w w:val="93"/>
              </w:rPr>
              <w:t>% in the percentage of NCM LLC membership units held by AMC, a</w:t>
            </w:r>
          </w:p>
        </w:tc>
        <w:tc>
          <w:tcPr>
            <w:tcW w:w="8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980" w:type="dxa"/>
            <w:vAlign w:val="bottom"/>
          </w:tcPr>
          <w:p>
            <w:pPr>
              <w:ind w:left="100"/>
              <w:spacing w:after="0"/>
              <w:rPr>
                <w:sz w:val="20"/>
                <w:szCs w:val="20"/>
                <w:color w:val="auto"/>
              </w:rPr>
            </w:pPr>
            <w:r>
              <w:rPr>
                <w:rFonts w:ascii="Arial" w:cs="Arial" w:eastAsia="Arial" w:hAnsi="Arial"/>
                <w:sz w:val="18"/>
                <w:szCs w:val="18"/>
                <w:color w:val="auto"/>
              </w:rPr>
              <w:t>decrease in the units</w:t>
            </w:r>
          </w:p>
        </w:tc>
        <w:tc>
          <w:tcPr>
            <w:tcW w:w="2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1980" w:type="dxa"/>
            <w:vAlign w:val="bottom"/>
          </w:tcPr>
          <w:p>
            <w:pPr>
              <w:ind w:left="120"/>
              <w:spacing w:after="0"/>
              <w:rPr>
                <w:sz w:val="20"/>
                <w:szCs w:val="20"/>
                <w:color w:val="auto"/>
              </w:rPr>
            </w:pPr>
            <w:r>
              <w:rPr>
                <w:rFonts w:ascii="Arial" w:cs="Arial" w:eastAsia="Arial" w:hAnsi="Arial"/>
                <w:sz w:val="18"/>
                <w:szCs w:val="18"/>
                <w:color w:val="auto"/>
                <w:w w:val="96"/>
              </w:rPr>
              <w:t>held by Cinemark and a</w:t>
            </w:r>
          </w:p>
        </w:tc>
        <w:tc>
          <w:tcPr>
            <w:tcW w:w="2980" w:type="dxa"/>
            <w:vAlign w:val="bottom"/>
          </w:tcPr>
          <w:p>
            <w:pPr>
              <w:ind w:left="200"/>
              <w:spacing w:after="0"/>
              <w:rPr>
                <w:sz w:val="20"/>
                <w:szCs w:val="20"/>
                <w:color w:val="auto"/>
              </w:rPr>
            </w:pPr>
            <w:r>
              <w:rPr>
                <w:rFonts w:ascii="Arial" w:cs="Arial" w:eastAsia="Arial" w:hAnsi="Arial"/>
                <w:sz w:val="18"/>
                <w:szCs w:val="18"/>
                <w:color w:val="auto"/>
                <w:w w:val="89"/>
              </w:rPr>
              <w:t>% decrease in the units held by Regal.</w:t>
            </w:r>
          </w:p>
        </w:tc>
        <w:tc>
          <w:tcPr>
            <w:tcW w:w="30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40" w:type="dxa"/>
            <w:vAlign w:val="bottom"/>
          </w:tcPr>
          <w:p>
            <w:pPr>
              <w:jc w:val="right"/>
              <w:ind w:right="2492"/>
              <w:spacing w:after="0"/>
              <w:rPr>
                <w:sz w:val="20"/>
                <w:szCs w:val="20"/>
                <w:color w:val="auto"/>
              </w:rPr>
            </w:pPr>
            <w:r>
              <w:rPr>
                <w:rFonts w:ascii="Arial" w:cs="Arial" w:eastAsia="Arial" w:hAnsi="Arial"/>
                <w:sz w:val="18"/>
                <w:szCs w:val="18"/>
                <w:color w:val="auto"/>
              </w:rPr>
              <w:t>9</w:t>
            </w: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00" w:hanging="249"/>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primary responsibility of NCM LLC to obtain, repair and replace the equipment necessary to operate the DCN and primary responsibility of the Founding Members to fund the installation and replacement of the equipment.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“Certain Relationships and Related Party Transactions—Transactions with Founding Members—Exhibitor Services Agreements (ESAs).”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NCM LLC Operating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and Restated Operating Agreement for NCM LLC will be further amended and restated in connection with the Reorganization, so that:</w:t>
      </w:r>
    </w:p>
    <w:p>
      <w:pPr>
        <w:spacing w:after="0" w:line="113" w:lineRule="exact"/>
        <w:rPr>
          <w:sz w:val="20"/>
          <w:szCs w:val="20"/>
          <w:color w:val="auto"/>
        </w:rPr>
      </w:pPr>
    </w:p>
    <w:p>
      <w:pPr>
        <w:ind w:left="780" w:right="120" w:hanging="249"/>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outstanding membership units are reallocated among the Founding Members to account for the recent additions of Cinemark and Century screens to our network;</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NCM Inc. will become a member and the sole manager of NCM LLC;</w:t>
      </w:r>
    </w:p>
    <w:p>
      <w:pPr>
        <w:spacing w:after="0" w:line="90" w:lineRule="exact"/>
        <w:rPr>
          <w:rFonts w:ascii="Arial" w:cs="Arial" w:eastAsia="Arial" w:hAnsi="Arial"/>
          <w:sz w:val="18"/>
          <w:szCs w:val="18"/>
          <w:color w:val="auto"/>
        </w:rPr>
      </w:pPr>
    </w:p>
    <w:p>
      <w:pPr>
        <w:ind w:left="780" w:right="180" w:hanging="249"/>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NCM LLC will make quarterly distributions to its members, including NCM Inc., of all cash that is not reserved to meet business needs or restricted under the terms of any outstanding indebtedness, subject to limited exceptions;</w:t>
      </w:r>
    </w:p>
    <w:p>
      <w:pPr>
        <w:spacing w:after="0" w:line="50" w:lineRule="exact"/>
        <w:rPr>
          <w:rFonts w:ascii="Arial" w:cs="Arial" w:eastAsia="Arial" w:hAnsi="Arial"/>
          <w:sz w:val="18"/>
          <w:szCs w:val="18"/>
          <w:color w:val="auto"/>
        </w:rPr>
      </w:pPr>
    </w:p>
    <w:p>
      <w:pPr>
        <w:ind w:left="780" w:right="100" w:hanging="249"/>
        <w:spacing w:after="0" w:line="25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common membership units held by each Founding Member may be issued or redeemed (and/or in certain cases in connection with a decrease in the number of screens, at the option of the Founding Members, cash paid by the Founding Members) to account for increases in the number of screens of each Founding Member that becomes subject to the ESA as a result of new construction or acquisitions, or decreases in the number of screens available to us due to sales or early lease terminations;</w:t>
      </w:r>
    </w:p>
    <w:p>
      <w:pPr>
        <w:spacing w:after="0" w:line="62" w:lineRule="exact"/>
        <w:rPr>
          <w:rFonts w:ascii="Arial" w:cs="Arial" w:eastAsia="Arial" w:hAnsi="Arial"/>
          <w:sz w:val="18"/>
          <w:szCs w:val="18"/>
          <w:color w:val="auto"/>
        </w:rPr>
      </w:pPr>
    </w:p>
    <w:p>
      <w:pPr>
        <w:ind w:left="780" w:right="260" w:hanging="249"/>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members may redeem their common membership units in NCM LLC in exchange for, at our option, shares of our common stock on a one-for-one basis, a cash payment equal to the market price of one share of our common stock times the number of units being redeemed or any combination of cash and stock; and</w:t>
      </w:r>
    </w:p>
    <w:p>
      <w:pPr>
        <w:spacing w:after="0" w:line="59" w:lineRule="exact"/>
        <w:rPr>
          <w:rFonts w:ascii="Arial" w:cs="Arial" w:eastAsia="Arial" w:hAnsi="Arial"/>
          <w:sz w:val="18"/>
          <w:szCs w:val="18"/>
          <w:color w:val="auto"/>
        </w:rPr>
      </w:pPr>
    </w:p>
    <w:p>
      <w:pPr>
        <w:ind w:left="780" w:hanging="24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nominee to our board of directors who is designated by our Founding Members is not elected to our board, the Founding Members who own in</w:t>
      </w:r>
    </w:p>
    <w:p>
      <w:pPr>
        <w:sectPr>
          <w:pgSz w:w="11900" w:h="16838" w:orient="portrait"/>
          <w:cols w:equalWidth="0" w:num="1">
            <w:col w:w="11380"/>
          </w:cols>
          <w:pgMar w:left="240" w:top="459" w:right="279" w:bottom="1440" w:gutter="0" w:footer="0" w:header="0"/>
        </w:sectPr>
      </w:pPr>
    </w:p>
    <w:p>
      <w:pPr>
        <w:spacing w:after="0" w:line="38" w:lineRule="exact"/>
        <w:rPr>
          <w:sz w:val="20"/>
          <w:szCs w:val="20"/>
          <w:color w:val="auto"/>
        </w:rPr>
      </w:pPr>
    </w:p>
    <w:p>
      <w:pPr>
        <w:ind w:left="780"/>
        <w:spacing w:after="0" w:line="261" w:lineRule="auto"/>
        <w:rPr>
          <w:sz w:val="20"/>
          <w:szCs w:val="20"/>
          <w:color w:val="auto"/>
        </w:rPr>
      </w:pPr>
      <w:r>
        <w:rPr>
          <w:rFonts w:ascii="Arial" w:cs="Arial" w:eastAsia="Arial" w:hAnsi="Arial"/>
          <w:sz w:val="18"/>
          <w:szCs w:val="18"/>
          <w:color w:val="auto"/>
        </w:rPr>
        <w:t>excess of % of NCM LLC’s then-outstanding common membership units will have the right to approve specified matters including those set forth under “—Corporate Governance Matters”.</w:t>
      </w:r>
    </w:p>
    <w:p>
      <w:pPr>
        <w:sectPr>
          <w:pgSz w:w="11900" w:h="16838" w:orient="portrait"/>
          <w:cols w:equalWidth="0" w:num="1">
            <w:col w:w="11380"/>
          </w:cols>
          <w:pgMar w:left="240" w:top="459" w:right="279" w:bottom="1440" w:gutter="0" w:footer="0" w:header="0"/>
          <w:type w:val="continuous"/>
        </w:sectPr>
      </w:pP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“Certain Relationships and Related Party Transactions—Transactions with Founding Members—NCM LLC Operating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connection with the completion of this offering, NCM LLC will enter into a new $ million senior secured credit facility with a group of lenders that will include affiliates of several of the underwriters. This facility will consist of a -year, $ million revolving credit facility and an -year, $725 million term loan facility. The size of the credit facility is subject to change prior to its closing. The term loan will be due on the anniversary of funding and will be used to redeem the preferred membership units of NCM LLC for an aggregate price of $ , to repay the outstanding amounts, if any,</w:t>
      </w:r>
    </w:p>
    <w:p>
      <w:pPr>
        <w:sectPr>
          <w:pgSz w:w="11900" w:h="16838" w:orient="portrait"/>
          <w:cols w:equalWidth="0" w:num="1">
            <w:col w:w="11380"/>
          </w:cols>
          <w:pgMar w:left="240" w:top="459" w:right="279" w:bottom="1440" w:gutter="0" w:footer="0" w:header="0"/>
          <w:type w:val="continuous"/>
        </w:sectPr>
      </w:pP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NCM LLC’s existing revolving credit facility and pay fees and expenses related to this offering. The revolving credit facility will be available, subject to certain conditions, for general corporate purposes of NCM LLC in the ordinary course of business and for other transactions permitted under the credit agreement. A portion of the revolving credit facility will be available for letters of credit. The obligations under the senior secured credit facility will be secured by a lien on substantially all the assets of NCM LLC.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 w:firstLine="456"/>
        <w:spacing w:after="0" w:line="279" w:lineRule="auto"/>
        <w:rPr>
          <w:sz w:val="20"/>
          <w:szCs w:val="20"/>
          <w:color w:val="auto"/>
        </w:rPr>
      </w:pPr>
      <w:r>
        <w:rPr>
          <w:rFonts w:ascii="Arial" w:cs="Arial" w:eastAsia="Arial" w:hAnsi="Arial"/>
          <w:sz w:val="16"/>
          <w:szCs w:val="16"/>
          <w:color w:val="auto"/>
        </w:rPr>
        <w:t>On January 26, 2006, AMC acquired the Loews theatre circuit. As of June 29, 2006, Loews operated 112 theatres with 1,334 screens in the United States. During 2005, approximately 66.5 million movie patrons attended Loews’ theatres in the United States. By adding the Loews screens to our network, we will increase our market coverage in the top 10 DMAs</w:t>
      </w:r>
      <w:r>
        <w:rPr>
          <w:rFonts w:ascii="Arial" w:cs="Arial" w:eastAsia="Arial" w:hAnsi="Arial"/>
          <w:sz w:val="20"/>
          <w:szCs w:val="20"/>
          <w:color w:val="auto"/>
          <w:vertAlign w:val="superscript"/>
        </w:rPr>
        <w:t>®</w:t>
      </w:r>
      <w:r>
        <w:rPr>
          <w:rFonts w:ascii="Arial" w:cs="Arial" w:eastAsia="Arial" w:hAnsi="Arial"/>
          <w:sz w:val="16"/>
          <w:szCs w:val="16"/>
          <w:color w:val="auto"/>
        </w:rPr>
        <w:t>. These U.S.-based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December 1, 2008, the run-out of certain pre-existing contractual obligations for on-screen advertising that exist on June 1, 2008 and (ii) during the period beginning on December 1, 2008 through March 1, 2009, the right of the other advertising provider to one minute of advertising inventory during the pre-feature show. In accordance with a Loews Screen Integration Agreement to be entered into between us and AMC, AMC will pay us an amount that approximates the EBITDA we would have generated if we were able to sell advertising in the Loews theatre chain on an exclusive basis commencing upon the completion of this offering, and NCM LLC will issue to AMC common membership units in NCM LLC prior to the completion of this offering. These Loews payments will be made on a quarterly basis for a specified time period, and will be recorded as a contribution to members’ equity and will not be reflected in NCM LLC’s statements of operations.</w:t>
      </w:r>
    </w:p>
    <w:p>
      <w:pPr>
        <w:spacing w:after="0" w:line="13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2006, we announced the hiring of Travis Reid, former President and Chief Executive Officer of Loews, as a consultant to lead our effort to create a financing model and establish agreements with major motion picture studios for the implementation of digital cinema (distribution of feature films in a digital format rather than a 35 mm format). We also engaged J.P. Morgan Securities Inc. to assist with structuring the financing. Mr. Reid has been working with our management and the Founding Members, as well as various financing sources and the major motion picture studios, on the development of a digital cinema business plan. After the Reorganization, we expect to continue to provide services related to the design, testing and procurement of digital cinema equipment pursuant to a Digital Cinema Services Agreement to be entered into with an entity to be formed and owned by our Founding Members. Pursuant to the Digital Cinema Services Agreement, we will be paid a periodic fee and reimbursed for our expenses. We anticipate that our consulting agreement with Mr. Reid and engagement letter with J.P. Morgan Securities will likely be assigned to the newly formed entity, which will manage the implementation of the business plan, including the establishment of an unrelated entity to purchase digital cinema equipment and enter into the associated financings. Neither NCM Inc. nor any of our subsidiaries will have an ownership interest in the unrelated entity. The financing arrangements are intended to be non-recourse to us. These future developments are subject to the plans of our Founding Members.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October 5, 2006, Cinemark acquired the Century theatre circuit. As of that date, Century operated 77 theatres with 1,017 screens. The Century screens were added to our network on an exclusive basis on the closing date, subject to certain exceptions. During Century’s fiscal year ended September 30, 2005, approximately 47.1 million movie patrons attended Century’s theatres in the United States.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25"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right="260" w:hanging="75"/>
        <w:spacing w:after="0" w:line="332" w:lineRule="auto"/>
        <w:rPr>
          <w:sz w:val="20"/>
          <w:szCs w:val="20"/>
          <w:color w:val="auto"/>
        </w:rPr>
      </w:pPr>
      <w:r>
        <w:rPr>
          <w:rFonts w:ascii="Arial" w:cs="Arial" w:eastAsia="Arial" w:hAnsi="Arial"/>
          <w:sz w:val="16"/>
          <w:szCs w:val="16"/>
          <w:color w:val="auto"/>
        </w:rPr>
        <w:t>Common membership units in NCM LLC to be outstanding immediately after this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1903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a 30-day option to purchase on a pro rata basis up to</w:t>
      </w:r>
    </w:p>
    <w:p>
      <w:pPr>
        <w:spacing w:after="0" w:line="1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additional shares at the initial public offering price less underwriting discounts and commissions. The option may be exercised only to cover any over-allotments of common stock.</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membership units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Each share of our common stock will entitle its holder to one vote per share.</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Each common membership unit in NCM LLC not owned by us may be redeemed in exchange for, at our option, shares of our common stock on a one-for-one basis, a cash payment equal to the market price of one share of our common stock or any combination of cash and stock. If, immediately following this offering, our Founding Members had all of their membership units in NCM LLC redeemed in exchange for shares of our common stock, they would own an aggregate of approximately</w:t>
      </w:r>
    </w:p>
    <w:p>
      <w:pPr>
        <w:spacing w:after="0" w:line="2" w:lineRule="exact"/>
        <w:rPr>
          <w:sz w:val="20"/>
          <w:szCs w:val="20"/>
          <w:color w:val="auto"/>
        </w:rPr>
      </w:pPr>
    </w:p>
    <w:p>
      <w:pPr>
        <w:ind w:right="320" w:firstLine="351"/>
        <w:spacing w:after="0" w:line="286" w:lineRule="auto"/>
        <w:rPr>
          <w:sz w:val="20"/>
          <w:szCs w:val="20"/>
          <w:color w:val="auto"/>
        </w:rPr>
      </w:pPr>
      <w:r>
        <w:rPr>
          <w:rFonts w:ascii="Arial" w:cs="Arial" w:eastAsia="Arial" w:hAnsi="Arial"/>
          <w:sz w:val="18"/>
          <w:szCs w:val="18"/>
          <w:color w:val="auto"/>
        </w:rPr>
        <w:t>% of all outstanding shares of our common stock (or % if the underwriters exercised their over-allotment option in full).</w:t>
      </w:r>
      <w:r>
        <w:rPr>
          <w:rFonts w:ascii="Arial" w:cs="Arial" w:eastAsia="Arial" w:hAnsi="Arial"/>
          <w:sz w:val="22"/>
          <w:szCs w:val="22"/>
          <w:color w:val="auto"/>
          <w:vertAlign w:val="superscript"/>
        </w:rPr>
        <w:t>1</w:t>
      </w:r>
    </w:p>
    <w:p>
      <w:pPr>
        <w:spacing w:after="0" w:line="9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Pursuant to the NCM LLC Operating Agreement, NCM LLC will be required to distribute, on a quarterly basis, all cash to common members that is not reserved to meet business needs or restricted under the terms of any outstanding indebtedness. We intend to distribute as dividends to our common stockholders a substantial portion of the distributions we receive from NCM LLC. See “Dividend Policy.”</w:t>
      </w:r>
    </w:p>
    <w:p>
      <w:pPr>
        <w:spacing w:after="0" w:line="197" w:lineRule="exact"/>
        <w:rPr>
          <w:sz w:val="20"/>
          <w:szCs w:val="20"/>
          <w:color w:val="auto"/>
        </w:rPr>
      </w:pPr>
    </w:p>
    <w:p>
      <w:pPr>
        <w:spacing w:after="0"/>
        <w:tabs>
          <w:tab w:leader="none" w:pos="5120" w:val="left"/>
        </w:tabs>
        <w:rPr>
          <w:sz w:val="20"/>
          <w:szCs w:val="20"/>
          <w:color w:val="auto"/>
        </w:rPr>
      </w:pPr>
      <w:r>
        <w:rPr>
          <w:rFonts w:ascii="Arial" w:cs="Arial" w:eastAsia="Arial" w:hAnsi="Arial"/>
          <w:sz w:val="18"/>
          <w:szCs w:val="18"/>
          <w:color w:val="auto"/>
        </w:rPr>
        <w:t>We estimate that we will receive net proceeds of approximately $</w:t>
      </w:r>
      <w:r>
        <w:rPr>
          <w:sz w:val="20"/>
          <w:szCs w:val="20"/>
          <w:color w:val="auto"/>
        </w:rPr>
        <w:tab/>
      </w:r>
      <w:r>
        <w:rPr>
          <w:rFonts w:ascii="Arial" w:cs="Arial" w:eastAsia="Arial" w:hAnsi="Arial"/>
          <w:sz w:val="16"/>
          <w:szCs w:val="16"/>
          <w:color w:val="auto"/>
        </w:rPr>
        <w:t>million assuming an estimated</w:t>
      </w:r>
    </w:p>
    <w:p>
      <w:pPr>
        <w:spacing w:after="0" w:line="15"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5"/>
          <w:szCs w:val="15"/>
          <w:color w:val="auto"/>
        </w:rPr>
        <w:t>per share (the midpoint of the range set forth on the cover page of this</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prospectus), after deducting estimated underwriting discounts and commissions and estimated offering expenses. We will</w:t>
      </w:r>
    </w:p>
    <w:p>
      <w:pPr>
        <w:spacing w:after="0" w:line="200" w:lineRule="exact"/>
        <w:rPr>
          <w:sz w:val="20"/>
          <w:szCs w:val="20"/>
          <w:color w:val="auto"/>
        </w:rPr>
      </w:pPr>
    </w:p>
    <w:p>
      <w:pPr>
        <w:sectPr>
          <w:pgSz w:w="11900" w:h="16838" w:orient="portrait"/>
          <w:cols w:equalWidth="0" w:num="2">
            <w:col w:w="3620" w:space="500"/>
            <w:col w:w="7300"/>
          </w:cols>
          <w:pgMar w:left="240" w:top="459" w:right="239" w:bottom="1440" w:gutter="0" w:footer="0" w:header="0"/>
        </w:sectPr>
      </w:pP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60" w:type="dxa"/>
            <w:vAlign w:val="bottom"/>
            <w:vMerge w:val="restart"/>
          </w:tcPr>
          <w:p>
            <w:pPr>
              <w:ind w:left="28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89"/>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jc w:val="right"/>
              <w:ind w:right="2452"/>
              <w:spacing w:after="0"/>
              <w:rPr>
                <w:sz w:val="20"/>
                <w:szCs w:val="20"/>
                <w:color w:val="auto"/>
              </w:rPr>
            </w:pPr>
            <w:r>
              <w:rPr>
                <w:rFonts w:ascii="Arial" w:cs="Arial" w:eastAsia="Arial" w:hAnsi="Arial"/>
                <w:sz w:val="18"/>
                <w:szCs w:val="18"/>
                <w:color w:val="auto"/>
              </w:rPr>
              <w:t>12</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00"/>
        <w:spacing w:after="0" w:line="253" w:lineRule="auto"/>
        <w:rPr>
          <w:sz w:val="20"/>
          <w:szCs w:val="20"/>
          <w:color w:val="auto"/>
        </w:rPr>
      </w:pPr>
      <w:r>
        <w:rPr>
          <w:rFonts w:ascii="Arial" w:cs="Arial" w:eastAsia="Arial" w:hAnsi="Arial"/>
          <w:sz w:val="18"/>
          <w:szCs w:val="18"/>
          <w:color w:val="auto"/>
        </w:rPr>
        <w:t>use the proceeds to purchase newly issued common membership units in NCM LLC at a price per unit equal to the public offering price per share, less underwriting discounts and commissions. We will purchase a number of common membership units equal to the number of shares of common stock sold in this offering. NCM LLC will use $ of the proceeds it receives from us to compensate our Founding Members for agreeing to modify our payment obligations under our ESAs. Several of the underwriters have affiliates who own common stock of one or more of our Founding Members. See “Use of Proceeds,” “Underwriting” and “Risk Factors—Risks Related to the Offering.”</w:t>
      </w:r>
    </w:p>
    <w:p>
      <w:pPr>
        <w:sectPr>
          <w:pgSz w:w="11900" w:h="16838" w:orient="portrait"/>
          <w:cols w:equalWidth="0" w:num="1">
            <w:col w:w="11340"/>
          </w:cols>
          <w:pgMar w:left="240" w:top="459" w:right="31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“Risk Factors” section included in this prospectus contains a discussion of factors that you should carefully read and consider before deciding to invest in shares of our common stock.</w:t>
      </w:r>
    </w:p>
    <w:p>
      <w:pPr>
        <w:spacing w:after="0" w:line="139" w:lineRule="exact"/>
        <w:rPr>
          <w:sz w:val="20"/>
          <w:szCs w:val="20"/>
          <w:color w:val="auto"/>
        </w:rPr>
      </w:pPr>
    </w:p>
    <w:p>
      <w:pPr>
        <w:sectPr>
          <w:pgSz w:w="11900" w:h="16838" w:orient="portrait"/>
          <w:cols w:equalWidth="0" w:num="2">
            <w:col w:w="3400" w:space="720"/>
            <w:col w:w="722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NCMI</w:t>
      </w:r>
    </w:p>
    <w:p>
      <w:pPr>
        <w:spacing w:after="0" w:line="200" w:lineRule="exact"/>
        <w:rPr>
          <w:sz w:val="20"/>
          <w:szCs w:val="20"/>
          <w:color w:val="auto"/>
        </w:rPr>
      </w:pPr>
    </w:p>
    <w:p>
      <w:pPr>
        <w:sectPr>
          <w:pgSz w:w="11900" w:h="16838" w:orient="portrait"/>
          <w:cols w:equalWidth="0" w:num="2">
            <w:col w:w="3880" w:space="240"/>
            <w:col w:w="7220"/>
          </w:cols>
          <w:pgMar w:left="240" w:top="459" w:right="31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stated herein, the information in this prospectus assumes that:</w:t>
      </w:r>
    </w:p>
    <w:p>
      <w:pPr>
        <w:spacing w:after="0" w:line="113" w:lineRule="exact"/>
        <w:rPr>
          <w:sz w:val="20"/>
          <w:szCs w:val="20"/>
          <w:color w:val="auto"/>
        </w:rPr>
      </w:pPr>
    </w:p>
    <w:p>
      <w:pPr>
        <w:ind w:left="780" w:hanging="249"/>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Reorganization was completed in connection with the completion of this offering;</w:t>
      </w:r>
    </w:p>
    <w:p>
      <w:pPr>
        <w:sectPr>
          <w:pgSz w:w="11900" w:h="16838" w:orient="portrait"/>
          <w:cols w:equalWidth="0" w:num="1">
            <w:col w:w="11340"/>
          </w:cols>
          <w:pgMar w:left="240" w:top="459" w:right="319" w:bottom="1440" w:gutter="0" w:footer="0" w:header="0"/>
          <w:type w:val="continuous"/>
        </w:sectPr>
      </w:pP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underwriters have not exercised their option to purchase up to additional shares of common stock to cover over-allotments of shares. If the underwriters exercise their option in full, immediately following this offering, shares of common stock will be outstanding;</w:t>
      </w:r>
    </w:p>
    <w:p>
      <w:pPr>
        <w:spacing w:after="0" w:line="4" w:lineRule="exact"/>
        <w:rPr>
          <w:sz w:val="20"/>
          <w:szCs w:val="20"/>
          <w:color w:val="auto"/>
        </w:rPr>
      </w:pPr>
    </w:p>
    <w:p>
      <w:pPr>
        <w:sectPr>
          <w:pgSz w:w="11900" w:h="16838" w:orient="portrait"/>
          <w:cols w:equalWidth="0" w:num="2">
            <w:col w:w="600" w:space="180"/>
            <w:col w:w="10560"/>
          </w:cols>
          <w:pgMar w:left="240" w:top="459" w:right="31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initial offering price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 share, the midpoint of the range set forth on the cover page of this prospectus; and</w:t>
      </w:r>
    </w:p>
    <w:p>
      <w:pPr>
        <w:spacing w:after="0" w:line="124" w:lineRule="exact"/>
        <w:rPr>
          <w:sz w:val="20"/>
          <w:szCs w:val="20"/>
          <w:color w:val="auto"/>
        </w:rPr>
      </w:pPr>
    </w:p>
    <w:p>
      <w:pPr>
        <w:sectPr>
          <w:pgSz w:w="11900" w:h="16838" w:orient="portrait"/>
          <w:cols w:equalWidth="0" w:num="3">
            <w:col w:w="600" w:space="180"/>
            <w:col w:w="1960" w:space="580"/>
            <w:col w:w="8020"/>
          </w:cols>
          <w:pgMar w:left="240" w:top="459" w:right="319" w:bottom="1440" w:gutter="0" w:footer="0" w:header="0"/>
          <w:type w:val="continuous"/>
        </w:sectPr>
      </w:pPr>
    </w:p>
    <w:p>
      <w:pPr>
        <w:ind w:left="780" w:right="380" w:hanging="249"/>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and amended and restated bylaws were adopted in connection with the completion of this offering, pursuant to which our board of directors will be divided into three classes, and other provisions described under “Description of Capital Stock” will become operative.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shares of common stock are outstanding before completion of this offering. The number of shares of common stock to be outstanding after completion</w:t>
      </w:r>
    </w:p>
    <w:p>
      <w:pPr>
        <w:spacing w:after="0" w:line="5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of this offering is based on shares of our common stock to be sold in this offering and, except where we state otherwise, the common stock information we present in this prospectus excludes, as of June 29, 2006:</w:t>
      </w:r>
    </w:p>
    <w:p>
      <w:pPr>
        <w:spacing w:after="0" w:line="57" w:lineRule="exact"/>
        <w:rPr>
          <w:sz w:val="20"/>
          <w:szCs w:val="20"/>
          <w:color w:val="auto"/>
        </w:rPr>
      </w:pPr>
    </w:p>
    <w:p>
      <w:pPr>
        <w:ind w:left="780" w:right="420" w:hanging="249"/>
        <w:spacing w:after="0" w:line="268" w:lineRule="auto"/>
        <w:tabs>
          <w:tab w:leader="none" w:pos="1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common stock issuable upon redemption of NCM LLC membership units (assuming all units held by our Founding Members are redeemed for our common stock);</w:t>
      </w:r>
    </w:p>
    <w:p>
      <w:pPr>
        <w:spacing w:after="0" w:line="50" w:lineRule="exact"/>
        <w:rPr>
          <w:rFonts w:ascii="Arial" w:cs="Arial" w:eastAsia="Arial" w:hAnsi="Arial"/>
          <w:sz w:val="18"/>
          <w:szCs w:val="18"/>
          <w:color w:val="auto"/>
        </w:rPr>
      </w:pPr>
    </w:p>
    <w:p>
      <w:pPr>
        <w:ind w:left="1180" w:hanging="649"/>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outstanding employee options (after conversion of NCM LLC options into options to</w:t>
      </w:r>
    </w:p>
    <w:p>
      <w:pPr>
        <w:spacing w:after="0" w:line="38" w:lineRule="exact"/>
        <w:rPr>
          <w:sz w:val="20"/>
          <w:szCs w:val="20"/>
          <w:color w:val="auto"/>
        </w:rPr>
      </w:pPr>
    </w:p>
    <w:p>
      <w:pPr>
        <w:ind w:left="780"/>
        <w:spacing w:after="0"/>
        <w:tabs>
          <w:tab w:leader="none" w:pos="6160" w:val="left"/>
        </w:tabs>
        <w:rPr>
          <w:sz w:val="20"/>
          <w:szCs w:val="20"/>
          <w:color w:val="auto"/>
        </w:rPr>
      </w:pPr>
      <w:r>
        <w:rPr>
          <w:rFonts w:ascii="Arial" w:cs="Arial" w:eastAsia="Arial" w:hAnsi="Arial"/>
          <w:sz w:val="18"/>
          <w:szCs w:val="18"/>
          <w:color w:val="auto"/>
        </w:rPr>
        <w:t>acquire our common stock) at a weighted average exercise price of $</w:t>
      </w:r>
      <w:r>
        <w:rPr>
          <w:sz w:val="20"/>
          <w:szCs w:val="20"/>
          <w:color w:val="auto"/>
        </w:rPr>
        <w:tab/>
      </w:r>
      <w:r>
        <w:rPr>
          <w:rFonts w:ascii="Arial" w:cs="Arial" w:eastAsia="Arial" w:hAnsi="Arial"/>
          <w:sz w:val="15"/>
          <w:szCs w:val="15"/>
          <w:color w:val="auto"/>
        </w:rPr>
        <w:t>per share; and</w:t>
      </w:r>
    </w:p>
    <w:p>
      <w:pPr>
        <w:spacing w:after="0" w:line="84" w:lineRule="exact"/>
        <w:rPr>
          <w:sz w:val="20"/>
          <w:szCs w:val="20"/>
          <w:color w:val="auto"/>
        </w:rPr>
      </w:pPr>
    </w:p>
    <w:p>
      <w:pPr>
        <w:ind w:left="5620" w:right="4120" w:hanging="5089"/>
        <w:spacing w:after="0" w:line="440"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common stock we will reserve for future issuance under our equity incentive plan. 13</w:t>
      </w:r>
    </w:p>
    <w:p>
      <w:pPr>
        <w:sectPr>
          <w:pgSz w:w="11900" w:h="16838" w:orient="portrait"/>
          <w:cols w:equalWidth="0" w:num="1">
            <w:col w:w="11340"/>
          </w:cols>
          <w:pgMar w:left="240" w:top="459" w:right="3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and Corporate Information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 52-week or 53-week fiscal year ending on the first Thursday after December 25. Fiscal years 2004, 2005 and 2006 contained 52 weeks, while fiscal year 2003 contained 53 weeks. Throughout this prospectus, we refer to our fiscal years as set forth below:</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Reference in</w:t>
            </w:r>
          </w:p>
        </w:tc>
      </w:tr>
      <w:tr>
        <w:trPr>
          <w:trHeight w:val="168"/>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88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this Prospectus</w:t>
            </w:r>
          </w:p>
        </w:tc>
      </w:tr>
      <w:tr>
        <w:trPr>
          <w:trHeight w:val="216"/>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28, 2006</w:t>
            </w:r>
          </w:p>
        </w:tc>
        <w:tc>
          <w:tcPr>
            <w:tcW w:w="8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December 29, 2005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December 30, 2004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January 1, 2004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We are a Delaware corporation organized on October 5, 2006, and our principal executive offices are located at 9110 E. Nichols Ave., Suite 200, Centennial, Colorado 80112-3405. The telephone number of our principal executive offices is (303) 792-3600. We maintain a website at </w:t>
      </w:r>
      <w:r>
        <w:rPr>
          <w:rFonts w:ascii="Arial" w:cs="Arial" w:eastAsia="Arial" w:hAnsi="Arial"/>
          <w:sz w:val="15"/>
          <w:szCs w:val="15"/>
          <w:i w:val="1"/>
          <w:iCs w:val="1"/>
          <w:color w:val="auto"/>
        </w:rPr>
        <w:t>www.ncm.com</w:t>
      </w:r>
      <w:r>
        <w:rPr>
          <w:rFonts w:ascii="Arial" w:cs="Arial" w:eastAsia="Arial" w:hAnsi="Arial"/>
          <w:sz w:val="15"/>
          <w:szCs w:val="15"/>
          <w:color w:val="auto"/>
        </w:rPr>
        <w:t>, on which we will post our key corporate governance documents, including our board committee charters and our code of ethics. We do not incorporate the information on our website into this prospectus and you should not consider any information on, or that can be accessed through, our website as part of this prospectus.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Regal’s subsidiary, RCM, and the cinema advertising operations of AMC’s subsidiary, NCN.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revenues from the sale of advertising for Cinemark’s screens are only reflected in NCM LLC’s unaudited historical statements of operations subsequent to those dates.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summary historical financial and operating data for the three and six months ended June 29, 2006, and the summary balance sheet data as of June 29, 2006, were derived from the unaudited financial statements of NCM LLC included elsewhere in this prospectus, except for the capital expenditures data of NCM LLC for the three months ended June 29, 2006, which is derived from unaudited financial statements of NCM LLC that are not included in this prospectus. The summary historical financial and operating data for the nine months ended December 29, 2005 were derived from the audited financial statements of NCM LLC included elsewhere in this prospectus.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summary (i) unaudited pro forma consolidated statements of operations for the year ended December 29, 2005, and the three and six months ended June 29, 2006, and (ii) unaudited pro forma consolidated balance sheet at June 29, 2006, present the results of operations and financial position of NCM Inc. assuming the transactions discussed below had been completed and the contractual arrangements discussed below had been entered into as of December 31, 2004, with respect to the pro forma statements of operations and as of June 29, 2006, with respect to the pro forma balance sheet. The pro forma adjustments are based on available information and upon assumptions that management believes are reasonable in order to reflect, on a pro forma basis, the impact on the historical financial information of NCM Inc. of the historical and the transaction adjustments as described in “Unaudited Pro Forma Financial Information.”</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“Unaudited Pro Forma Financial Information,” our audited historical financial statements and the notes thereto included elsewhere in this prospectus, and our unaudited historical interim consolidated financial statements and the notes thereto included elsewhere in this prospectus.</w:t>
      </w:r>
    </w:p>
    <w:p>
      <w:pPr>
        <w:spacing w:after="0" w:line="1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unaudited pro forma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and as of June 29, 2006, with respect to the pro forma balance sheet. The pro forma consolidated financial information also does not project our results of operations or financial position for any future period or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Nine Months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4"/>
                <w:szCs w:val="14"/>
                <w:color w:val="auto"/>
              </w:rPr>
            </w:pPr>
          </w:p>
        </w:tc>
        <w:tc>
          <w:tcPr>
            <w:tcW w:w="15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8"/>
            <w:vMerge w:val="restart"/>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68"/>
        </w:trPr>
        <w:tc>
          <w:tcPr>
            <w:tcW w:w="5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5"/>
                <w:szCs w:val="5"/>
                <w:color w:val="auto"/>
              </w:rPr>
            </w:pPr>
          </w:p>
        </w:tc>
        <w:tc>
          <w:tcPr>
            <w:tcW w:w="158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June 29, 2006</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8"/>
            <w:vMerge w:val="restart"/>
          </w:tcPr>
          <w:p>
            <w:pPr>
              <w:jc w:val="right"/>
              <w:ind w:right="540"/>
              <w:spacing w:after="0"/>
              <w:rPr>
                <w:sz w:val="20"/>
                <w:szCs w:val="20"/>
                <w:color w:val="auto"/>
              </w:rPr>
            </w:pPr>
            <w:r>
              <w:rPr>
                <w:rFonts w:ascii="Arial" w:cs="Arial" w:eastAsia="Arial" w:hAnsi="Arial"/>
                <w:sz w:val="14"/>
                <w:szCs w:val="14"/>
                <w:b w:val="1"/>
                <w:bCs w:val="1"/>
                <w:color w:val="auto"/>
              </w:rPr>
              <w:t>June 29, 2006</w:t>
            </w:r>
          </w:p>
        </w:tc>
        <w:tc>
          <w:tcPr>
            <w:tcW w:w="0" w:type="dxa"/>
            <w:vAlign w:val="bottom"/>
          </w:tcPr>
          <w:p>
            <w:pPr>
              <w:spacing w:after="0"/>
              <w:rPr>
                <w:sz w:val="1"/>
                <w:szCs w:val="1"/>
                <w:color w:val="auto"/>
              </w:rPr>
            </w:pPr>
          </w:p>
        </w:tc>
      </w:tr>
      <w:tr>
        <w:trPr>
          <w:trHeight w:val="80"/>
        </w:trPr>
        <w:tc>
          <w:tcPr>
            <w:tcW w:w="5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6"/>
                <w:szCs w:val="6"/>
                <w:color w:val="auto"/>
              </w:rPr>
            </w:pPr>
          </w:p>
        </w:tc>
        <w:tc>
          <w:tcPr>
            <w:tcW w:w="12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80" w:type="dxa"/>
            <w:vAlign w:val="bottom"/>
          </w:tcPr>
          <w:p>
            <w:pPr>
              <w:spacing w:after="0"/>
              <w:rPr>
                <w:sz w:val="6"/>
                <w:szCs w:val="6"/>
                <w:color w:val="auto"/>
              </w:rPr>
            </w:pPr>
          </w:p>
        </w:tc>
        <w:tc>
          <w:tcPr>
            <w:tcW w:w="158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Pro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Historical</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420" w:type="dxa"/>
            <w:vAlign w:val="bottom"/>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88"/>
              </w:rPr>
              <w:t>Forma</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Historical</w:t>
            </w: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8"/>
              </w:rPr>
              <w:t>Forma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20" w:type="dxa"/>
            <w:vAlign w:val="bottom"/>
            <w:gridSpan w:val="14"/>
          </w:tcPr>
          <w:p>
            <w:pPr>
              <w:jc w:val="right"/>
              <w:ind w:right="772"/>
              <w:spacing w:after="0" w:line="129" w:lineRule="exact"/>
              <w:rPr>
                <w:sz w:val="20"/>
                <w:szCs w:val="20"/>
                <w:color w:val="auto"/>
              </w:rPr>
            </w:pPr>
            <w:r>
              <w:rPr>
                <w:rFonts w:ascii="Arial" w:cs="Arial" w:eastAsia="Arial" w:hAnsi="Arial"/>
                <w:sz w:val="14"/>
                <w:szCs w:val="14"/>
                <w:b w:val="1"/>
                <w:bCs w:val="1"/>
                <w:color w:val="auto"/>
                <w:w w:val="88"/>
              </w:rPr>
              <w:t>($ in millions, except net income per share and total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Result of Operations Data</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16"/>
          </w:tcPr>
          <w:p>
            <w:pPr>
              <w:jc w:val="right"/>
              <w:ind w:right="292"/>
              <w:spacing w:after="0"/>
              <w:rPr>
                <w:sz w:val="20"/>
                <w:szCs w:val="20"/>
                <w:color w:val="auto"/>
              </w:rPr>
            </w:pPr>
            <w:r>
              <w:rPr>
                <w:rFonts w:ascii="Arial" w:cs="Arial" w:eastAsia="Arial" w:hAnsi="Arial"/>
                <w:sz w:val="14"/>
                <w:szCs w:val="14"/>
                <w:b w:val="1"/>
                <w:bCs w:val="1"/>
                <w:color w:val="auto"/>
                <w:w w:val="87"/>
              </w:rPr>
              <w:t>advertising contract value revenue per Founding Member attendee)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Advertising Revenue</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Administrative Fees—Members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EBITDA(1)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92"/>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Adjusted EBITDA(1)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Adjusted EBITDA Margin(1)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Founding Member Screens at Period End(2)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9,696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12,025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Screens at Period End(3)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10,766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13,095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13,095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Digital Screens at Period End(4)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8,713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11,076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11,076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Founding Member Attendance for Period(5) (in millions)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395.2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Advertising Contract Value(6)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w w:val="94"/>
              </w:rPr>
              <w:t>Total Advertising Contract Value per Founding Member Attendee(6)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0.33</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53"/>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83"/>
              </w:rPr>
              <w:t>June 29, 2006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6"/>
              </w:rPr>
              <w:t>NCM Inc.</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5"/>
              </w:rPr>
              <w:t>NCM LLC</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75"/>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Historical</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01"/>
        </w:trPr>
        <w:tc>
          <w:tcPr>
            <w:tcW w:w="5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50.1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10.7</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64.8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Indebtedness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725.0(7)</w:t>
            </w: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Members’/Stockholder’s Equity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Summary Historical and Pro Forma Financial and Operating Data</w:t>
      </w:r>
    </w:p>
    <w:p>
      <w:pPr>
        <w:spacing w:after="0" w:line="96" w:lineRule="exact"/>
        <w:rPr>
          <w:sz w:val="20"/>
          <w:szCs w:val="20"/>
          <w:color w:val="auto"/>
        </w:rPr>
      </w:pPr>
    </w:p>
    <w:p>
      <w:pPr>
        <w:ind w:right="120" w:firstLine="464"/>
        <w:spacing w:after="0" w:line="254"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26, 2006, AMC completed the acquisition of Loews. Loews has a pre-existing contract with another cinema advertising provider through May</w:t>
      </w:r>
    </w:p>
    <w:p>
      <w:pPr>
        <w:spacing w:after="0" w:line="3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2008. Therefore, the Loews screens will become part of our national theatre network on an exclusive basis beginning on June 1, 2008, subject to the run-out of certain pre-existing contractual obligations for on-screen advertising existing on June 1, 2008. In accordance with a Loews Screen Integration Agreement to be entered into between us and AMC, AMC will pay us an amount that approximates the EBITDA we would have generated if we were able to sell advertising in the Loews theatre chain on an exclusive basis commencing on the date of this offering, and NCM LLC will issue to AMC common membership units in NCM LLC prior to the completion of this offering. These Loews payments will be made on a quarterly basis for a specified time period and for the three months ended</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June 29, 2006 would have been $ million. See “Management’s Discussion and Analysis of Financial Condition and Results of Operations—Our Company Following the Completion of this Offering—Loews Payments” for additional discussion regarding the Loews Payments.</w:t>
      </w:r>
    </w:p>
    <w:p>
      <w:pPr>
        <w:spacing w:after="0" w:line="1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ESAs and the Financing Transaction, we disclose pro forma EBITDA, adjusted EBITDA and adjusted EBITDA margin in this prospectus.</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reconciles net income (loss) to EBITDA, adjusted EBITDA and adjusted EBITDA margin on a historical and pro forma basis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208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w w:val="98"/>
              </w:rPr>
              <w:t>Six Months Ended</w:t>
            </w:r>
          </w:p>
        </w:tc>
        <w:tc>
          <w:tcPr>
            <w:tcW w:w="160" w:type="dxa"/>
            <w:vAlign w:val="bottom"/>
          </w:tcPr>
          <w:p>
            <w:pPr>
              <w:spacing w:after="0"/>
              <w:rPr>
                <w:sz w:val="14"/>
                <w:szCs w:val="14"/>
                <w:color w:val="auto"/>
              </w:rPr>
            </w:pPr>
          </w:p>
        </w:tc>
        <w:tc>
          <w:tcPr>
            <w:tcW w:w="16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5"/>
                <w:szCs w:val="5"/>
                <w:color w:val="auto"/>
              </w:rPr>
            </w:pPr>
          </w:p>
        </w:tc>
        <w:tc>
          <w:tcPr>
            <w:tcW w:w="208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June 29, 2006</w:t>
            </w: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29, 2006</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3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20" w:type="dxa"/>
            <w:vAlign w:val="bottom"/>
          </w:tcPr>
          <w:p>
            <w:pPr>
              <w:spacing w:after="0"/>
              <w:rPr>
                <w:sz w:val="6"/>
                <w:szCs w:val="6"/>
                <w:color w:val="auto"/>
              </w:rPr>
            </w:pPr>
          </w:p>
        </w:tc>
        <w:tc>
          <w:tcPr>
            <w:tcW w:w="1380" w:type="dxa"/>
            <w:vAlign w:val="bottom"/>
            <w:gridSpan w:val="3"/>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4"/>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3"/>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2005</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Pro</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5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11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8"/>
              </w:rPr>
              <w:t>Forma</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80"/>
              <w:spacing w:after="0" w:line="134" w:lineRule="exact"/>
              <w:rPr>
                <w:sz w:val="20"/>
                <w:szCs w:val="20"/>
                <w:color w:val="auto"/>
              </w:rPr>
            </w:pPr>
            <w:r>
              <w:rPr>
                <w:rFonts w:ascii="Arial" w:cs="Arial" w:eastAsia="Arial" w:hAnsi="Arial"/>
                <w:sz w:val="14"/>
                <w:szCs w:val="14"/>
                <w:b w:val="1"/>
                <w:bCs w:val="1"/>
                <w:color w:val="auto"/>
                <w:w w:val="88"/>
              </w:rPr>
              <w:t>($ 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Income Taxes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Minority Interest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Depreciation</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EBITDA</w:t>
            </w:r>
          </w:p>
        </w:tc>
        <w:tc>
          <w:tcPr>
            <w:tcW w:w="1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Severance Plan Costs</w:t>
            </w: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Share-based Payment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Deferred Stock Compensation</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Adjusted EBITDA</w:t>
            </w:r>
          </w:p>
        </w:tc>
        <w:tc>
          <w:tcPr>
            <w:tcW w:w="1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w:t>
            </w:r>
            <w:r>
              <w:rPr>
                <w:rFonts w:ascii="Arial" w:cs="Arial" w:eastAsia="Arial" w:hAnsi="Arial"/>
                <w:sz w:val="18"/>
                <w:szCs w:val="18"/>
                <w:u w:val="single" w:color="auto"/>
                <w:color w:val="auto"/>
              </w:rPr>
              <w:t>8</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45.1%</w:t>
            </w: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903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margin calculated by dividing adjusted EBITDA by total revenue.</w:t>
      </w:r>
    </w:p>
    <w:p>
      <w:pPr>
        <w:spacing w:after="0" w:line="171" w:lineRule="exact"/>
        <w:rPr>
          <w:rFonts w:ascii="Arial" w:cs="Arial" w:eastAsia="Arial" w:hAnsi="Arial"/>
          <w:sz w:val="18"/>
          <w:szCs w:val="18"/>
          <w:i w:val="1"/>
          <w:iCs w:val="1"/>
          <w:color w:val="auto"/>
        </w:rPr>
      </w:pPr>
    </w:p>
    <w:p>
      <w:pPr>
        <w:ind w:right="100" w:firstLine="464"/>
        <w:spacing w:after="0" w:line="268" w:lineRule="auto"/>
        <w:tabs>
          <w:tab w:leader="none" w:pos="6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our Founding Members. Excludes Cinemark operated screens for the period ended December 29, 2005. Excludes Loews and Century screens for all periods presented.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the total number of screens which are connected to our DCN.</w:t>
      </w:r>
    </w:p>
    <w:p>
      <w:pPr>
        <w:spacing w:after="0" w:line="171" w:lineRule="exact"/>
        <w:rPr>
          <w:rFonts w:ascii="Arial" w:cs="Arial" w:eastAsia="Arial" w:hAnsi="Arial"/>
          <w:sz w:val="18"/>
          <w:szCs w:val="18"/>
          <w:color w:val="auto"/>
        </w:rPr>
      </w:pPr>
    </w:p>
    <w:p>
      <w:pPr>
        <w:jc w:val="both"/>
        <w:ind w:right="240" w:firstLine="464"/>
        <w:spacing w:after="0" w:line="306" w:lineRule="auto"/>
        <w:tabs>
          <w:tab w:leader="none" w:pos="632"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Represents the total attendance within our advertising network in theatres operated by our Founding Members. Excludes Cinemark attendance for the period ended December 29, 2005. Excludes Loews and Century screens for all periods presented. The Loews and Century total attendance for the three and six months ended June 29, 2006 were approximately 16.7 million and 12.9 million, and 32.3 million and 24.4 million, respectively.</w:t>
      </w:r>
    </w:p>
    <w:p>
      <w:pPr>
        <w:spacing w:after="0" w:line="106" w:lineRule="exact"/>
        <w:rPr>
          <w:rFonts w:ascii="Arial" w:cs="Arial" w:eastAsia="Arial" w:hAnsi="Arial"/>
          <w:sz w:val="16"/>
          <w:szCs w:val="16"/>
          <w:color w:val="auto"/>
        </w:rPr>
      </w:pPr>
    </w:p>
    <w:p>
      <w:pPr>
        <w:ind w:right="20" w:firstLine="464"/>
        <w:spacing w:after="0" w:line="335" w:lineRule="auto"/>
        <w:tabs>
          <w:tab w:leader="none" w:pos="632" w:val="left"/>
        </w:tabs>
        <w:numPr>
          <w:ilvl w:val="1"/>
          <w:numId w:val="22"/>
        </w:numPr>
        <w:rPr>
          <w:rFonts w:ascii="Arial" w:cs="Arial" w:eastAsia="Arial" w:hAnsi="Arial"/>
          <w:sz w:val="15"/>
          <w:szCs w:val="15"/>
          <w:color w:val="auto"/>
        </w:rPr>
      </w:pPr>
      <w:r>
        <w:rPr>
          <w:rFonts w:ascii="Arial" w:cs="Arial" w:eastAsia="Arial" w:hAnsi="Arial"/>
          <w:sz w:val="15"/>
          <w:szCs w:val="15"/>
          <w:color w:val="auto"/>
        </w:rPr>
        <w:t>Includes advertising revenue plus legacy contract value for all historical periods. Excludes $3.7 million of revenue related to the beverage concessionaire agreements for Cinemark in the pro forma period ended December 29, 2005, and $1.3 million and $2.5 million of revenue related to the beverage concessionaire agreements for Loews in the pro forma three and six months ended June 29, 2006, as attendees for Cinemark and Loews were not included during these periods.</w:t>
      </w:r>
    </w:p>
    <w:p>
      <w:pPr>
        <w:spacing w:after="0" w:line="88" w:lineRule="exact"/>
        <w:rPr>
          <w:rFonts w:ascii="Arial" w:cs="Arial" w:eastAsia="Arial" w:hAnsi="Arial"/>
          <w:sz w:val="15"/>
          <w:szCs w:val="15"/>
          <w:color w:val="auto"/>
        </w:rPr>
      </w:pPr>
    </w:p>
    <w:p>
      <w:pPr>
        <w:ind w:left="640" w:hanging="176"/>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size of the credit facility is subject to change prior to its closing.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Before you decide to purchase shares of our common stock, you should understand the high degree of risk involved. You should consider carefully the following risks and other information in this prospectus, including our pro forma and historical financial statements and related notes. If any of the following risks actually occur, our business, financial condition and operating results could be adversely affected. As a result, the trading price of our common stock could decline, perhaps significantly.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Changes in the Exhibitor Services Agreements with, lack of support or competition by, our Founding Members could adversely affect our revenues, growth and profitability</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Exhibitor Services Agreements, or ESAs, with our Founding Members will be critical to our business. The three ESAs, which will be in effect following the completion of this offering, each have a term of 30 years and provide us with a five-year right of first refusal, which begins one year prior to the end of the term of the ESA. The term of the ESAs as they relate to CineMeetings will be five years with provisions for automatic renewal if certain financial performance conditions are met. Our Founding Members’ theatres represent approximately 92% of the screens in our network as of June 29, 2006. If any one of the ESAs were terminated, not renewed at its expiration or found to be unenforceable, it would have a material adverse effect on our revenue, profitability and financial condition.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ESAs require the cooperation, investment and support of the Founding Members, the absence of which could adversely affect us. Pursuant to the ESAs, our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digital programming events revenue and operating margins may decline. If the Founding Members reject advertising or choose not to participate in certain CineMeetings or digital programming events under the terms of the ESAs because they believe it would adversely affect their film attendance levels or the reputation of their company, it could adversely affect our revenue and profitability.</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The ESAs contain certain limited exceptions to our exclusive right to use the Founding Members’ theatres for our advertising business. The Founding Members will have the right to enter into strategic cross-marketing relationships with third-party, unaffiliated businesses for the purpose of generating increased attendance or revenue (other than revenue from the sale of advertising) and, subject to certain limits, can use one minute on the LEN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LEN for these cross-marketing promotions. The use of LEN or lobby promotions by our Founding Members for these advertisements and programs could result in the Founding Members creating relationships with advertisers that could adversely affect our current LEN and Lobby Promotions advertising revenues and profitability as well as the potential we have to grow that advertising revenue in the future. The LEN and Lobby Promotions represented 4.0% and 5.5% and 3.2% and 5.4%, respectively, of our total pro forma advertising revenue for the three and six months ended June 29, 2006. The Founding Members will not have the right to use their movie screens (including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program or otherwise) for promoting these cross-marketing relationships, and thus we will have the exclusive rights to advertise on the movie screens, except for limited advertising related to theatre operations, and to package such on-screen advertising with the LEN advertising and Lobby Promotions.</w:t>
      </w:r>
    </w:p>
    <w:p>
      <w:pPr>
        <w:spacing w:after="0" w:line="11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Founding Members also will have the right to install a second network of video monitors in the theatre lobbies in excess of those required to be installed by the Founding Members for the LEN. This additional lobby video network, which we refer to as the Founders’ lobby network, is to be used by the Founding Members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promote products or services related to operating the theatres, such as concessions and loyalty programs. The presence of the Founders’ lobby network within the lobby areas could reduce the effectiveness of our LEN, thereby adversely affecting our current LEN advertising revenues and profitability and adversely affecting future revenue potential associated with that marketing platform.</w:t>
      </w:r>
    </w:p>
    <w:p>
      <w:pPr>
        <w:spacing w:after="0" w:line="22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our Founding Members could compete against us and our business could be adversely affected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theatres under the ESA,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780" w:hanging="24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have a material adverse effect on our financial condition or results of operations.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one of our Founding Members declares bankruptcy, our ESA with that Founding Member may be rejected, renegotiated or deemed unenforceable or our network could be adversely affected by the disposition of theatres</w:t>
      </w:r>
    </w:p>
    <w:p>
      <w:pPr>
        <w:spacing w:after="0" w:line="51"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Each of our Founding Members currently has a significant amount of indebtedness which is below investment grade. Since 1999, several major motion picture exhibition companies, including United Artists, Edwards Theatres, Regal Cinemas and Loews Cineplex, have filed for bankruptcy. If a bankruptcy case were commenced by or against a Founding Member, it is possible that all or part of our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In addition, the Founding Member could seek to sell or otherwise dispose of theatres, which might result in the removal of those theatres from our network. Because we sell advertising based on the number of theatre patrons that will view the advertisement, a reduction in the number of theatres in our network could reduce our advertising revenue.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for advertising, meeting management and digital programming content are competitive and we may be unable to compete successfully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market for advertising is intensely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also compete directly with other cinema advertising companies. We expect these competitors to devote significant financial and operating resources to maintain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CineMeetings business facilitates live and pre-recorded events in theatre auditoriums. These events are typically scheduled from Monday through Thursday during off-peak hours while theatre attendance for movies is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venues.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digital programming events business focuses on the licensing and distribution of entertainment programming products and the sale of sponsorships associated with that programming. It includes live and pre-recorded concerts and music events, concert and DVD product releases, theatrical premieres, Broadway plays, as well as live sports and other special events. This business competes for music, sports and other entertainment programming, as well as the associated sponsorships, with other national networks, some of which offer greater geographic reach and larger audiences. Accordingly, our ability to source a consistent flow of programming is contingent on our ability to develop and sustain relationships with content owners. Sponsorships for our digital programming events may be limited by our ability to license a consistent and significant source of content that sponsors want to be associated with.</w:t>
      </w:r>
    </w:p>
    <w:p>
      <w:pPr>
        <w:spacing w:after="0" w:line="20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Because we rely heavily on our Founding Members’ ability to attract customers, any reduction in attendance at Founding Member theatres could decrease our revenues</w:t>
      </w:r>
    </w:p>
    <w:p>
      <w:pPr>
        <w:spacing w:after="0" w:line="5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business is affected by the success of our Founding Members, who operate in a highly competitive industry. During the late 1990s, the number of movie screens and the level of theatre attendance in the United States increased substantially through 2002, as movie theatres began to offer new amenities such as stadium seating, improved projection quality and superior sound systems. While box office attendance has increased in 2006 through September 30 as compared to the same period in 2005, it declined in each of 2003, 2004 and 2005. If theatre attendance declines in the future, one or more of our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Our Founding Members also may not successfully compete for licenses to exhibit quality films and are not assured a consistent supply of motion pictures since they do not have long-term arrangements with major film distributors. Any of these circumstances could adversely affect our revenues because our revenues depend on the number of theatre patrons who view our advertising and pre-feature show.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 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59" w:lineRule="exact"/>
        <w:rPr>
          <w:sz w:val="20"/>
          <w:szCs w:val="20"/>
          <w:color w:val="auto"/>
        </w:rPr>
      </w:pPr>
    </w:p>
    <w:p>
      <w:pPr>
        <w:jc w:val="both"/>
        <w:ind w:left="780" w:right="180" w:hanging="249"/>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40" w:hanging="249"/>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780" w:right="320" w:hanging="249"/>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of the movies to patrons.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Following this offering, we will derive a significant portion of our revenue from our contracts with our five content partners and our Founding Members’ agreements to purchase on-screen advertising for their beverage concessionaires. NCM LLC’s or its predecessor company’s relationships with the content partners date back as far as December 2002. Although none of these companies individually accounted for over 12% of our pro forma revenue in the aggregate during the six months ended June 29, 2006, they accounted for approximately 41.4% of our pro forma revenue in the aggregate during the three months ended June 29, 2006, and approximately 40.8% of our pro forma revenue in the aggregate during the six months ended June 29, 2006.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generate our revenue almost entirely from advertising, and the reduction in spending by or loss of advertisers could have a serious adverse effect on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generated approximately 93.3% of our pro forma revenue in the three months ended June 29, 2006 and 93.3% of our pro forma revenue in the six months ended June 29, 2006, from advertising sales. A substantial portion of our advertising inventory is covered by contracts with terms of approximately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regional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revenues and business.</w:t>
      </w:r>
    </w:p>
    <w:p>
      <w:pPr>
        <w:spacing w:after="0" w:line="1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we do not make investments in maintaining and improving our technology, our business could fail to grow and revenues and operating margins could decline</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Failure to successfully implement upgrades to our software systems could limit our ability to increase our revenues and more effectively leverage our digital platform, which could increase our costs or limit the growth of our network and client base. We expect to make approximately $5 million to $7 million of capital expenditures during fiscal 2007, primarily to upgrade our digital content system, or DCS, distribution software and to upgrade and improve our internal management systems, including our advertising inventory optimization, management and reporting systems. These upgrades and improvements, which are intended to provide additional scheduling and placement flexibility for our clients, streamline our advertising sales process and allow rapid integration of new theatres into the system, are critical to enhancing our operating efficiencies and preparing us for continued growth. The failure or delay in implementation of these improvements, or efficient integration of our systems with digital cinema systems, if pursued, could slow or prevent the growth of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experienced, and continue to experience, rapid growth in our headcount and operations, which has placed, and will continue to place, significant demands on our management and operational infrastructure. If we do not effectively manage our growth, the quality of our services could suffer, which could negatively affect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brand, our relationships with our advertising clients and digital content suppliers and our operating results. To effectively manage this growth, we will need to continue to improve our DCS distribution software and our internal management systems, including our advertising inventory optimization, management and reporting systems. These systems enhancements and improvements will require allocation of valuable financial and management resources. If the improvements are not implemented successfully in a timely manner or at all, our ability to manage our growth will be impaired and we may have to make significant additional expenditures to address these issues, which could harm our financial position.</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preliminary plans for developing additional revenue opportunities may not be implemented, may require substantial expenditures and may not be achieved</w:t>
      </w:r>
    </w:p>
    <w:p>
      <w:pPr>
        <w:spacing w:after="0" w:line="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our strategy to grow our advertising business, CineMeetings and digital programming events businesses, we are also considering other potential opportunities for revenue growth, which we describe in “Business—Our Strategy—Develop New Marketing Platforms that Leverage Our Existing Assets.” For example, we may form a joint venture to create an entertainment magazine that will be distributed in our Founding Member theatres, and a branded entertainment web site in connection with that magazine on which we and the joint venture may sell advertising. We may also decide to expand our network technology and sales capabilities outside of theatres. These plans are at an early stage, and we may not actually proceed with any of them. If we do choose to proceed with any of these plans, the resulting marketing platforms may not be profitable, despite our having made substantial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a limited operating history, it is difficult to evaluate our business and prospects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predecessor company, RCM, began operations in 2002. NCM LLC was formed on March 29, 2005, as a joint venture that combined the operations of subsidiaries of AMC and Regal. Cinemark joined as a Founding Member on July 15, 2005, but because it had a pre-existing contract with another cinema advertising provider, we did not begin to sell advertising in its theatres on an exclusive basis until January 1, 2006 (subject to the run-out of certain pre-existing contractual obligations for on-screen advertising through April 1, 2006), and its theatres were not fully integrated into our network until May 2006. As a result, we have a limited operating history from which you can compare corresponding periods and evaluate our business and our prospects. We may encounter risks and difficulties frequently experienced by newly formed companies in rapidly evolving businesses. Some of these risks relate to our ability to:</w:t>
      </w:r>
    </w:p>
    <w:p>
      <w:pPr>
        <w:spacing w:after="0" w:line="39" w:lineRule="exact"/>
        <w:rPr>
          <w:sz w:val="20"/>
          <w:szCs w:val="20"/>
          <w:color w:val="auto"/>
        </w:rPr>
      </w:pPr>
    </w:p>
    <w:p>
      <w:pPr>
        <w:ind w:left="780" w:hanging="24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revenue and expand our client base;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support, expand, develop and improve our software and other systems;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produce high operating income margins;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respond to technological changes.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are unsuccessful in addressing these risks or in executing our business strategy, our business, financial condition or results of operations may be adversely affected.</w:t>
      </w:r>
    </w:p>
    <w:p>
      <w:pPr>
        <w:spacing w:after="0" w:line="21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historical and pro forma financial information may not be representative of our financial results as an independent public company or our future financial performance</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historical financial information included in this prospectus does not reflect our financial condition, results of operations and cash flows as they would have been achieved during the periods presented as a separate, stand-alone public entity. Our historical financial statements do not necessarily reflect the costs that we would have incurred had we operated as an independent stand-alone public entity for all periods presented. These costs include higher corporate overhead, interest expense and income taxes.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historical financial information includes the consolidated financial statements of RCM, our predecessor company, for periods prior to March 2005 and does not include any information related to AMC or Cinemark.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Although historical financial information on AMC’s theatre advertising subsidiary, NCN, is presented herein, there is no historical financial information on the combined operations of both AMC and Regal prior to the formation of NCM LLC. Additionally, the historical financial statements of RCM and NCN include screen access charges at different rates than those in effect after the formation of NCM LLC, which rates will change again after completion of the Financing Transaction and Reorganization.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Cinemark had a pre-existing contract with another cinema advertising provider, NCM LLC began selling advertising for Cinemark’s screens 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basis beginning on January 1, 2006 (subject to the run-out of certain pre-existing contractual obligations for on-screen advertising through April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In addition, our historical financial information does not include any information related to theatres operated by Loews, which AMC acquired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26, 2006, and which will become a part of our theatre network beginning on June 1, 2008, or Century, which Cinemark acquired on October 5, 2006,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which became a part of our theatre network on an exclusive basis, subject to limited exceptions, on the closing date. The historical results of operations of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RCM and NCN have been significantly impacted by related party transactions that we have entered into, as further discussed in the historical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included elsewhere in this prospectus, and the future operating results of NCM Inc. will also be significantly impacted by related party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entered into in connection with this offering. As a result, this information may not be representative of our future financial performance.</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preparing the pro forma financial information in this prospectus, we have made adjustments to the historical financial information of NCM LLC and its predecessor company based upon currently available information and upon assumptions that our management believes are reasonable in order to reflect, on a pro forma basis, the impact of the transactions contemplated by the Reorganization, the Financing Transaction and this offering. Some of these adjustments include, among other items, the terms of the ESAs with our Founding Members, adjustments to income tax provisions to account for NCM LLC’s status as a limited liability company and our status as a taxable entity, and our acquisition of common membership units of NCM LLC. However, the pro forma financial information does not include adjustments for the addition of the Cinemark, Loews or Century screens. These and other estimates and assumptions used in the calculation of the pro forma financial information in this prospectus may be materially different from our actual experience as a separate, independent company. The pro forma financial information included in this prospectus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 See “Unaudited Pro Forma Financial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them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business, financial condition and results of operations and our ability to effectively pursue our business strategy. We do not have key-man life insurance covering any of our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infringe on rights owned by others which may interfere with our ability to provide services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United States or in international markets. Further, the laws of certain foreign countries may not protect our intellectual property rights to the same extent as do the laws of the United States.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fluctuate from quarter to quarter and may be unpredictable, which could increase the volatility of our stock price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Typically, our revenue is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will depend on distributions from NCM LLC to meet our ongoing obligations and to pay cash dividends on our common stock</w:t>
      </w:r>
    </w:p>
    <w:p>
      <w:pPr>
        <w:spacing w:after="0" w:line="51"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will be subject to statutory and contractual restrictions based upon NCM LLC’s financial performance, including NCM LLC’s compliance with the covenants in its senior secured credit facility and the NCM LLC Operating Agreement. The NCM LLC senior secured credit facility will limit NCM LLC’s ability to distribute cash to its</w:t>
      </w:r>
    </w:p>
    <w:p>
      <w:pPr>
        <w:spacing w:after="0" w:line="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members, including us, as follows ,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4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Pursuant to a management services agreement between us and NCM LLC, NCM LLC will make payments to us to fund our day-to-day operating expenses, such as payroll. However, if NCM LLC cannot make the payments pursuant to the management services agreement, we may be unable to cover these expenses.</w:t>
      </w:r>
    </w:p>
    <w:p>
      <w:pPr>
        <w:spacing w:after="0" w:line="62"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As a member of NCM LLC, we will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subject to compliance with certain financial covenants.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completion of this offering, NCM LLC will borrow $725 million in a term loan that will be a part of a new senior secured credit facility. The size of the credit facility is subject to change prior to its closing. See “Financing Transaction.” We expect the agreements governing NCM LLC’s debt obligations to contain restrictive covenants that will limit NCM LLC’s ability to take specified actions and prescribe minimum financial maintenance requirements that NCM LLC must meet. Because NCM LLC will be our only operating subsidiary, complying with these restrictions may prevent NCM LLC from taking actions that we believe would help us to grow our business. For example, NCM LLC may be unable to make acquisitions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NCM LLC’s indebtedness could have other negative consequences for us, including without limitation:</w:t>
      </w:r>
    </w:p>
    <w:p>
      <w:pPr>
        <w:spacing w:after="0" w:line="90" w:lineRule="exact"/>
        <w:rPr>
          <w:sz w:val="20"/>
          <w:szCs w:val="20"/>
          <w:color w:val="auto"/>
        </w:rPr>
      </w:pPr>
    </w:p>
    <w:p>
      <w:pPr>
        <w:ind w:left="780" w:hanging="24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w:t>
      </w:r>
    </w:p>
    <w:p>
      <w:pPr>
        <w:spacing w:after="0" w:line="90" w:lineRule="exact"/>
        <w:rPr>
          <w:rFonts w:ascii="Arial" w:cs="Arial" w:eastAsia="Arial" w:hAnsi="Arial"/>
          <w:sz w:val="18"/>
          <w:szCs w:val="18"/>
          <w:color w:val="auto"/>
        </w:rPr>
      </w:pPr>
    </w:p>
    <w:p>
      <w:pPr>
        <w:ind w:left="780" w:right="40" w:hanging="249"/>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780" w:right="640" w:hanging="249"/>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a decline in general economic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controlled by our Founding Members or their affiliates who may have interests that differ from those of our public stockholders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780" w:hanging="24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780" w:right="220" w:hanging="249"/>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ectPr>
          <w:pgSz w:w="11900" w:h="16838" w:orient="portrait"/>
          <w:cols w:equalWidth="0" w:num="1">
            <w:col w:w="11380"/>
          </w:cols>
          <w:pgMar w:left="240" w:top="459" w:right="279" w:bottom="1440" w:gutter="0" w:footer="0" w:header="0"/>
        </w:sectPr>
      </w:pPr>
    </w:p>
    <w:p>
      <w:pPr>
        <w:spacing w:after="0" w:line="9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incur any indebtedness or repay any indebtedness with a fixed term before due, in an amount exceeding of NCM LLC operating as a going concern;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 of the fair market value of the business</w:t>
      </w:r>
    </w:p>
    <w:p>
      <w:pPr>
        <w:spacing w:after="0" w:line="340" w:lineRule="exact"/>
        <w:rPr>
          <w:sz w:val="20"/>
          <w:szCs w:val="20"/>
          <w:color w:val="auto"/>
        </w:rPr>
      </w:pPr>
    </w:p>
    <w:p>
      <w:pPr>
        <w:sectPr>
          <w:pgSz w:w="11900" w:h="16838" w:orient="portrait"/>
          <w:cols w:equalWidth="0" w:num="3">
            <w:col w:w="600" w:space="180"/>
            <w:col w:w="7280" w:space="400"/>
            <w:col w:w="2920"/>
          </w:cols>
          <w:pgMar w:left="240" w:top="459" w:right="279" w:bottom="1440" w:gutter="0" w:footer="0" w:header="0"/>
          <w:type w:val="continuous"/>
        </w:sectPr>
      </w:pPr>
    </w:p>
    <w:p>
      <w:pPr>
        <w:ind w:left="780" w:right="60" w:hanging="249"/>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NCM LLC’s Operating Agreement;</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jc w:val="both"/>
        <w:ind w:left="780" w:right="200" w:hanging="249"/>
        <w:spacing w:after="0" w:line="30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specifically set forth in the NCM LLC Operating Agreement, declare, set aside or pay any redemption of, dividends on, or make any other distributions that would require an adjustment to the terms of options issued pursuant to the NCM Inc. equity incentive plan in respect of, any of the common stock, preferred stock, membership interests or rights with respect to any such securities;</w:t>
      </w:r>
    </w:p>
    <w:p>
      <w:pPr>
        <w:spacing w:after="0" w:line="25" w:lineRule="exact"/>
        <w:rPr>
          <w:rFonts w:ascii="Arial" w:cs="Arial" w:eastAsia="Arial" w:hAnsi="Arial"/>
          <w:sz w:val="16"/>
          <w:szCs w:val="16"/>
          <w:color w:val="auto"/>
        </w:rPr>
      </w:pPr>
    </w:p>
    <w:p>
      <w:pPr>
        <w:ind w:left="780" w:hanging="249"/>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amend any material terms or provisions of NCM Inc.’s equity incentive plan or enter into any new equity incentive compensation plan;</w:t>
      </w:r>
    </w:p>
    <w:p>
      <w:pPr>
        <w:spacing w:after="0" w:line="113" w:lineRule="exact"/>
        <w:rPr>
          <w:rFonts w:ascii="Arial" w:cs="Arial" w:eastAsia="Arial" w:hAnsi="Arial"/>
          <w:sz w:val="16"/>
          <w:szCs w:val="16"/>
          <w:color w:val="auto"/>
        </w:rPr>
      </w:pPr>
    </w:p>
    <w:p>
      <w:pPr>
        <w:ind w:left="780" w:right="400" w:hanging="249"/>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249"/>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Pursuant to a Director Designation and Voting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and only during such time, any Founding Member owns less than 5% of NCM LLC’s then issued and outstanding common membership units, then such Founding Member shall cease to have any rights of designation.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nominee designated by our Founding Members is not elected by our stockholders, then certain of the Founding Members will be entitled to vote on the following actions of NCM LLC:</w:t>
      </w:r>
    </w:p>
    <w:p>
      <w:pPr>
        <w:spacing w:after="0" w:line="51" w:lineRule="exact"/>
        <w:rPr>
          <w:sz w:val="20"/>
          <w:szCs w:val="20"/>
          <w:color w:val="auto"/>
        </w:rPr>
      </w:pPr>
    </w:p>
    <w:p>
      <w:pPr>
        <w:ind w:left="780" w:hanging="24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NCM LLC matters set forth in the bullets above;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NCM LLC’s annual budget;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hiring and firing certain key employees of NCM LLC.</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For purposes of calculating the 5% ownership thresholds for the supermajority director approval rights and Director Designation and Voting Agreement provisions discussed above, shares of our common stock held by a Founding Member and received upon redemption of NCM LLC common membership units will be counted toward the threshold, but shares of our common stock otherwise acquired by the Founding Members will be excluded.</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these circumstances, our corporate governance documents will allow our Founding Members and their affiliates to exercise a greater degree of control and influence in the operation of our business and that of NCM LLC and the management of our affairs and those of NCM LLC than is typically available to stockholders of a publicly-traded company. Even if our Founding Members or their affiliates own a minority economic interest in NCM LLC, they may be able to continue exerting significant control over us and NCM LLC.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Different interests among our Founding Members or between our Founding Members and us could prevent us from achieving our business goals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our Founding Members and other directors who may have commercial relationships with our Founding Members. Our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our Founding Members.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the structural relationship we have with our Founding Members could create conflicts of interest among the Founding Members, or between the Founding Members and us, in a number of areas relating to our past and ongoing relationships. We may not be able to resolve any potential conflicts between us and a Founding Member and, even if we do, the resolution may be less favorable to us than if we were negotiating with an unaffiliated party.</w:t>
      </w:r>
    </w:p>
    <w:p>
      <w:pPr>
        <w:spacing w:after="0" w:line="18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certificate of incorporation will contain provisions related to corporate opportunities that may be of interest to both our Founding Members and us. It will provide that if a corporate opportunity is offered to us, NCM LLC or one or more of the officers, directors or stockholders (both direct and indirect) of NCM Inc. or a member of NCM LLC that relate to the provision of services to motion picture theaters, use of theaters for any purpose, sale of advertising and promotional services in and around theaters and any other business related to the motion picture theater business, except services as provided in the ESAs as from time to time amended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except as may be offered to one of our officers in his capacity as an officer, even if the business opportunity is one that we might reasonably be deemed to have pursued or had the ability or desire to pursue if granted the opportunity to do so, and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addition, our certificate of incorporation and the NCM LLC Operating Agreement expressly provide that our Founding Members may have other business interests and may engage in any other businesses not specifically prohibited by the terms of the certificate of incorporation and ESA. If the parent companies of the Founding Members develop new media platforms they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 The terms of our certificate of incorporation are more fully described in “Description of Capital Stock.”</w:t>
      </w:r>
    </w:p>
    <w:p>
      <w:pPr>
        <w:spacing w:after="0" w:line="22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agreements between us and our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ESAs and the other contractual agreements we have with our Founding Members are being made in the context of an affiliated relationship and were negotiated in the overall context of this offering. As a result of the Founding Members’ control of us when these agreements were negotiated, the prices and other terms under these agreements may be less favorable to us than terms we might obtain in negotiations with unaffiliated third parties covering similar services.</w:t>
      </w:r>
    </w:p>
    <w:p>
      <w:pPr>
        <w:spacing w:after="0" w:line="16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a takeover of our company, even if an acquisition would be beneficial to our stockholders</w:t>
      </w:r>
    </w:p>
    <w:p>
      <w:pPr>
        <w:spacing w:after="0" w:line="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or DGCL, could delay or prevent a third party from acquiring us, even if a takeover would benefit our stockholders. For example, our certificate of incorporation and bylaws:</w:t>
      </w:r>
    </w:p>
    <w:p>
      <w:pPr>
        <w:spacing w:after="0" w:line="59" w:lineRule="exact"/>
        <w:rPr>
          <w:sz w:val="20"/>
          <w:szCs w:val="20"/>
          <w:color w:val="auto"/>
        </w:rPr>
      </w:pPr>
    </w:p>
    <w:p>
      <w:pPr>
        <w:ind w:left="780" w:hanging="24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780" w:right="260" w:hanging="249"/>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780" w:right="600" w:hanging="249"/>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780" w:right="20" w:hanging="249"/>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control over the operations of NCM LLC, which may discourage other nominations to our board of directors, if any director nominee designated by the Founding Members is not elected by our stockholders.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common stockholders and adversely affect the market value of our common stock</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NCM LLC’s Third Amended and Restated Operating Agreement and the ESAs that will be in place upon the completion of this offering provide that we will issue common membership units of NCM LLC to account for changes in the number of theatre screens our Founding Members operate. Historically, each of the Founding Members has increased the number of screens it operates. If this trend continues, NCM LLC may issue additional common membership units to the Founding Members to reflect their increased screen count. Each common membership unit may be redeemed in exchange for, at our option, shares of our common stock on a one-for-one basis, a cash payment equal to the market price of one share of our common stock or any combination of cash and stock. If a significant number of common membership units were issued to our Founding Members, the Founding Members elected to redeem such units, and we elected to issue common stock rather than cash upon redemption, the voting power of our common stockholders could be diluted.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or our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will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Following this offering, our sole asset will be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1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and NCM LLC intend to conduct our operations so that we are not deemed an investment company under the Investment Company Act. However, if anything were to occur that would cause us to be deemed to be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rely on representations of our Founding Members that they are not investment companies under the Investment Company Act. If any Founding Member were deemed to be an investment company, the restrictions placed upon that Founding Member might inhibit its ability to fulfill its obligations under its ESA or restrict NCM LLC’s ability to borrow funds.</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Relating to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the proceeds from this offering to purchase membership units in NCM LLC will preclude use of those proceeds for other corporate purposes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use the proceeds from this offering to purchase newly issued common membership units of NCM LLC, at a price per unit equal to the public</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offering price per share, less underwriting discounts and commissions. NCM LLC will use $ of the proceeds it receives from us to compensate our Founding Members for agreeing to modify our payment obligations under our ESAs. That portion of the proceeds from this offering will not be available to NCM LLC or us for other corporate purposes, such as expanding our business, which could negatively impact the value of your investment in our common stock. In</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addition, NCM LLC will enter into a new $ million senior secured credit facility that will substantially limit its future borrowing capacity. The size of the credit facility is subject to change prior to its closing. The proceeds of the term loan that is part of this new credit facility will be used to redeem the preferred membership units in NCM LLC from our Founding Members, to repay outstanding amounts, if any, under NCM LLC’s existing revolving credit facility and to pay the fees and expenses of this offering, as well as for general corporate purposes. As a result, we or NCM LLC may not be able to sell securities or borrow money on acceptable terms, and we and NCM LLC may be unable to expand our business and operations as anticipated. If we are unable to do so, our financial results and the market for our common stock could be adversely affected.</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5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expect that the offering and related transactions will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 of the amount by which NCM, Inc.’s tax payments to various tax authorities are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reduced, which could be $ million or more over 30 years or longer. See “Certain Relationships and Related Party Transactions—Transactions With Founding Members—Tax Receivable Agreement.”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22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will be eligible for sale in the near future could cause the market price for our common stock to decline or make it difficult for us to sell equity securities in the future</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following this offering, or the perception that those sales will occur, could cause the market price of our common stock to decline or make future offerings of our equity securities more difficult. If we are unable to sell equity securities at times and prices that we deem appropriate, our ability to fund growth could be adversely affected.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The shares of common stock being sold in this offering will be freely tradable unless acquired by one of our affiliates. Upon completion of this offering, we will have outstanding an additional unregistered shares of common stock. These shares of unregistered common stock will constitute</w:t>
      </w:r>
    </w:p>
    <w:p>
      <w:pPr>
        <w:spacing w:after="0"/>
        <w:rPr>
          <w:sz w:val="20"/>
          <w:szCs w:val="20"/>
          <w:color w:val="auto"/>
        </w:rPr>
      </w:pPr>
      <w:r>
        <w:rPr>
          <w:rFonts w:ascii="Arial" w:cs="Arial" w:eastAsia="Arial" w:hAnsi="Arial"/>
          <w:sz w:val="16"/>
          <w:szCs w:val="16"/>
          <w:color w:val="auto"/>
        </w:rPr>
        <w:t>“restricted securities” under the Securities Act of 1933, as amended, or the Securities Act. Provided the holders comply with the holding periods and other</w:t>
      </w:r>
    </w:p>
    <w:p>
      <w:pPr>
        <w:spacing w:after="0" w:line="3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conditions prescribed in Rule 144 under the Securities Act, all but of these unregistered shares of common stock cease to be restricted securities and become freely tradable roughly 180 days after completion of this offering. In addition, the shares of common stock the Founding Members may receive</w:t>
      </w:r>
    </w:p>
    <w:p>
      <w:pPr>
        <w:spacing w:after="0"/>
        <w:rPr>
          <w:sz w:val="20"/>
          <w:szCs w:val="20"/>
          <w:color w:val="auto"/>
        </w:rPr>
      </w:pPr>
      <w:r>
        <w:rPr>
          <w:rFonts w:ascii="Arial" w:cs="Arial" w:eastAsia="Arial" w:hAnsi="Arial"/>
          <w:sz w:val="18"/>
          <w:szCs w:val="18"/>
          <w:color w:val="auto"/>
        </w:rPr>
        <w:t>upon redemption of their outstanding common membership units of NCM LLC will constitute restricted securities as well.</w:t>
      </w:r>
    </w:p>
    <w:p>
      <w:pPr>
        <w:spacing w:after="0" w:line="16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Our officers and directors have agreed that they will not offer,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or publicly disclose the intention to make any such disposition, or to enter into any such arrangement, without, in each case, the prior written consent of Credit Suisse Securities (USA) LLC for a period of 180 days after the date of this prospectus. The Founding Members have agreed to the same restrictions for a period of</w:t>
      </w:r>
    </w:p>
    <w:p>
      <w:pPr>
        <w:spacing w:after="0" w:line="2" w:lineRule="exact"/>
        <w:rPr>
          <w:sz w:val="20"/>
          <w:szCs w:val="20"/>
          <w:color w:val="auto"/>
        </w:rPr>
      </w:pPr>
    </w:p>
    <w:p>
      <w:pPr>
        <w:ind w:right="180" w:firstLine="571"/>
        <w:spacing w:after="0" w:line="254" w:lineRule="auto"/>
        <w:rPr>
          <w:sz w:val="20"/>
          <w:szCs w:val="20"/>
          <w:color w:val="auto"/>
        </w:rPr>
      </w:pPr>
      <w:r>
        <w:rPr>
          <w:rFonts w:ascii="Arial" w:cs="Arial" w:eastAsia="Arial" w:hAnsi="Arial"/>
          <w:sz w:val="18"/>
          <w:szCs w:val="18"/>
          <w:color w:val="auto"/>
        </w:rPr>
        <w:t>days after the date of this prospectus. After the lock-up period expires, our Founding Members will be able to exercise registration rights that we have granted them as described in “Description of Capital Stock—Registration Rights.” We cannot predict whether substantial amounts of our common stock will be sold in the open market in anticipation of, or following any divestiture by our Founding Members or our directors or executive officers of their shares of our common stock.</w:t>
      </w:r>
    </w:p>
    <w:p>
      <w:pPr>
        <w:spacing w:after="0" w:line="14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Additionally, approximately shares of our common stock will be issuable upon exercise of stock options that vest through 2012 and become exercisable beginning on 2007, after the expiration of the 180-day lock-up period. These options were granted by NCM LLC throughout 2006, and</w:t>
      </w:r>
    </w:p>
    <w:p>
      <w:pPr>
        <w:jc w:val="both"/>
        <w:ind w:right="200"/>
        <w:spacing w:after="0" w:line="302" w:lineRule="auto"/>
        <w:rPr>
          <w:sz w:val="20"/>
          <w:szCs w:val="20"/>
          <w:color w:val="auto"/>
        </w:rPr>
      </w:pPr>
      <w:r>
        <w:rPr>
          <w:rFonts w:ascii="Arial" w:cs="Arial" w:eastAsia="Arial" w:hAnsi="Arial"/>
          <w:sz w:val="16"/>
          <w:szCs w:val="16"/>
          <w:color w:val="auto"/>
        </w:rPr>
        <w:t>will be converted into options to acquire our common stock in connection with the completion of this offering. None of such options were vested as of June 29, 2006. Once the options become vested and exercisable, to the extent they are not held by one of our affiliates, the shares acquired upon exercise of the options will be freely tradable following effectiveness of the registration statement for the options that we plan to file promptly after completion of this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substantially from the initial offering price</w:t>
      </w:r>
    </w:p>
    <w:p>
      <w:pPr>
        <w:spacing w:after="0" w:line="9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Before this offering, there has been no public market for our common stock, and an active trading market for our common stock may not develop or continue upon completion of this offering. The initial public offering price will be determined by negotiations between us and the representatives of the underwriters and may not be indicative of the price at which our common stock will trade after the offering.</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stock market in general has experienced extreme price and volume fluctuations in recent years. These broad market fluctuations may adversely affect the market price of our common stock, regardless of our actual operating performance. You may be unable to resell your shares at or above the public offering price because of a number of factors, including:</w:t>
      </w:r>
    </w:p>
    <w:p>
      <w:pPr>
        <w:spacing w:after="0" w:line="59" w:lineRule="exact"/>
        <w:rPr>
          <w:sz w:val="20"/>
          <w:szCs w:val="20"/>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actions of other media companies, strategic relationships, acquisitions or industry consolidation;</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terrorist acts or wars;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market and political conditions not related to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Affiliates of several of the underwriters for this offering hold interests in Founding Members and, therefore, have interests in this offering beyond customary underwriting discounts and commissions</w:t>
      </w:r>
    </w:p>
    <w:p>
      <w:pPr>
        <w:spacing w:after="0" w:line="5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Several of the underwriters have affiliates who own common stock of one or more of our Founding Members. As of October 8, 2006, an affiliate of J.P. Morgan Securities Inc. owned approximately 20.9% of AMC’s common stock and less than 1% of Regal’s common stock. As of October 10, 2006, an affiliate of Morgan Stanley &amp; Co. Incorporated owned approximately 1.0% of Regal’s common stock. As of October 10, 2006, an affiliate of Credit Suisse Securities (USA) LLC owned approximately 1.9% of Regal’s common stock, less than 1.0% of Cinemark’s common stock and less than 1.0% of AMC’s common stock. See “Use of Proceeds” and “Underwriting.” There may be a conflict of interest between their interests as underwriters and their interests as stockholders of Founding</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Members, who will receive a payment of $ from NCM LLC upon the completion of this offering to compensate the Founding Members for agreeing to modify our payment obligations under our ESAs. As participants in this offering that are seeking to realize the value of their investment in us, these underwriters have interests beyond customary underwriting discounts and commissions.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in net tangible book value per share of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the common stock will be substantially higher than the pro forma combined net tangible book value per share of our</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outstanding common stock. If you purchase shares of our common stock, you will incur immediate and substantial dilution in the amount of $ per share, based on an assumed initial public offering price of $ per share, which is the mid-point of the initial public offering price range set forth on the cover of this prospectus. A $1.00 increase in the initial public offering price per share would result in additional dilution in net tangible book value of $ per share. A 10% increase in the number of shares of common stock sold, assuming an initial public offering price of $ (the midpoint of the range set forth on the cover page of this prospectus), would reduce dilution in net tangible book value by $ per share.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historical information, this prospectus contains forward-looking statements. The words “forecast,” “estimate,” “project,” “intend,” “expect,” “should,” “believe” and similar expressions are intended to identify forward-looking statements. These forward-looking statements involve known and unknown risks, uncertainties, assumptions and other factors, including those discussed in “Risk Factors” and “Management’s Discussion and Analysis of Financial Condition and Results of Operations,” which may cause our actual results, performance or achievements to be materially different from any future results, performance or achievements expressed or implied by such forward-looking statements. These risks and uncertainties include, but are not limited to, the following:</w:t>
      </w:r>
    </w:p>
    <w:p>
      <w:pPr>
        <w:spacing w:after="0" w:line="63" w:lineRule="exact"/>
        <w:rPr>
          <w:sz w:val="20"/>
          <w:szCs w:val="20"/>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competition within cinema advertising or other segments of the advertising industry;</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technological changes and innovations, including alternative methods for delivering movies to consumers;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following the completion of this offering;</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operating costs;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 requirements;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is illustrative but not exhaustive. In addition, new risks and uncertainties may arise from time to time. Accordingly, all forward-looking statements should be evaluated with an understanding of their inherent uncertainty.</w:t>
      </w:r>
    </w:p>
    <w:p>
      <w:pPr>
        <w:spacing w:after="0" w:line="14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Except as required by law, we assume no obligation to publicly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Based upon an estimated initial public offering price of $ per share (the midpoint of the range set forth on the cover page of this prospectus), we estimate that we will receive net proceeds from this offering of approximately $ , or $ if the underwriters’ over-allotment option to purchase</w:t>
      </w:r>
    </w:p>
    <w:p>
      <w:pPr>
        <w:ind w:right="200"/>
        <w:spacing w:after="0" w:line="261" w:lineRule="auto"/>
        <w:rPr>
          <w:sz w:val="20"/>
          <w:szCs w:val="20"/>
          <w:color w:val="auto"/>
        </w:rPr>
      </w:pPr>
      <w:r>
        <w:rPr>
          <w:rFonts w:ascii="Arial" w:cs="Arial" w:eastAsia="Arial" w:hAnsi="Arial"/>
          <w:sz w:val="18"/>
          <w:szCs w:val="18"/>
          <w:color w:val="auto"/>
        </w:rPr>
        <w:t>additional shares is exercised in full, after deducting estimated underwriting discounts and commissions in connection with this offering and estimated offering expenses. See “Underwriting.”</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use the proceeds to purchase newly issued common membership units from NCM LLC at a price per unit equal to the public offering price per</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 less underwriting discounts and commissions. NCM LLC will use $ of the proceeds it receives from us to compensate our Founding Members for agreeing to modify our payment obligations under our ESAs. We will purchase a number of common membership units equal to the number of shares of common stock sold in this offering.</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Several of the underwriters have affiliates who own common stock of one or more of our Founding Members. As of October 10, 2006, an affiliate of J.P. Morgan Securities Inc. owned approximately 20.9% of AMC’s common stock and less than 1.0% of Regal’s common stock. As of October 10, 2006, an affiliate of Morgan Stanley &amp; Co. Incorporated owned approximately 1.0% of Regal’s common stock. As of October 10, 2006, an affiliate of Credit Suisse Securities (USA) LLC owned approximately 1.9% of Regal’s common stock, less than 1% of Cinemark’s common stock and less than 1.0% of AMC’s common stock. See “Underwriting.”</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 completion of this offering, NCM LLC will enter into a new $ million senior secured credit facility with a group of lenders that will include affiliates of several of the underwriters. This facility will consist of a -year, $ million revolving credit facility and an -year,</w:t>
      </w:r>
    </w:p>
    <w:p>
      <w:pPr>
        <w:ind w:right="100"/>
        <w:spacing w:after="0" w:line="296" w:lineRule="auto"/>
        <w:rPr>
          <w:sz w:val="20"/>
          <w:szCs w:val="20"/>
          <w:color w:val="auto"/>
        </w:rPr>
      </w:pPr>
      <w:r>
        <w:rPr>
          <w:rFonts w:ascii="Arial" w:cs="Arial" w:eastAsia="Arial" w:hAnsi="Arial"/>
          <w:sz w:val="15"/>
          <w:szCs w:val="15"/>
          <w:color w:val="auto"/>
        </w:rPr>
        <w:t>$725 million term loan facility. The size of the credit facility is subject to change prior to its closing. The revolving credit facility will be available, subject to certain conditions, for general corporate purposes of NCM LLC and its subsidiaries in the ordinary course of business and for other transactions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credit agreement. The term loan will be due on the anniversary of funding and will be used to redeem the preferred membership units of NCM LLC for an aggregate price of $ , to repay the outstanding amount, if any, under NCM LLC’s existing $20 million revolving credit facility and pay fees and</w:t>
      </w:r>
    </w:p>
    <w:p>
      <w:pPr>
        <w:ind w:right="440"/>
        <w:spacing w:after="0" w:line="261" w:lineRule="auto"/>
        <w:rPr>
          <w:sz w:val="20"/>
          <w:szCs w:val="20"/>
          <w:color w:val="auto"/>
        </w:rPr>
      </w:pPr>
      <w:r>
        <w:rPr>
          <w:rFonts w:ascii="Arial" w:cs="Arial" w:eastAsia="Arial" w:hAnsi="Arial"/>
          <w:sz w:val="18"/>
          <w:szCs w:val="18"/>
          <w:color w:val="auto"/>
        </w:rPr>
        <w:t>expenses related to this offering. Affiliates of Credit Suisse Securities (USA) LLC and Lehman Brothers Inc. are lenders under the existing revolving credit facility.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newly formed company that was organized on October 5, 2006. Upon completion of the offering, we will become a member and the sole manager of NCM LLC. Pursuant to the NCM LLC Operating Agreement, NCM LLC will be required to distribute on a quarterly basis all cash to common members that is not reserved to meet business needs or restricted under the terms of any outstanding indebtedness. We intend to distribute as dividends to our common stockholders a substantial portion of the distributions we receive from NCM LLC. However, the declaration, payment, timing and amount of any future dividends will be at the sole discretion of our board of directors, will require approval of a supermajority of the directors then in office, and will be made after taking into account various factors, including legal requirements, NCM LLC’s ability to make any payments to us, our financial condition, free cash flow, available cash and current and anticipated cash needs.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be a holding company and will have no direct operations. We will only be able to pay dividends from our available cash on hand and funds received from NCM LLC. NCM LLC’s ability to make any payments to us will depend upon many factors, including its operating results, free cash flow and the terms of its senior secured credit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June 29, 2006:</w:t>
      </w:r>
    </w:p>
    <w:p>
      <w:pPr>
        <w:spacing w:after="0" w:line="90" w:lineRule="exact"/>
        <w:rPr>
          <w:sz w:val="20"/>
          <w:szCs w:val="20"/>
          <w:color w:val="auto"/>
        </w:rPr>
      </w:pPr>
    </w:p>
    <w:p>
      <w:pPr>
        <w:ind w:left="920" w:hanging="281"/>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 forma cash and cash equivalents and capitalization of NCM LLC; and</w:t>
      </w:r>
    </w:p>
    <w:p>
      <w:pPr>
        <w:spacing w:after="0" w:line="90" w:lineRule="exact"/>
        <w:rPr>
          <w:rFonts w:ascii="Arial" w:cs="Arial" w:eastAsia="Arial" w:hAnsi="Arial"/>
          <w:sz w:val="18"/>
          <w:szCs w:val="18"/>
          <w:color w:val="auto"/>
        </w:rPr>
      </w:pPr>
    </w:p>
    <w:p>
      <w:pPr>
        <w:jc w:val="both"/>
        <w:ind w:left="920" w:right="120" w:hanging="330"/>
        <w:spacing w:after="0" w:line="305" w:lineRule="auto"/>
        <w:tabs>
          <w:tab w:leader="none" w:pos="9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pro forma cash and cash equivalents and capitalization on a consolidated basis with NCM LLC as adjusted to reflect (a) the incurrence of debt under the new NCM LLC senior secured credit facility, (b) the Reorganization and (c) our issuance and sale of the shares of common stock in this</w:t>
      </w:r>
    </w:p>
    <w:p>
      <w:pPr>
        <w:ind w:left="920" w:right="320"/>
        <w:spacing w:after="0" w:line="300" w:lineRule="auto"/>
        <w:rPr>
          <w:sz w:val="20"/>
          <w:szCs w:val="20"/>
          <w:color w:val="auto"/>
        </w:rPr>
      </w:pPr>
      <w:r>
        <w:rPr>
          <w:rFonts w:ascii="Arial" w:cs="Arial" w:eastAsia="Arial" w:hAnsi="Arial"/>
          <w:sz w:val="15"/>
          <w:szCs w:val="15"/>
          <w:color w:val="auto"/>
        </w:rPr>
        <w:t>offering at an assumed initial offering price of $ per share (the midpoint of the range set forth on the cover page of this prospectus) after deducting underwriting discounts and commissions and offering expenses, the receipt of the estimated proceeds therefrom and the purchase of</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common membership units from NCM LLC.</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table should be read in conjunction with the historical financial statements and related notes and our unaudited pro forma financial information and related notes, in each case included elsewhere in this prospectus. The data assume that there has been no exercise, in whole or in part, of the underwriters’ over-allotment option to purchase additional shares of our common stock in this offering.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4"/>
              </w:rPr>
              <w:t>As of June 29, 2006</w:t>
            </w:r>
          </w:p>
        </w:tc>
        <w:tc>
          <w:tcPr>
            <w:tcW w:w="900" w:type="dxa"/>
            <w:vAlign w:val="bottom"/>
            <w:tcBorders>
              <w:bottom w:val="single" w:sz="8" w:color="auto"/>
            </w:tcBorders>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96"/>
              </w:rPr>
              <w:t>NCM Inc.</w:t>
            </w:r>
          </w:p>
        </w:tc>
      </w:tr>
      <w:tr>
        <w:trPr>
          <w:trHeight w:val="149"/>
        </w:trPr>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NCM LLC</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Pro Forma</w:t>
            </w:r>
          </w:p>
        </w:tc>
      </w:tr>
      <w:tr>
        <w:trPr>
          <w:trHeight w:val="175"/>
        </w:trPr>
        <w:tc>
          <w:tcPr>
            <w:tcW w:w="9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Pro Forma</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As Adjusted</w:t>
            </w:r>
          </w:p>
        </w:tc>
      </w:tr>
      <w:tr>
        <w:trPr>
          <w:trHeight w:val="156"/>
        </w:trPr>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5"/>
          </w:tcPr>
          <w:p>
            <w:pPr>
              <w:jc w:val="center"/>
              <w:ind w:right="40"/>
              <w:spacing w:after="0" w:line="156" w:lineRule="exact"/>
              <w:rPr>
                <w:sz w:val="20"/>
                <w:szCs w:val="20"/>
                <w:color w:val="auto"/>
              </w:rPr>
            </w:pPr>
            <w:r>
              <w:rPr>
                <w:rFonts w:ascii="Arial" w:cs="Arial" w:eastAsia="Arial" w:hAnsi="Arial"/>
                <w:sz w:val="14"/>
                <w:szCs w:val="14"/>
                <w:b w:val="1"/>
                <w:bCs w:val="1"/>
                <w:color w:val="auto"/>
                <w:w w:val="86"/>
              </w:rPr>
              <w:t>($ in millions, except per share data)</w:t>
            </w:r>
          </w:p>
        </w:tc>
      </w:tr>
      <w:tr>
        <w:trPr>
          <w:trHeight w:val="216"/>
        </w:trPr>
        <w:tc>
          <w:tcPr>
            <w:tcW w:w="9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725.0(1)</w:t>
            </w:r>
          </w:p>
        </w:tc>
      </w:tr>
      <w:tr>
        <w:trPr>
          <w:trHeight w:val="216"/>
        </w:trPr>
        <w:tc>
          <w:tcPr>
            <w:tcW w:w="9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8"/>
        </w:trPr>
        <w:tc>
          <w:tcPr>
            <w:tcW w:w="920" w:type="dxa"/>
            <w:vAlign w:val="bottom"/>
          </w:tcPr>
          <w:p>
            <w:pPr>
              <w:spacing w:after="0"/>
              <w:rPr>
                <w:sz w:val="18"/>
                <w:szCs w:val="18"/>
                <w:color w:val="auto"/>
              </w:rPr>
            </w:pPr>
          </w:p>
        </w:tc>
        <w:tc>
          <w:tcPr>
            <w:tcW w:w="3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$0.01 par value;</w:t>
            </w:r>
          </w:p>
        </w:tc>
        <w:tc>
          <w:tcPr>
            <w:tcW w:w="3480" w:type="dxa"/>
            <w:vAlign w:val="bottom"/>
            <w:gridSpan w:val="3"/>
            <w:shd w:val="clear" w:color="auto" w:fill="CCEEFF"/>
          </w:tcPr>
          <w:p>
            <w:pPr>
              <w:jc w:val="right"/>
              <w:ind w:right="1640"/>
              <w:spacing w:after="0"/>
              <w:rPr>
                <w:sz w:val="20"/>
                <w:szCs w:val="20"/>
                <w:color w:val="auto"/>
              </w:rPr>
            </w:pPr>
            <w:r>
              <w:rPr>
                <w:rFonts w:ascii="Arial" w:cs="Arial" w:eastAsia="Arial" w:hAnsi="Arial"/>
                <w:sz w:val="18"/>
                <w:szCs w:val="18"/>
                <w:color w:val="auto"/>
                <w:w w:val="94"/>
              </w:rPr>
              <w:t>shares authorized; none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6"/>
              </w:rPr>
              <w:t>issued and outstanding on an actual basis,</w:t>
            </w:r>
          </w:p>
        </w:tc>
        <w:tc>
          <w:tcPr>
            <w:tcW w:w="26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8"/>
              </w:rPr>
              <w:t>shares issued and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3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4"/>
              </w:rPr>
              <w:t>outstanding on a pro forma basis</w:t>
            </w:r>
          </w:p>
        </w:tc>
        <w:tc>
          <w:tcPr>
            <w:tcW w:w="8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16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20" w:type="dxa"/>
            <w:vAlign w:val="bottom"/>
          </w:tcPr>
          <w:p>
            <w:pPr>
              <w:spacing w:after="0"/>
              <w:rPr>
                <w:sz w:val="19"/>
                <w:szCs w:val="19"/>
                <w:color w:val="auto"/>
              </w:rPr>
            </w:pPr>
          </w:p>
        </w:tc>
        <w:tc>
          <w:tcPr>
            <w:tcW w:w="3160" w:type="dxa"/>
            <w:vAlign w:val="bottom"/>
            <w:gridSpan w:val="2"/>
          </w:tcPr>
          <w:p>
            <w:pPr>
              <w:ind w:left="440"/>
              <w:spacing w:after="0"/>
              <w:rPr>
                <w:sz w:val="20"/>
                <w:szCs w:val="20"/>
                <w:color w:val="auto"/>
              </w:rPr>
            </w:pPr>
            <w:r>
              <w:rPr>
                <w:rFonts w:ascii="Arial" w:cs="Arial" w:eastAsia="Arial" w:hAnsi="Arial"/>
                <w:sz w:val="18"/>
                <w:szCs w:val="18"/>
                <w:color w:val="auto"/>
              </w:rPr>
              <w:t>Retained Earnings (deficit)</w:t>
            </w:r>
          </w:p>
        </w:tc>
        <w:tc>
          <w:tcPr>
            <w:tcW w:w="8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39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98"/>
              </w:rPr>
              <w:t>Members’/Stockholder’s Equity (deficit)</w:t>
            </w:r>
          </w:p>
        </w:tc>
        <w:tc>
          <w:tcPr>
            <w:tcW w:w="2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920" w:type="dxa"/>
            <w:vAlign w:val="bottom"/>
          </w:tcPr>
          <w:p>
            <w:pPr>
              <w:spacing w:after="0"/>
              <w:rPr>
                <w:sz w:val="19"/>
                <w:szCs w:val="19"/>
                <w:color w:val="auto"/>
              </w:rPr>
            </w:pPr>
          </w:p>
        </w:tc>
        <w:tc>
          <w:tcPr>
            <w:tcW w:w="3160" w:type="dxa"/>
            <w:vAlign w:val="bottom"/>
            <w:gridSpan w:val="2"/>
          </w:tcPr>
          <w:p>
            <w:pPr>
              <w:ind w:left="1300"/>
              <w:spacing w:after="0"/>
              <w:rPr>
                <w:sz w:val="20"/>
                <w:szCs w:val="20"/>
                <w:color w:val="auto"/>
              </w:rPr>
            </w:pPr>
            <w:r>
              <w:rPr>
                <w:rFonts w:ascii="Arial" w:cs="Arial" w:eastAsia="Arial" w:hAnsi="Arial"/>
                <w:sz w:val="18"/>
                <w:szCs w:val="18"/>
                <w:color w:val="auto"/>
              </w:rPr>
              <w:t>Total Capitalization</w:t>
            </w:r>
          </w:p>
        </w:tc>
        <w:tc>
          <w:tcPr>
            <w:tcW w:w="800" w:type="dxa"/>
            <w:vAlign w:val="bottom"/>
          </w:tcPr>
          <w:p>
            <w:pPr>
              <w:spacing w:after="0"/>
              <w:rPr>
                <w:sz w:val="19"/>
                <w:szCs w:val="19"/>
                <w:color w:val="auto"/>
              </w:rPr>
            </w:pPr>
          </w:p>
        </w:tc>
        <w:tc>
          <w:tcPr>
            <w:tcW w:w="2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00" w:lineRule="exact"/>
        <w:rPr>
          <w:sz w:val="20"/>
          <w:szCs w:val="20"/>
          <w:color w:val="auto"/>
        </w:rPr>
      </w:pPr>
    </w:p>
    <w:p>
      <w:pPr>
        <w:ind w:left="440" w:hanging="421"/>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credit facility is subject to change prior to its closing.</w:t>
      </w:r>
    </w:p>
    <w:p>
      <w:pPr>
        <w:spacing w:after="0" w:line="15" w:lineRule="exact"/>
        <w:rPr>
          <w:rFonts w:ascii="Arial" w:cs="Arial" w:eastAsia="Arial" w:hAnsi="Arial"/>
          <w:sz w:val="18"/>
          <w:szCs w:val="18"/>
          <w:color w:val="auto"/>
        </w:rPr>
      </w:pPr>
    </w:p>
    <w:p>
      <w:pPr>
        <w:ind w:left="440" w:right="100" w:hanging="421"/>
        <w:spacing w:after="0" w:line="250"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Founding Members’ equity of NCM LLC and its reclassification to minority interest, which will be included in stockholder’s equity because the amount of minority interest will be negative.</w:t>
      </w:r>
    </w:p>
    <w:p>
      <w:pPr>
        <w:spacing w:after="0" w:line="1" w:lineRule="exact"/>
        <w:rPr>
          <w:sz w:val="20"/>
          <w:szCs w:val="20"/>
          <w:color w:val="auto"/>
        </w:rPr>
      </w:pPr>
    </w:p>
    <w:p>
      <w:pPr>
        <w:ind w:left="20"/>
        <w:spacing w:after="0"/>
        <w:tabs>
          <w:tab w:leader="none" w:pos="420" w:val="left"/>
          <w:tab w:leader="none" w:pos="3080" w:val="left"/>
        </w:tabs>
        <w:rPr>
          <w:sz w:val="20"/>
          <w:szCs w:val="20"/>
          <w:color w:val="auto"/>
        </w:rPr>
      </w:pPr>
      <w:r>
        <w:rPr>
          <w:rFonts w:ascii="Arial" w:cs="Arial" w:eastAsia="Arial" w:hAnsi="Arial"/>
          <w:sz w:val="18"/>
          <w:szCs w:val="18"/>
          <w:color w:val="auto"/>
        </w:rPr>
        <w:t>(3)</w:t>
        <w:tab/>
        <w:t>Reflects aggregate ownership of</w:t>
      </w:r>
      <w:r>
        <w:rPr>
          <w:sz w:val="20"/>
          <w:szCs w:val="20"/>
          <w:color w:val="auto"/>
        </w:rPr>
        <w:tab/>
      </w:r>
      <w:r>
        <w:rPr>
          <w:rFonts w:ascii="Arial" w:cs="Arial" w:eastAsia="Arial" w:hAnsi="Arial"/>
          <w:sz w:val="16"/>
          <w:szCs w:val="16"/>
          <w:color w:val="auto"/>
        </w:rPr>
        <w:t>% of NCM LLC by the Founding Members.</w:t>
      </w:r>
    </w:p>
    <w:p>
      <w:pPr>
        <w:spacing w:after="0" w:line="9" w:lineRule="exact"/>
        <w:rPr>
          <w:sz w:val="20"/>
          <w:szCs w:val="20"/>
          <w:color w:val="auto"/>
        </w:rPr>
      </w:pPr>
    </w:p>
    <w:p>
      <w:pPr>
        <w:ind w:left="440" w:hanging="421"/>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$1.00 increase in the initial public offering price per share would result in increases in stockholder’s equity and total capitalization, as of June 29, 2006</w:t>
      </w:r>
    </w:p>
    <w:p>
      <w:pPr>
        <w:spacing w:after="0" w:line="32" w:lineRule="exact"/>
        <w:rPr>
          <w:sz w:val="20"/>
          <w:szCs w:val="20"/>
          <w:color w:val="auto"/>
        </w:rPr>
      </w:pPr>
    </w:p>
    <w:p>
      <w:pPr>
        <w:ind w:left="440"/>
        <w:spacing w:after="0"/>
        <w:tabs>
          <w:tab w:leader="none" w:pos="2660" w:val="left"/>
        </w:tabs>
        <w:rPr>
          <w:sz w:val="20"/>
          <w:szCs w:val="20"/>
          <w:color w:val="auto"/>
        </w:rPr>
      </w:pPr>
      <w:r>
        <w:rPr>
          <w:rFonts w:ascii="Arial" w:cs="Arial" w:eastAsia="Arial" w:hAnsi="Arial"/>
          <w:sz w:val="18"/>
          <w:szCs w:val="18"/>
          <w:color w:val="auto"/>
        </w:rPr>
        <w:t>on a pro forma basis, of</w:t>
      </w:r>
      <w:r>
        <w:rPr>
          <w:sz w:val="20"/>
          <w:szCs w:val="20"/>
          <w:color w:val="auto"/>
        </w:rPr>
        <w:tab/>
      </w:r>
      <w:r>
        <w:rPr>
          <w:rFonts w:ascii="Arial" w:cs="Arial" w:eastAsia="Arial" w:hAnsi="Arial"/>
          <w:sz w:val="15"/>
          <w:szCs w:val="15"/>
          <w:color w:val="auto"/>
        </w:rPr>
        <w:t>. Separately, a 10% increase in the number of shares of common stock sold, assuming an initial public offering price of</w:t>
      </w:r>
    </w:p>
    <w:p>
      <w:pPr>
        <w:spacing w:after="0" w:line="9" w:lineRule="exact"/>
        <w:rPr>
          <w:sz w:val="20"/>
          <w:szCs w:val="20"/>
          <w:color w:val="auto"/>
        </w:rPr>
      </w:pPr>
    </w:p>
    <w:p>
      <w:pPr>
        <w:ind w:left="1060" w:hanging="620"/>
        <w:spacing w:after="0"/>
        <w:tabs>
          <w:tab w:leader="none" w:pos="10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midpoint of the range set forth on the cover page of this prospectus), would result in increases in stockholders’ equity and total capitalization,</w:t>
      </w:r>
    </w:p>
    <w:p>
      <w:pPr>
        <w:spacing w:after="0" w:line="44" w:lineRule="exact"/>
        <w:rPr>
          <w:sz w:val="20"/>
          <w:szCs w:val="20"/>
          <w:color w:val="auto"/>
        </w:rPr>
      </w:pPr>
    </w:p>
    <w:p>
      <w:pPr>
        <w:ind w:left="440"/>
        <w:spacing w:after="0"/>
        <w:tabs>
          <w:tab w:leader="none" w:pos="4100" w:val="left"/>
          <w:tab w:leader="none" w:pos="4940" w:val="left"/>
        </w:tabs>
        <w:rPr>
          <w:sz w:val="20"/>
          <w:szCs w:val="20"/>
          <w:color w:val="auto"/>
        </w:rPr>
      </w:pPr>
      <w:r>
        <w:rPr>
          <w:rFonts w:ascii="Arial" w:cs="Arial" w:eastAsia="Arial" w:hAnsi="Arial"/>
          <w:sz w:val="18"/>
          <w:szCs w:val="18"/>
          <w:color w:val="auto"/>
        </w:rPr>
        <w:t>as of June 29, 2006 on a pro forma basis,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 respectively.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initial public offering price per share of our common stock and the pro forma net tangible book value per share of our common stock after this offering. Dilution results from the fact that the per share offering price of the common stock is substantially in excess of the book value per share attributable to the existing stockholders for the presently outstanding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29, 2006, our pro forma net tangible book value was approximately $ , or approximately $ per share of common stock. Net tangible book value per share of common stock represents total consolidated tangible assets less total consolidated liabilities, divided by the aggregate number of shares of common stock outstanding assuming the redemption of all current NCM LLC common membership units in exchange for an aggregate of shares of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our issuance of shares of common stock in this offering, the Reorganization and the Financing Transaction, and assuming an</w:t>
      </w:r>
    </w:p>
    <w:p>
      <w:pPr>
        <w:spacing w:after="0" w:line="3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estimated offering price of $ per share (the midpoint of the range set forth on the cover page of this prospectus), and after deducting estimated offering expenses and assuming full redemption of NCM LLC membership units held by the Founding Members in exchange for shares of our common stock, our pro</w:t>
      </w:r>
    </w:p>
    <w:tbl>
      <w:tblPr>
        <w:tblLayout w:type="fixed"/>
        <w:tblInd w:w="0" w:type="dxa"/>
        <w:tblCellMar>
          <w:top w:w="0" w:type="dxa"/>
          <w:left w:w="0" w:type="dxa"/>
          <w:bottom w:w="0" w:type="dxa"/>
          <w:right w:w="0" w:type="dxa"/>
        </w:tblCellMar>
      </w:tblPr>
      <w:tr>
        <w:trPr>
          <w:trHeight w:val="211"/>
        </w:trPr>
        <w:tc>
          <w:tcPr>
            <w:tcW w:w="6000" w:type="dxa"/>
            <w:vAlign w:val="bottom"/>
          </w:tcPr>
          <w:p>
            <w:pPr>
              <w:spacing w:after="0"/>
              <w:rPr>
                <w:sz w:val="20"/>
                <w:szCs w:val="20"/>
                <w:color w:val="auto"/>
              </w:rPr>
            </w:pPr>
            <w:r>
              <w:rPr>
                <w:rFonts w:ascii="Arial" w:cs="Arial" w:eastAsia="Arial" w:hAnsi="Arial"/>
                <w:sz w:val="18"/>
                <w:szCs w:val="18"/>
                <w:color w:val="auto"/>
                <w:w w:val="88"/>
              </w:rPr>
              <w:t>forma net tangible book value as of June 29, 2006, would have been approximately $</w:t>
            </w:r>
          </w:p>
        </w:tc>
        <w:tc>
          <w:tcPr>
            <w:tcW w:w="1120" w:type="dxa"/>
            <w:vAlign w:val="bottom"/>
          </w:tcPr>
          <w:p>
            <w:pPr>
              <w:ind w:left="560"/>
              <w:spacing w:after="0"/>
              <w:rPr>
                <w:sz w:val="20"/>
                <w:szCs w:val="20"/>
                <w:color w:val="auto"/>
              </w:rPr>
            </w:pPr>
            <w:r>
              <w:rPr>
                <w:rFonts w:ascii="Arial" w:cs="Arial" w:eastAsia="Arial" w:hAnsi="Arial"/>
                <w:sz w:val="18"/>
                <w:szCs w:val="18"/>
                <w:color w:val="auto"/>
              </w:rPr>
              <w:t>or $</w:t>
            </w:r>
          </w:p>
        </w:tc>
        <w:tc>
          <w:tcPr>
            <w:tcW w:w="3600" w:type="dxa"/>
            <w:vAlign w:val="bottom"/>
          </w:tcPr>
          <w:p>
            <w:pPr>
              <w:ind w:left="280"/>
              <w:spacing w:after="0" w:line="211" w:lineRule="exact"/>
              <w:rPr>
                <w:sz w:val="20"/>
                <w:szCs w:val="20"/>
                <w:color w:val="auto"/>
              </w:rPr>
            </w:pPr>
            <w:r>
              <w:rPr>
                <w:rFonts w:ascii="Arial" w:cs="Arial" w:eastAsia="Arial" w:hAnsi="Arial"/>
                <w:sz w:val="18"/>
                <w:szCs w:val="18"/>
                <w:color w:val="auto"/>
                <w:w w:val="85"/>
              </w:rPr>
              <w:t>per share of common stock.</w:t>
            </w:r>
            <w:r>
              <w:rPr>
                <w:rFonts w:ascii="Arial" w:cs="Arial" w:eastAsia="Arial" w:hAnsi="Arial"/>
                <w:sz w:val="22"/>
                <w:szCs w:val="22"/>
                <w:color w:val="auto"/>
                <w:w w:val="85"/>
                <w:vertAlign w:val="superscript"/>
              </w:rPr>
              <w:t>1</w:t>
            </w:r>
            <w:r>
              <w:rPr>
                <w:rFonts w:ascii="Arial" w:cs="Arial" w:eastAsia="Arial" w:hAnsi="Arial"/>
                <w:sz w:val="18"/>
                <w:szCs w:val="18"/>
                <w:color w:val="auto"/>
                <w:w w:val="85"/>
              </w:rPr>
              <w:t xml:space="preserve"> This represents an</w:t>
            </w:r>
          </w:p>
        </w:tc>
      </w:tr>
      <w:tr>
        <w:trPr>
          <w:trHeight w:val="299"/>
        </w:trPr>
        <w:tc>
          <w:tcPr>
            <w:tcW w:w="6000" w:type="dxa"/>
            <w:vAlign w:val="bottom"/>
          </w:tcPr>
          <w:p>
            <w:pPr>
              <w:spacing w:after="0"/>
              <w:rPr>
                <w:sz w:val="20"/>
                <w:szCs w:val="20"/>
                <w:color w:val="auto"/>
              </w:rPr>
            </w:pPr>
            <w:r>
              <w:rPr>
                <w:rFonts w:ascii="Arial" w:cs="Arial" w:eastAsia="Arial" w:hAnsi="Arial"/>
                <w:sz w:val="18"/>
                <w:szCs w:val="18"/>
                <w:color w:val="auto"/>
                <w:w w:val="99"/>
              </w:rPr>
              <w:t>immediate dilution to new investors in our common stock of approximately $</w:t>
            </w:r>
          </w:p>
        </w:tc>
        <w:tc>
          <w:tcPr>
            <w:tcW w:w="1120" w:type="dxa"/>
            <w:vAlign w:val="bottom"/>
          </w:tcPr>
          <w:p>
            <w:pPr>
              <w:ind w:left="20"/>
              <w:spacing w:after="0"/>
              <w:rPr>
                <w:sz w:val="20"/>
                <w:szCs w:val="20"/>
                <w:color w:val="auto"/>
              </w:rPr>
            </w:pPr>
            <w:r>
              <w:rPr>
                <w:rFonts w:ascii="Arial" w:cs="Arial" w:eastAsia="Arial" w:hAnsi="Arial"/>
                <w:sz w:val="18"/>
                <w:szCs w:val="18"/>
                <w:color w:val="auto"/>
              </w:rPr>
              <w:t>per share.</w:t>
            </w:r>
            <w:r>
              <w:rPr>
                <w:rFonts w:ascii="Arial" w:cs="Arial" w:eastAsia="Arial" w:hAnsi="Arial"/>
                <w:sz w:val="22"/>
                <w:szCs w:val="22"/>
                <w:color w:val="auto"/>
                <w:vertAlign w:val="superscript"/>
              </w:rPr>
              <w:t>2</w:t>
            </w:r>
          </w:p>
        </w:tc>
        <w:tc>
          <w:tcPr>
            <w:tcW w:w="3600" w:type="dxa"/>
            <w:vAlign w:val="bottom"/>
          </w:tcPr>
          <w:p>
            <w:pPr>
              <w:spacing w:after="0"/>
              <w:rPr>
                <w:sz w:val="24"/>
                <w:szCs w:val="24"/>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illustrates this per share dilution (assuming that the underwriters do not exercise their over-allotment option in whole or in part):</w:t>
      </w:r>
    </w:p>
    <w:p>
      <w:pPr>
        <w:sectPr>
          <w:pgSz w:w="11900" w:h="16838" w:orient="portrait"/>
          <w:cols w:equalWidth="0" w:num="1">
            <w:col w:w="11360"/>
          </w:cols>
          <w:pgMar w:left="240" w:top="459" w:right="29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price per share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ectPr>
          <w:pgSz w:w="11900" w:h="16838" w:orient="portrait"/>
          <w:cols w:equalWidth="0" w:num="2">
            <w:col w:w="9880" w:space="720"/>
            <w:col w:w="760"/>
          </w:cols>
          <w:pgMar w:left="240" w:top="459" w:right="29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Pro forma net tangible book value per share as of June 29,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sectPr>
          <w:pgSz w:w="11900" w:h="16838" w:orient="portrait"/>
          <w:cols w:equalWidth="0" w:num="2">
            <w:col w:w="8760" w:space="720"/>
            <w:col w:w="1880"/>
          </w:cols>
          <w:pgMar w:left="240" w:top="459" w:right="29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Decrease in pro forma net tangible book value per share attributable to this offering, the Financing Transaction and the</w:t>
      </w:r>
    </w:p>
    <w:p>
      <w:pPr>
        <w:sectPr>
          <w:pgSz w:w="11900" w:h="16838" w:orient="portrait"/>
          <w:cols w:equalWidth="0" w:num="1">
            <w:col w:w="11360"/>
          </w:cols>
          <w:pgMar w:left="240" w:top="459" w:right="29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Reorganization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6" w:lineRule="exact"/>
        <w:rPr>
          <w:sz w:val="20"/>
          <w:szCs w:val="20"/>
          <w:color w:val="auto"/>
        </w:rPr>
      </w:pPr>
    </w:p>
    <w:p>
      <w:pPr>
        <w:sectPr>
          <w:pgSz w:w="11900" w:h="16838" w:orient="portrait"/>
          <w:cols w:equalWidth="0" w:num="2">
            <w:col w:w="8760" w:space="720"/>
            <w:col w:w="1880"/>
          </w:cols>
          <w:pgMar w:left="240" w:top="459" w:right="299" w:bottom="1440" w:gutter="0" w:footer="0" w:header="0"/>
          <w:type w:val="continuous"/>
        </w:sectPr>
      </w:pPr>
    </w:p>
    <w:p>
      <w:pPr>
        <w:ind w:left="220" w:right="1520" w:hanging="215"/>
        <w:spacing w:after="0" w:line="268" w:lineRule="auto"/>
        <w:rPr>
          <w:sz w:val="20"/>
          <w:szCs w:val="20"/>
          <w:color w:val="auto"/>
        </w:rPr>
      </w:pPr>
      <w:r>
        <w:rPr>
          <w:rFonts w:ascii="Arial" w:cs="Arial" w:eastAsia="Arial" w:hAnsi="Arial"/>
          <w:sz w:val="18"/>
          <w:szCs w:val="18"/>
          <w:color w:val="auto"/>
        </w:rPr>
        <w:t>Pro forma net tangible book value per share after the completion of this offering, the Reorganization and the Financing Transaction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9880" w:space="720"/>
            <w:col w:w="76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Pro forma 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sectPr>
          <w:pgSz w:w="11900" w:h="16838" w:orient="portrait"/>
          <w:cols w:equalWidth="0" w:num="2">
            <w:col w:w="9880" w:space="720"/>
            <w:col w:w="760"/>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If the underwriters’ over-allotment option is exercised in full, the pro forma net tangible book value per share of common stock after giving effect to this</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offering, the Reorganization and the Financing Transaction would be approximately $ per share and the dilution in pro forma net tangible book value per share of common stock to new investors would be $ per share.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discussion and tables assume no exercise of any stock options that will be outstanding immediately following this offering. As of the date of</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completion of this offering, we will have outstanding options to purchase shares of our common stock. To the extent these options are exercised, there may be further dilution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903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6" w:lineRule="exact"/>
        <w:rPr>
          <w:sz w:val="20"/>
          <w:szCs w:val="20"/>
          <w:color w:val="auto"/>
        </w:rPr>
      </w:pPr>
    </w:p>
    <w:p>
      <w:pPr>
        <w:ind w:left="220" w:hanging="160"/>
        <w:spacing w:after="0"/>
        <w:tabs>
          <w:tab w:leader="none" w:pos="220" w:val="left"/>
        </w:tabs>
        <w:numPr>
          <w:ilvl w:val="0"/>
          <w:numId w:val="39"/>
        </w:numPr>
        <w:rPr>
          <w:rFonts w:ascii="Arial" w:cs="Arial" w:eastAsia="Arial" w:hAnsi="Arial"/>
          <w:sz w:val="20"/>
          <w:szCs w:val="20"/>
          <w:color w:val="auto"/>
          <w:vertAlign w:val="superscript"/>
        </w:rPr>
      </w:pPr>
      <w:r>
        <w:rPr>
          <w:rFonts w:ascii="Arial" w:cs="Arial" w:eastAsia="Arial" w:hAnsi="Arial"/>
          <w:sz w:val="16"/>
          <w:szCs w:val="16"/>
          <w:color w:val="auto"/>
        </w:rPr>
        <w:t>A $1.00 increase in the initial public offering price per share would result in a decrease in our net tangible book value as of June 29, 2006, or a decrease of</w:t>
      </w:r>
    </w:p>
    <w:p>
      <w:pPr>
        <w:spacing w:after="0" w:line="213" w:lineRule="exact"/>
        <w:rPr>
          <w:sz w:val="20"/>
          <w:szCs w:val="20"/>
          <w:color w:val="auto"/>
        </w:rPr>
      </w:pPr>
    </w:p>
    <w:p>
      <w:pPr>
        <w:ind w:left="220" w:right="360"/>
        <w:spacing w:after="0" w:line="259" w:lineRule="auto"/>
        <w:rPr>
          <w:sz w:val="20"/>
          <w:szCs w:val="20"/>
          <w:color w:val="auto"/>
        </w:rPr>
      </w:pPr>
      <w:r>
        <w:rPr>
          <w:rFonts w:ascii="Arial" w:cs="Arial" w:eastAsia="Arial" w:hAnsi="Arial"/>
          <w:sz w:val="18"/>
          <w:szCs w:val="18"/>
          <w:color w:val="auto"/>
        </w:rPr>
        <w:t>$ per share of common stock. A 10% increase in the number of shares of common stock, assuming an initial public offering price of $ (the midpoint of the range set forth on the cover page of this prospectus), would result in a decrease in our net tangible book value as of June 29, 2006, or a decrease of $ per share of common stock.</w:t>
      </w:r>
    </w:p>
    <w:p>
      <w:pPr>
        <w:spacing w:after="0" w:line="38" w:lineRule="exact"/>
        <w:rPr>
          <w:sz w:val="20"/>
          <w:szCs w:val="20"/>
          <w:color w:val="auto"/>
        </w:rPr>
      </w:pPr>
    </w:p>
    <w:p>
      <w:pPr>
        <w:ind w:left="220" w:right="160" w:hanging="159"/>
        <w:spacing w:after="0" w:line="259" w:lineRule="auto"/>
        <w:tabs>
          <w:tab w:leader="none" w:pos="200" w:val="left"/>
        </w:tabs>
        <w:rPr>
          <w:sz w:val="20"/>
          <w:szCs w:val="20"/>
          <w:color w:val="auto"/>
        </w:rPr>
      </w:pPr>
      <w:r>
        <w:rPr>
          <w:rFonts w:ascii="Arial" w:cs="Arial" w:eastAsia="Arial" w:hAnsi="Arial"/>
          <w:sz w:val="11"/>
          <w:szCs w:val="11"/>
          <w:color w:val="auto"/>
        </w:rPr>
        <w:t>2</w:t>
      </w:r>
      <w:r>
        <w:rPr>
          <w:sz w:val="20"/>
          <w:szCs w:val="20"/>
          <w:color w:val="auto"/>
        </w:rPr>
        <w:tab/>
      </w:r>
      <w:r>
        <w:rPr>
          <w:rFonts w:ascii="Arial" w:cs="Arial" w:eastAsia="Arial" w:hAnsi="Arial"/>
          <w:sz w:val="18"/>
          <w:szCs w:val="18"/>
          <w:color w:val="auto"/>
        </w:rPr>
        <w:t>A $1.00 increase in the initial public offering price per share would result in additional dilution in net tangible book value of $ per share. A 10% increase in the number of shares of common stock sold, assuming an initial public offering price of $ (the midpoint of the range set forth on the cover page of this prospectus), would reduce dilution in net tangible book value by $ per share.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table summarizes, on a pro forma basis as of June 29, 2006, the difference between the total cash consideration paid by our Founding Members for common stock, assuming the redemption of all membership units of NCM LLC in exchange for shares of our common stock in the manner described above, and the purchasers of common stock in the public offering, before deducting estimated underwriting discounts and commissions and estimated offering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4"/>
                <w:szCs w:val="14"/>
                <w:color w:val="auto"/>
              </w:rPr>
            </w:pPr>
          </w:p>
        </w:tc>
        <w:tc>
          <w:tcPr>
            <w:tcW w:w="16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85"/>
        </w:trPr>
        <w:tc>
          <w:tcPr>
            <w:tcW w:w="708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tcBorders>
              <w:bottom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48"/>
        </w:trPr>
        <w:tc>
          <w:tcPr>
            <w:tcW w:w="7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08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Percent</w:t>
            </w:r>
          </w:p>
        </w:tc>
        <w:tc>
          <w:tcPr>
            <w:tcW w:w="220" w:type="dxa"/>
            <w:vAlign w:val="bottom"/>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69"/>
        </w:trPr>
        <w:tc>
          <w:tcPr>
            <w:tcW w:w="7720" w:type="dxa"/>
            <w:vAlign w:val="bottom"/>
            <w:gridSpan w:val="2"/>
          </w:tcPr>
          <w:p>
            <w:pPr>
              <w:spacing w:after="0"/>
              <w:rPr>
                <w:sz w:val="20"/>
                <w:szCs w:val="20"/>
                <w:color w:val="auto"/>
              </w:rPr>
            </w:pPr>
            <w:r>
              <w:rPr>
                <w:rFonts w:ascii="Arial" w:cs="Arial" w:eastAsia="Arial" w:hAnsi="Arial"/>
                <w:sz w:val="18"/>
                <w:szCs w:val="18"/>
                <w:color w:val="auto"/>
              </w:rPr>
              <w:t>Founding Members</w:t>
            </w: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Purchasers of common stock</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option to purchase additional shares is exercised in full and assuming full redemption of NCM LLC membership units held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Founding Members in exchange for shares of our common stock, the following will occur:</w:t>
      </w:r>
    </w:p>
    <w:p>
      <w:pPr>
        <w:spacing w:after="0" w:line="84"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w w:val="90"/>
              </w:rPr>
              <w:t>The percentage of shares of common stock held by the Founding Members will decrease to approximately</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88"/>
              </w:rPr>
              <w:t>% of the total number of shares of</w:t>
            </w:r>
          </w:p>
        </w:tc>
      </w:tr>
      <w:tr>
        <w:trPr>
          <w:trHeight w:val="222"/>
        </w:trPr>
        <w:tc>
          <w:tcPr>
            <w:tcW w:w="140" w:type="dxa"/>
            <w:vAlign w:val="bottom"/>
          </w:tcPr>
          <w:p>
            <w:pPr>
              <w:spacing w:after="0"/>
              <w:rPr>
                <w:sz w:val="19"/>
                <w:szCs w:val="19"/>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common stock outstanding, and</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9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940" w:type="dxa"/>
            <w:vAlign w:val="bottom"/>
          </w:tcPr>
          <w:p>
            <w:pPr>
              <w:ind w:left="100"/>
              <w:spacing w:after="0"/>
              <w:rPr>
                <w:sz w:val="20"/>
                <w:szCs w:val="20"/>
                <w:color w:val="auto"/>
              </w:rPr>
            </w:pPr>
            <w:r>
              <w:rPr>
                <w:rFonts w:ascii="Arial" w:cs="Arial" w:eastAsia="Arial" w:hAnsi="Arial"/>
                <w:sz w:val="18"/>
                <w:szCs w:val="18"/>
                <w:color w:val="auto"/>
                <w:w w:val="92"/>
              </w:rPr>
              <w:t>The number of shares of common stock held by purchasers of common stock will increase to</w:t>
            </w:r>
          </w:p>
        </w:tc>
        <w:tc>
          <w:tcPr>
            <w:tcW w:w="2220" w:type="dxa"/>
            <w:vAlign w:val="bottom"/>
            <w:gridSpan w:val="2"/>
          </w:tcPr>
          <w:p>
            <w:pPr>
              <w:ind w:left="300"/>
              <w:spacing w:after="0"/>
              <w:rPr>
                <w:sz w:val="20"/>
                <w:szCs w:val="20"/>
                <w:color w:val="auto"/>
              </w:rPr>
            </w:pPr>
            <w:r>
              <w:rPr>
                <w:rFonts w:ascii="Arial" w:cs="Arial" w:eastAsia="Arial" w:hAnsi="Arial"/>
                <w:sz w:val="18"/>
                <w:szCs w:val="18"/>
                <w:color w:val="auto"/>
                <w:w w:val="96"/>
              </w:rPr>
              <w:t>shares, or approximately</w:t>
            </w:r>
          </w:p>
        </w:tc>
        <w:tc>
          <w:tcPr>
            <w:tcW w:w="1200" w:type="dxa"/>
            <w:vAlign w:val="bottom"/>
          </w:tcPr>
          <w:p>
            <w:pPr>
              <w:ind w:left="200"/>
              <w:spacing w:after="0"/>
              <w:rPr>
                <w:sz w:val="20"/>
                <w:szCs w:val="20"/>
                <w:color w:val="auto"/>
              </w:rPr>
            </w:pPr>
            <w:r>
              <w:rPr>
                <w:rFonts w:ascii="Arial" w:cs="Arial" w:eastAsia="Arial" w:hAnsi="Arial"/>
                <w:sz w:val="18"/>
                <w:szCs w:val="18"/>
                <w:color w:val="auto"/>
                <w:w w:val="93"/>
              </w:rPr>
              <w:t>% of the total</w:t>
            </w:r>
          </w:p>
        </w:tc>
      </w:tr>
      <w:tr>
        <w:trPr>
          <w:trHeight w:val="299"/>
        </w:trPr>
        <w:tc>
          <w:tcPr>
            <w:tcW w:w="140" w:type="dxa"/>
            <w:vAlign w:val="bottom"/>
          </w:tcPr>
          <w:p>
            <w:pPr>
              <w:spacing w:after="0"/>
              <w:rPr>
                <w:sz w:val="24"/>
                <w:szCs w:val="24"/>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number of shares of common stock outstanding after this offering.</w:t>
            </w:r>
            <w:r>
              <w:rPr>
                <w:rFonts w:ascii="Arial" w:cs="Arial" w:eastAsia="Arial" w:hAnsi="Arial"/>
                <w:sz w:val="22"/>
                <w:szCs w:val="22"/>
                <w:color w:val="auto"/>
                <w:vertAlign w:val="superscript"/>
              </w:rPr>
              <w:t>3</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903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8" w:lineRule="exact"/>
        <w:rPr>
          <w:sz w:val="20"/>
          <w:szCs w:val="20"/>
          <w:color w:val="auto"/>
        </w:rPr>
      </w:pPr>
    </w:p>
    <w:p>
      <w:pPr>
        <w:ind w:left="220" w:hanging="160"/>
        <w:spacing w:after="0"/>
        <w:tabs>
          <w:tab w:leader="none" w:pos="220"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A 10% increase in the number of shares sold of common stock would decrease the number of shares of common stock held by the Founding Members as a</w:t>
      </w:r>
    </w:p>
    <w:p>
      <w:pPr>
        <w:spacing w:after="0" w:line="213" w:lineRule="exact"/>
        <w:rPr>
          <w:sz w:val="20"/>
          <w:szCs w:val="20"/>
          <w:color w:val="auto"/>
        </w:rPr>
      </w:pPr>
    </w:p>
    <w:p>
      <w:pPr>
        <w:ind w:left="220" w:right="580"/>
        <w:spacing w:after="0" w:line="268" w:lineRule="auto"/>
        <w:rPr>
          <w:sz w:val="20"/>
          <w:szCs w:val="20"/>
          <w:color w:val="auto"/>
        </w:rPr>
      </w:pPr>
      <w:r>
        <w:rPr>
          <w:rFonts w:ascii="Arial" w:cs="Arial" w:eastAsia="Arial" w:hAnsi="Arial"/>
          <w:sz w:val="18"/>
          <w:szCs w:val="18"/>
          <w:color w:val="auto"/>
        </w:rPr>
        <w:t>percentage of the total number of shares of common stock outstanding after this offering by %; the number of shares of common stock held by the purchasers would increase by shares, or % of the total shares outstanding after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Regal’s subsidiary, RCM, and the cinema advertising operations of AMC’s subsidiary, NCN. The contribution of the net assets by AMC and Regal was accounted for at historical costs. Under GAAP, RCM is considered to be the predecessor of NCM LLC, and NCN is considered to be an acquired company by virtue of Regal having a majority of the ownership of NCM LLC at inception. NCM LLC commenced operations on April 1, 2005.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revenue from the sale of advertising for Cinemark’s screens are only reflected in NCM LLC’s unaudited historical statements of operations subsequent to January 1, 2006. On January 26, 2006, AMC acquired the Loews theatre circuit. The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December 1, 2008, the run-out of certain pre-existing contractual obligations for on-screen advertising that exist on June 1, 2008 and</w:t>
      </w:r>
    </w:p>
    <w:p>
      <w:pPr>
        <w:spacing w:after="0" w:line="5" w:lineRule="exact"/>
        <w:rPr>
          <w:sz w:val="20"/>
          <w:szCs w:val="20"/>
          <w:color w:val="auto"/>
        </w:rPr>
      </w:pPr>
    </w:p>
    <w:p>
      <w:pPr>
        <w:ind w:right="40" w:firstLine="8"/>
        <w:spacing w:after="0" w:line="252" w:lineRule="auto"/>
        <w:tabs>
          <w:tab w:leader="none" w:pos="2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period beginning on December 1, 2008 through March 1, 2009, the right of the prior advertising provider to one minute of advertising inventory during the pre-feature show. In accordance with a Loews Screen Integration Agreement to be entered into between us and AMC, AMC will pay us an amount that approximates the EBITDA we would have generated if we were able to sell advertising in the Loews theatre chain on an exclusive basis commencing on the date of this offering, and NCM LLC will issue to AMC common membership units in NCM LLC prior to the completion of this offering. These Loews payments will be made on a quarterly basis for a specified time period, and will be recorded in members’ equity and will not be reflected in NCM LLC’s statements of operations.</w:t>
      </w:r>
    </w:p>
    <w:p>
      <w:pPr>
        <w:spacing w:after="0" w:line="14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(i) unaudited pro forma consolidated statements of operations for the year ended December 29, 2005, and the three and six months ended June 29, 2006, and (ii) the unaudited pro forma consolidated balance sheet at June 29, 2006, present the consolidated results of operations and financial position of NCM Inc. assuming the transactions discussed below had been completed and the material changes to contractual arrangements discussed below had become effective as of December 31, 2004, with respect to the pro forma statements of operations and as of June 29, 2006, with respect to the pro forma balance sheet. We present results for the three months ended June 29, 2006 because this was the first full quarterly period during which we had rights to 100% of the advertising inventory in Cinemark’s theatres. The pro forma adjustments are based on available information and upon assumptions that management believes are reasonable in order to reflect, on a pro forma basis, the impact of the historical adjustments listed below, or the Historical Adjustments, and the transaction adjustments listed below, or the Transaction Adjustments, on the historical financial information of NCM Inc. The adjustments as set forth below are described in detail in the notes to the unaudited pro forma consolidated statements of operations and the unaudited pro forma consolidated balance sheet and principally include the matters set forth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Historical Adjustments result from:</w:t>
      </w:r>
    </w:p>
    <w:p>
      <w:pPr>
        <w:spacing w:after="0" w:line="90" w:lineRule="exact"/>
        <w:rPr>
          <w:sz w:val="20"/>
          <w:szCs w:val="20"/>
          <w:color w:val="auto"/>
        </w:rPr>
      </w:pPr>
    </w:p>
    <w:p>
      <w:pPr>
        <w:ind w:left="780" w:right="80" w:hanging="249"/>
        <w:spacing w:after="0" w:line="253"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of our ESAs which differ from our prior contractual arrangements with our Founding Members and will have on-going material significance to our results of operations, in that they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with their beverage concessionaires and (iv) change the formula for the calculation of the circuit share expense (known as the theatre access fee in the ESAs as further described in “Certain Relationships and Related Party Transactions—Transactions with Founding Members—Exhibitor Services Agreements (ESAs)”;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24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NCM LLC’s status as a limited liability company;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Legacy contracts are those advertising contracts entered into by RCM and NCN prior to the formation of NCM LLC.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9520" w:type="dxa"/>
            <w:vAlign w:val="bottom"/>
            <w:gridSpan w:val="3"/>
          </w:tcPr>
          <w:p>
            <w:pPr>
              <w:ind w:left="100"/>
              <w:spacing w:after="0"/>
              <w:rPr>
                <w:sz w:val="20"/>
                <w:szCs w:val="20"/>
                <w:color w:val="auto"/>
              </w:rPr>
            </w:pPr>
            <w:r>
              <w:rPr>
                <w:rFonts w:ascii="Arial" w:cs="Arial" w:eastAsia="Arial" w:hAnsi="Arial"/>
                <w:sz w:val="18"/>
                <w:szCs w:val="18"/>
                <w:color w:val="auto"/>
                <w:w w:val="94"/>
              </w:rPr>
              <w:t>the completion of the non-cash recapitalization of NCM LLC pursuant to which (i) Founding Members of NCM LLC will receive</w:t>
            </w:r>
          </w:p>
        </w:tc>
        <w:tc>
          <w:tcPr>
            <w:tcW w:w="1220" w:type="dxa"/>
            <w:vAlign w:val="bottom"/>
          </w:tcPr>
          <w:p>
            <w:pPr>
              <w:ind w:left="320"/>
              <w:spacing w:after="0"/>
              <w:rPr>
                <w:sz w:val="20"/>
                <w:szCs w:val="20"/>
                <w:color w:val="auto"/>
              </w:rPr>
            </w:pPr>
            <w:r>
              <w:rPr>
                <w:rFonts w:ascii="Arial" w:cs="Arial" w:eastAsia="Arial" w:hAnsi="Arial"/>
                <w:sz w:val="18"/>
                <w:szCs w:val="18"/>
                <w:color w:val="auto"/>
              </w:rPr>
              <w:t>common</w:t>
            </w:r>
          </w:p>
        </w:tc>
      </w:tr>
      <w:tr>
        <w:trPr>
          <w:trHeight w:val="216"/>
        </w:trPr>
        <w:tc>
          <w:tcPr>
            <w:tcW w:w="14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membership units and</w:t>
            </w:r>
          </w:p>
        </w:tc>
        <w:tc>
          <w:tcPr>
            <w:tcW w:w="8780" w:type="dxa"/>
            <w:vAlign w:val="bottom"/>
            <w:gridSpan w:val="3"/>
          </w:tcPr>
          <w:p>
            <w:pPr>
              <w:ind w:left="300"/>
              <w:spacing w:after="0"/>
              <w:rPr>
                <w:sz w:val="20"/>
                <w:szCs w:val="20"/>
                <w:color w:val="auto"/>
              </w:rPr>
            </w:pPr>
            <w:r>
              <w:rPr>
                <w:rFonts w:ascii="Arial" w:cs="Arial" w:eastAsia="Arial" w:hAnsi="Arial"/>
                <w:sz w:val="18"/>
                <w:szCs w:val="18"/>
                <w:color w:val="auto"/>
                <w:w w:val="92"/>
              </w:rPr>
              <w:t>preferred membership units in exchange for each outstanding common membership unit and (ii) NCM LLC will split</w:t>
            </w:r>
          </w:p>
        </w:tc>
      </w:tr>
      <w:tr>
        <w:trPr>
          <w:trHeight w:val="216"/>
        </w:trPr>
        <w:tc>
          <w:tcPr>
            <w:tcW w:w="140" w:type="dxa"/>
            <w:vAlign w:val="bottom"/>
          </w:tcPr>
          <w:p>
            <w:pPr>
              <w:spacing w:after="0"/>
              <w:rPr>
                <w:sz w:val="18"/>
                <w:szCs w:val="18"/>
                <w:color w:val="auto"/>
              </w:rPr>
            </w:pPr>
          </w:p>
        </w:tc>
        <w:tc>
          <w:tcPr>
            <w:tcW w:w="10740" w:type="dxa"/>
            <w:vAlign w:val="bottom"/>
            <w:gridSpan w:val="4"/>
          </w:tcPr>
          <w:p>
            <w:pPr>
              <w:ind w:left="100"/>
              <w:spacing w:after="0"/>
              <w:rPr>
                <w:sz w:val="20"/>
                <w:szCs w:val="20"/>
                <w:color w:val="auto"/>
              </w:rPr>
            </w:pPr>
            <w:r>
              <w:rPr>
                <w:rFonts w:ascii="Arial" w:cs="Arial" w:eastAsia="Arial" w:hAnsi="Arial"/>
                <w:sz w:val="18"/>
                <w:szCs w:val="18"/>
                <w:color w:val="auto"/>
                <w:w w:val="88"/>
              </w:rPr>
              <w:t>the number of outstanding common membership units so that a common membership unit can be acquired with the proceeds from the initial offering of</w:t>
            </w:r>
          </w:p>
        </w:tc>
      </w:tr>
      <w:tr>
        <w:trPr>
          <w:trHeight w:val="222"/>
        </w:trPr>
        <w:tc>
          <w:tcPr>
            <w:tcW w:w="140" w:type="dxa"/>
            <w:vAlign w:val="bottom"/>
          </w:tcPr>
          <w:p>
            <w:pPr>
              <w:spacing w:after="0"/>
              <w:rPr>
                <w:sz w:val="19"/>
                <w:szCs w:val="19"/>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one share of our common stock after underwriting discounts and commissions;</w:t>
            </w: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w w:val="90"/>
              </w:rPr>
              <w:t>the completion of the offering and the use of proceeds therefrom as set forth in this prospectus, including our acquisition of</w:t>
            </w: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 of the common</w:t>
            </w:r>
          </w:p>
        </w:tc>
      </w:tr>
    </w:tbl>
    <w:p>
      <w:pPr>
        <w:ind w:left="780" w:right="340"/>
        <w:spacing w:after="0" w:line="261" w:lineRule="auto"/>
        <w:rPr>
          <w:sz w:val="20"/>
          <w:szCs w:val="20"/>
          <w:color w:val="auto"/>
        </w:rPr>
      </w:pPr>
      <w:r>
        <w:rPr>
          <w:rFonts w:ascii="Arial" w:cs="Arial" w:eastAsia="Arial" w:hAnsi="Arial"/>
          <w:sz w:val="18"/>
          <w:szCs w:val="18"/>
          <w:color w:val="auto"/>
        </w:rPr>
        <w:t>membership units of NCM LLC, which will be accounted for by our expected consolidation of NCM LLC, as discussed in Note 4 to the pro forma consolidated balance sheet; and</w:t>
      </w:r>
    </w:p>
    <w:p>
      <w:pPr>
        <w:spacing w:after="0" w:line="57" w:lineRule="exact"/>
        <w:rPr>
          <w:sz w:val="20"/>
          <w:szCs w:val="20"/>
          <w:color w:val="auto"/>
        </w:rPr>
      </w:pPr>
    </w:p>
    <w:p>
      <w:pPr>
        <w:ind w:left="780" w:right="180" w:hanging="249"/>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the preferred membership units of NCM LLC will be redeemed from the proceeds of the term loan portion of a new senior secured credit facility.</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You should read this unaudited pro forma condensed consolidated financial information together with the other information contained in this prospectus, including “Corporate History and Reorganization,” “Financing Transaction,” “Management’s Discussion and Analysis of Financial Condition and Results of Operations,” our audited historical financial statements and the notes thereto included elsewhere in this prospectus, and our unaudited historical interim consolidated financial statements and the notes thereto included elsewhere in this prospectus.</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unaudited pro forma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prospectus,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and as of June 29, 2006, with respect to the pro forma balance sheet. The pro forma consolidated financial information also does not project the results of operations or financial position for any future period or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29,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RCM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NCN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NCM LLC</w:t>
            </w:r>
          </w:p>
        </w:tc>
        <w:tc>
          <w:tcPr>
            <w:tcW w:w="20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Three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9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78"/>
              <w:spacing w:after="0"/>
              <w:rPr>
                <w:sz w:val="20"/>
                <w:szCs w:val="20"/>
                <w:color w:val="auto"/>
              </w:rPr>
            </w:pPr>
            <w:r>
              <w:rPr>
                <w:rFonts w:ascii="Arial" w:cs="Arial" w:eastAsia="Arial" w:hAnsi="Arial"/>
                <w:sz w:val="14"/>
                <w:szCs w:val="14"/>
                <w:b w:val="1"/>
                <w:bCs w:val="1"/>
                <w:color w:val="auto"/>
              </w:rPr>
              <w:t>NCM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1"/>
                <w:szCs w:val="11"/>
                <w:color w:val="auto"/>
              </w:rPr>
            </w:pPr>
          </w:p>
        </w:tc>
        <w:tc>
          <w:tcPr>
            <w:tcW w:w="5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0"/>
              </w:rPr>
              <w:t>March 31,</w:t>
            </w: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98"/>
              <w:spacing w:after="0" w:line="149" w:lineRule="exact"/>
              <w:rPr>
                <w:sz w:val="20"/>
                <w:szCs w:val="20"/>
                <w:color w:val="auto"/>
              </w:rPr>
            </w:pPr>
            <w:r>
              <w:rPr>
                <w:rFonts w:ascii="Arial" w:cs="Arial" w:eastAsia="Arial" w:hAnsi="Arial"/>
                <w:sz w:val="14"/>
                <w:szCs w:val="14"/>
                <w:b w:val="1"/>
                <w:bCs w:val="1"/>
                <w:color w:val="auto"/>
                <w:w w:val="87"/>
              </w:rPr>
              <w:t>Historical</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NCM LLC</w:t>
            </w:r>
          </w:p>
        </w:tc>
        <w:tc>
          <w:tcPr>
            <w:tcW w:w="26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1"/>
              </w:rPr>
              <w:t>Historical</w:t>
            </w:r>
          </w:p>
        </w:tc>
        <w:tc>
          <w:tcPr>
            <w:tcW w:w="2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8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Historical</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2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As Adjusted</w:t>
            </w:r>
          </w:p>
        </w:tc>
        <w:tc>
          <w:tcPr>
            <w:tcW w:w="0" w:type="dxa"/>
            <w:vAlign w:val="bottom"/>
          </w:tcPr>
          <w:p>
            <w:pPr>
              <w:spacing w:after="0"/>
              <w:rPr>
                <w:sz w:val="1"/>
                <w:szCs w:val="1"/>
                <w:color w:val="auto"/>
              </w:rPr>
            </w:pPr>
          </w:p>
        </w:tc>
      </w:tr>
      <w:tr>
        <w:trPr>
          <w:trHeight w:val="168"/>
        </w:trPr>
        <w:tc>
          <w:tcPr>
            <w:tcW w:w="382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in millions,</w:t>
            </w: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73"/>
              </w:rPr>
              <w:t>except</w:t>
            </w:r>
          </w:p>
        </w:tc>
        <w:tc>
          <w:tcPr>
            <w:tcW w:w="74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jc w:val="right"/>
              <w:ind w:right="78"/>
              <w:spacing w:after="0"/>
              <w:rPr>
                <w:sz w:val="20"/>
                <w:szCs w:val="20"/>
                <w:color w:val="auto"/>
              </w:rPr>
            </w:pPr>
            <w:r>
              <w:rPr>
                <w:rFonts w:ascii="Arial" w:cs="Arial" w:eastAsia="Arial" w:hAnsi="Arial"/>
                <w:sz w:val="12"/>
                <w:szCs w:val="12"/>
                <w:b w:val="1"/>
                <w:bCs w:val="1"/>
                <w:color w:val="auto"/>
                <w:w w:val="76"/>
              </w:rPr>
              <w:t>data)</w:t>
            </w:r>
          </w:p>
        </w:tc>
        <w:tc>
          <w:tcPr>
            <w:tcW w:w="2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right"/>
              <w:ind w:right="258"/>
              <w:spacing w:after="0"/>
              <w:rPr>
                <w:sz w:val="20"/>
                <w:szCs w:val="20"/>
                <w:color w:val="auto"/>
              </w:rPr>
            </w:pPr>
            <w:r>
              <w:rPr>
                <w:rFonts w:ascii="Arial" w:cs="Arial" w:eastAsia="Arial" w:hAnsi="Arial"/>
                <w:sz w:val="14"/>
                <w:szCs w:val="14"/>
                <w:color w:val="auto"/>
              </w:rPr>
              <w:t>88.0</w:t>
            </w:r>
            <w:r>
              <w:rPr>
                <w:rFonts w:ascii="Arial" w:cs="Arial" w:eastAsia="Arial" w:hAnsi="Arial"/>
                <w:sz w:val="22"/>
                <w:szCs w:val="22"/>
                <w:color w:val="auto"/>
                <w:vertAlign w:val="superscript"/>
              </w:rPr>
              <w:t>2</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20" w:type="dxa"/>
            <w:vAlign w:val="bottom"/>
          </w:tcPr>
          <w:p>
            <w:pPr>
              <w:ind w:left="440"/>
              <w:spacing w:after="0" w:line="144" w:lineRule="exact"/>
              <w:rPr>
                <w:sz w:val="20"/>
                <w:szCs w:val="20"/>
                <w:color w:val="auto"/>
              </w:rPr>
            </w:pPr>
            <w:r>
              <w:rPr>
                <w:rFonts w:ascii="Arial" w:cs="Arial" w:eastAsia="Arial" w:hAnsi="Arial"/>
                <w:sz w:val="14"/>
                <w:szCs w:val="14"/>
                <w:color w:val="auto"/>
              </w:rPr>
              <w:t>Advertising</w:t>
            </w:r>
          </w:p>
        </w:tc>
        <w:tc>
          <w:tcPr>
            <w:tcW w:w="80" w:type="dxa"/>
            <w:vAlign w:val="bottom"/>
          </w:tcPr>
          <w:p>
            <w:pPr>
              <w:spacing w:after="0" w:line="144"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56.0</w:t>
            </w:r>
          </w:p>
        </w:tc>
        <w:tc>
          <w:tcPr>
            <w:tcW w:w="160" w:type="dxa"/>
            <w:vAlign w:val="bottom"/>
          </w:tcPr>
          <w:p>
            <w:pPr>
              <w:spacing w:after="0"/>
              <w:rPr>
                <w:sz w:val="12"/>
                <w:szCs w:val="12"/>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4" w:lineRule="exact"/>
              <w:rPr>
                <w:sz w:val="20"/>
                <w:szCs w:val="20"/>
                <w:color w:val="auto"/>
              </w:rPr>
            </w:pPr>
            <w:r>
              <w:rPr>
                <w:rFonts w:ascii="Arial" w:cs="Arial" w:eastAsia="Arial" w:hAnsi="Arial"/>
                <w:sz w:val="14"/>
                <w:szCs w:val="14"/>
                <w:color w:val="auto"/>
              </w:rPr>
              <w:t>15.6</w:t>
            </w:r>
          </w:p>
        </w:tc>
        <w:tc>
          <w:tcPr>
            <w:tcW w:w="340" w:type="dxa"/>
            <w:vAlign w:val="bottom"/>
            <w:gridSpan w:val="2"/>
          </w:tcPr>
          <w:p>
            <w:pPr>
              <w:ind w:left="260"/>
              <w:spacing w:after="0" w:line="144"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4"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340" w:type="dxa"/>
            <w:vAlign w:val="bottom"/>
            <w:gridSpan w:val="2"/>
          </w:tcPr>
          <w:p>
            <w:pPr>
              <w:ind w:left="220"/>
              <w:spacing w:after="0" w:line="144"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4" w:lineRule="exact"/>
              <w:rPr>
                <w:sz w:val="20"/>
                <w:szCs w:val="20"/>
                <w:color w:val="auto"/>
              </w:rPr>
            </w:pPr>
            <w:r>
              <w:rPr>
                <w:rFonts w:ascii="Arial" w:cs="Arial" w:eastAsia="Arial" w:hAnsi="Arial"/>
                <w:sz w:val="14"/>
                <w:szCs w:val="14"/>
                <w:color w:val="auto"/>
              </w:rPr>
              <w:t>84.9</w:t>
            </w:r>
          </w:p>
        </w:tc>
        <w:tc>
          <w:tcPr>
            <w:tcW w:w="180" w:type="dxa"/>
            <w:vAlign w:val="bottom"/>
          </w:tcPr>
          <w:p>
            <w:pPr>
              <w:spacing w:after="0"/>
              <w:rPr>
                <w:sz w:val="12"/>
                <w:szCs w:val="12"/>
                <w:color w:val="auto"/>
              </w:rPr>
            </w:pPr>
          </w:p>
        </w:tc>
        <w:tc>
          <w:tcPr>
            <w:tcW w:w="220" w:type="dxa"/>
            <w:vAlign w:val="bottom"/>
            <w:gridSpan w:val="2"/>
          </w:tcPr>
          <w:p>
            <w:pPr>
              <w:ind w:left="140"/>
              <w:spacing w:after="0" w:line="144" w:lineRule="exact"/>
              <w:rPr>
                <w:sz w:val="20"/>
                <w:szCs w:val="20"/>
                <w:color w:val="auto"/>
              </w:rPr>
            </w:pPr>
            <w:r>
              <w:rPr>
                <w:rFonts w:ascii="Arial" w:cs="Arial" w:eastAsia="Arial" w:hAnsi="Arial"/>
                <w:sz w:val="14"/>
                <w:szCs w:val="14"/>
                <w:color w:val="auto"/>
                <w:w w:val="76"/>
              </w:rPr>
              <w:t>$</w:t>
            </w:r>
          </w:p>
        </w:tc>
        <w:tc>
          <w:tcPr>
            <w:tcW w:w="1040" w:type="dxa"/>
            <w:vAlign w:val="bottom"/>
            <w:gridSpan w:val="2"/>
            <w:vMerge w:val="continue"/>
          </w:tcPr>
          <w:p>
            <w:pPr>
              <w:spacing w:after="0"/>
              <w:rPr>
                <w:sz w:val="12"/>
                <w:szCs w:val="12"/>
                <w:color w:val="auto"/>
              </w:rPr>
            </w:pPr>
          </w:p>
        </w:tc>
        <w:tc>
          <w:tcPr>
            <w:tcW w:w="200" w:type="dxa"/>
            <w:vAlign w:val="bottom"/>
          </w:tcPr>
          <w:p>
            <w:pPr>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rPr>
              <w:t>207.4</w:t>
            </w:r>
          </w:p>
        </w:tc>
        <w:tc>
          <w:tcPr>
            <w:tcW w:w="560" w:type="dxa"/>
            <w:vAlign w:val="bottom"/>
            <w:gridSpan w:val="2"/>
          </w:tcPr>
          <w:p>
            <w:pPr>
              <w:ind w:left="260"/>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4" w:lineRule="exact"/>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58"/>
              <w:spacing w:after="0" w:line="149" w:lineRule="exact"/>
              <w:rPr>
                <w:sz w:val="20"/>
                <w:szCs w:val="20"/>
                <w:color w:val="auto"/>
              </w:rPr>
            </w:pPr>
            <w:r>
              <w:rPr>
                <w:rFonts w:ascii="Arial" w:cs="Arial" w:eastAsia="Arial" w:hAnsi="Arial"/>
                <w:sz w:val="11"/>
                <w:szCs w:val="11"/>
                <w:color w:val="auto"/>
              </w:rPr>
              <w:t>34.5</w:t>
            </w:r>
            <w:r>
              <w:rPr>
                <w:rFonts w:ascii="Arial" w:cs="Arial" w:eastAsia="Arial" w:hAnsi="Arial"/>
                <w:sz w:val="17"/>
                <w:szCs w:val="17"/>
                <w:color w:val="auto"/>
                <w:vertAlign w:val="superscript"/>
              </w:rPr>
              <w:t>3</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440"/>
              <w:spacing w:after="0"/>
              <w:rPr>
                <w:sz w:val="20"/>
                <w:szCs w:val="20"/>
                <w:color w:val="auto"/>
              </w:rPr>
            </w:pPr>
            <w:r>
              <w:rPr>
                <w:rFonts w:ascii="Arial" w:cs="Arial" w:eastAsia="Arial" w:hAnsi="Arial"/>
                <w:sz w:val="14"/>
                <w:szCs w:val="14"/>
                <w:color w:val="auto"/>
              </w:rPr>
              <w:t>Administrative Fees—Members</w:t>
            </w:r>
          </w:p>
        </w:tc>
        <w:tc>
          <w:tcPr>
            <w:tcW w:w="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30.8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18"/>
              <w:spacing w:after="0" w:line="181" w:lineRule="exact"/>
              <w:rPr>
                <w:sz w:val="20"/>
                <w:szCs w:val="20"/>
                <w:color w:val="auto"/>
              </w:rPr>
            </w:pPr>
            <w:r>
              <w:rPr>
                <w:rFonts w:ascii="Arial" w:cs="Arial" w:eastAsia="Arial" w:hAnsi="Arial"/>
                <w:sz w:val="13"/>
                <w:szCs w:val="13"/>
                <w:color w:val="auto"/>
              </w:rPr>
              <w:t>(30.8)</w:t>
            </w:r>
            <w:r>
              <w:rPr>
                <w:rFonts w:ascii="Arial" w:cs="Arial" w:eastAsia="Arial" w:hAnsi="Arial"/>
                <w:sz w:val="20"/>
                <w:szCs w:val="20"/>
                <w:color w:val="auto"/>
                <w:vertAlign w:val="superscript"/>
              </w:rPr>
              <w:t>2</w:t>
            </w:r>
          </w:p>
        </w:tc>
        <w:tc>
          <w:tcPr>
            <w:tcW w:w="200" w:type="dxa"/>
            <w:vAlign w:val="bottom"/>
          </w:tcPr>
          <w:p>
            <w:pPr>
              <w:spacing w:after="0"/>
              <w:rPr>
                <w:sz w:val="15"/>
                <w:szCs w:val="15"/>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Meetings and Events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9"/>
        </w:trPr>
        <w:tc>
          <w:tcPr>
            <w:tcW w:w="3820" w:type="dxa"/>
            <w:vAlign w:val="bottom"/>
          </w:tcPr>
          <w:p>
            <w:pPr>
              <w:ind w:left="440"/>
              <w:spacing w:after="0" w:line="15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0.4</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6"/>
        </w:trPr>
        <w:tc>
          <w:tcPr>
            <w:tcW w:w="3820" w:type="dxa"/>
            <w:vAlign w:val="bottom"/>
          </w:tcPr>
          <w:p>
            <w:pPr>
              <w:ind w:left="880"/>
              <w:spacing w:after="0" w:line="155" w:lineRule="exact"/>
              <w:rPr>
                <w:sz w:val="20"/>
                <w:szCs w:val="20"/>
                <w:color w:val="auto"/>
              </w:rPr>
            </w:pPr>
            <w:r>
              <w:rPr>
                <w:rFonts w:ascii="Arial" w:cs="Arial" w:eastAsia="Arial" w:hAnsi="Arial"/>
                <w:sz w:val="14"/>
                <w:szCs w:val="14"/>
                <w:color w:val="auto"/>
              </w:rPr>
              <w:t>TOTAL REVENUE</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98.8</w:t>
            </w:r>
          </w:p>
        </w:tc>
        <w:tc>
          <w:tcPr>
            <w:tcW w:w="160" w:type="dxa"/>
            <w:vAlign w:val="bottom"/>
          </w:tcPr>
          <w:p>
            <w:pPr>
              <w:spacing w:after="0"/>
              <w:rPr>
                <w:sz w:val="13"/>
                <w:szCs w:val="13"/>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17.8</w:t>
            </w:r>
          </w:p>
        </w:tc>
        <w:tc>
          <w:tcPr>
            <w:tcW w:w="340" w:type="dxa"/>
            <w:vAlign w:val="bottom"/>
            <w:gridSpan w:val="2"/>
          </w:tcPr>
          <w:p>
            <w:pPr>
              <w:ind w:left="260"/>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3"/>
                <w:szCs w:val="13"/>
                <w:color w:val="auto"/>
              </w:rPr>
            </w:pPr>
          </w:p>
        </w:tc>
        <w:tc>
          <w:tcPr>
            <w:tcW w:w="3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129.9</w:t>
            </w:r>
          </w:p>
        </w:tc>
        <w:tc>
          <w:tcPr>
            <w:tcW w:w="180" w:type="dxa"/>
            <w:vAlign w:val="bottom"/>
          </w:tcPr>
          <w:p>
            <w:pPr>
              <w:spacing w:after="0"/>
              <w:rPr>
                <w:sz w:val="13"/>
                <w:szCs w:val="13"/>
                <w:color w:val="auto"/>
              </w:rPr>
            </w:pP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18"/>
              <w:spacing w:after="0" w:line="155" w:lineRule="exact"/>
              <w:rPr>
                <w:sz w:val="20"/>
                <w:szCs w:val="20"/>
                <w:color w:val="auto"/>
              </w:rPr>
            </w:pPr>
            <w:r>
              <w:rPr>
                <w:rFonts w:ascii="Arial" w:cs="Arial" w:eastAsia="Arial" w:hAnsi="Arial"/>
                <w:sz w:val="14"/>
                <w:szCs w:val="14"/>
                <w:color w:val="auto"/>
              </w:rPr>
              <w:t>91.7</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221.6</w:t>
            </w:r>
          </w:p>
        </w:tc>
        <w:tc>
          <w:tcPr>
            <w:tcW w:w="5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0.0</w:t>
            </w:r>
          </w:p>
        </w:tc>
        <w:tc>
          <w:tcPr>
            <w:tcW w:w="3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145"/>
        </w:trPr>
        <w:tc>
          <w:tcPr>
            <w:tcW w:w="3820" w:type="dxa"/>
            <w:vAlign w:val="bottom"/>
          </w:tcPr>
          <w:p>
            <w:pPr>
              <w:spacing w:after="0" w:line="145" w:lineRule="exact"/>
              <w:rPr>
                <w:sz w:val="20"/>
                <w:szCs w:val="20"/>
                <w:color w:val="auto"/>
              </w:rPr>
            </w:pPr>
            <w:r>
              <w:rPr>
                <w:rFonts w:ascii="Arial" w:cs="Arial" w:eastAsia="Arial" w:hAnsi="Arial"/>
                <w:sz w:val="14"/>
                <w:szCs w:val="14"/>
                <w:color w:val="auto"/>
              </w:rPr>
              <w:t>Expenses: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Advertising Operating Costs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Meetings / Events Operating Costs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4"/>
        </w:trPr>
        <w:tc>
          <w:tcPr>
            <w:tcW w:w="3820" w:type="dxa"/>
            <w:vAlign w:val="bottom"/>
          </w:tcPr>
          <w:p>
            <w:pPr>
              <w:ind w:left="440"/>
              <w:spacing w:after="0" w:line="144" w:lineRule="exact"/>
              <w:rPr>
                <w:sz w:val="20"/>
                <w:szCs w:val="20"/>
                <w:color w:val="auto"/>
              </w:rPr>
            </w:pPr>
            <w:r>
              <w:rPr>
                <w:rFonts w:ascii="Arial" w:cs="Arial" w:eastAsia="Arial" w:hAnsi="Arial"/>
                <w:sz w:val="14"/>
                <w:szCs w:val="14"/>
                <w:color w:val="auto"/>
              </w:rPr>
              <w:t>Network Costs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Circuit Share / Theatre Access Fee—Members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58"/>
              <w:spacing w:after="0" w:line="149" w:lineRule="exact"/>
              <w:rPr>
                <w:sz w:val="20"/>
                <w:szCs w:val="20"/>
                <w:color w:val="auto"/>
              </w:rPr>
            </w:pPr>
            <w:r>
              <w:rPr>
                <w:rFonts w:ascii="Arial" w:cs="Arial" w:eastAsia="Arial" w:hAnsi="Arial"/>
                <w:sz w:val="11"/>
                <w:szCs w:val="11"/>
                <w:color w:val="auto"/>
              </w:rPr>
              <w:t>57.2</w:t>
            </w:r>
            <w:r>
              <w:rPr>
                <w:rFonts w:ascii="Arial" w:cs="Arial" w:eastAsia="Arial" w:hAnsi="Arial"/>
                <w:sz w:val="17"/>
                <w:szCs w:val="17"/>
                <w:color w:val="auto"/>
                <w:vertAlign w:val="superscript"/>
              </w:rPr>
              <w:t>2</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18"/>
              <w:spacing w:after="0" w:line="181" w:lineRule="exact"/>
              <w:rPr>
                <w:sz w:val="20"/>
                <w:szCs w:val="20"/>
                <w:color w:val="auto"/>
              </w:rPr>
            </w:pPr>
            <w:r>
              <w:rPr>
                <w:rFonts w:ascii="Arial" w:cs="Arial" w:eastAsia="Arial" w:hAnsi="Arial"/>
                <w:sz w:val="13"/>
                <w:szCs w:val="13"/>
                <w:color w:val="auto"/>
              </w:rPr>
              <w:t>(66.3)</w:t>
            </w:r>
            <w:r>
              <w:rPr>
                <w:rFonts w:ascii="Arial" w:cs="Arial" w:eastAsia="Arial" w:hAnsi="Arial"/>
                <w:sz w:val="20"/>
                <w:szCs w:val="20"/>
                <w:color w:val="auto"/>
                <w:vertAlign w:val="superscript"/>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Selling and Marketing</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Administrative</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3820" w:type="dxa"/>
            <w:vAlign w:val="bottom"/>
          </w:tcPr>
          <w:p>
            <w:pPr>
              <w:ind w:left="440"/>
              <w:spacing w:after="0" w:line="149" w:lineRule="exact"/>
              <w:rPr>
                <w:sz w:val="20"/>
                <w:szCs w:val="20"/>
                <w:color w:val="auto"/>
              </w:rPr>
            </w:pPr>
            <w:r>
              <w:rPr>
                <w:rFonts w:ascii="Arial" w:cs="Arial" w:eastAsia="Arial" w:hAnsi="Arial"/>
                <w:sz w:val="14"/>
                <w:szCs w:val="14"/>
                <w:color w:val="auto"/>
              </w:rPr>
              <w:t>Deferred Stock Compensation</w:t>
            </w:r>
          </w:p>
        </w:tc>
        <w:tc>
          <w:tcPr>
            <w:tcW w:w="8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4"/>
        </w:trPr>
        <w:tc>
          <w:tcPr>
            <w:tcW w:w="3820" w:type="dxa"/>
            <w:vAlign w:val="bottom"/>
          </w:tcPr>
          <w:p>
            <w:pPr>
              <w:ind w:left="440"/>
              <w:spacing w:after="0" w:line="144" w:lineRule="exact"/>
              <w:rPr>
                <w:sz w:val="20"/>
                <w:szCs w:val="20"/>
                <w:color w:val="auto"/>
              </w:rPr>
            </w:pPr>
            <w:r>
              <w:rPr>
                <w:rFonts w:ascii="Arial" w:cs="Arial" w:eastAsia="Arial" w:hAnsi="Arial"/>
                <w:sz w:val="14"/>
                <w:szCs w:val="14"/>
                <w:color w:val="auto"/>
              </w:rPr>
              <w:t>Severance Plan Costs</w:t>
            </w: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4"/>
                <w:szCs w:val="14"/>
                <w:color w:val="auto"/>
              </w:rPr>
              <w:t>8.5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78"/>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rPr>
              <w:t>8.5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3820" w:type="dxa"/>
            <w:vAlign w:val="bottom"/>
          </w:tcPr>
          <w:p>
            <w:pPr>
              <w:ind w:left="440"/>
              <w:spacing w:after="0"/>
              <w:rPr>
                <w:sz w:val="20"/>
                <w:szCs w:val="20"/>
                <w:color w:val="auto"/>
              </w:rPr>
            </w:pPr>
            <w:r>
              <w:rPr>
                <w:rFonts w:ascii="Arial" w:cs="Arial" w:eastAsia="Arial" w:hAnsi="Arial"/>
                <w:sz w:val="14"/>
                <w:szCs w:val="14"/>
                <w:color w:val="auto"/>
              </w:rPr>
              <w:t>Restructuring Charge</w:t>
            </w:r>
          </w:p>
        </w:tc>
        <w:tc>
          <w:tcPr>
            <w:tcW w:w="8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18"/>
              <w:spacing w:after="0" w:line="181" w:lineRule="exact"/>
              <w:rPr>
                <w:sz w:val="20"/>
                <w:szCs w:val="20"/>
                <w:color w:val="auto"/>
              </w:rPr>
            </w:pPr>
            <w:r>
              <w:rPr>
                <w:rFonts w:ascii="Arial" w:cs="Arial" w:eastAsia="Arial" w:hAnsi="Arial"/>
                <w:sz w:val="13"/>
                <w:szCs w:val="13"/>
                <w:color w:val="auto"/>
              </w:rPr>
              <w:t>(0.8)</w:t>
            </w:r>
            <w:r>
              <w:rPr>
                <w:rFonts w:ascii="Arial" w:cs="Arial" w:eastAsia="Arial" w:hAnsi="Arial"/>
                <w:sz w:val="20"/>
                <w:szCs w:val="20"/>
                <w:color w:val="auto"/>
                <w:vertAlign w:val="superscript"/>
              </w:rPr>
              <w:t>6</w:t>
            </w:r>
          </w:p>
        </w:tc>
        <w:tc>
          <w:tcPr>
            <w:tcW w:w="200" w:type="dxa"/>
            <w:vAlign w:val="bottom"/>
          </w:tcPr>
          <w:p>
            <w:pPr>
              <w:spacing w:after="0"/>
              <w:rPr>
                <w:sz w:val="15"/>
                <w:szCs w:val="15"/>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20" w:type="dxa"/>
            <w:vAlign w:val="bottom"/>
          </w:tcPr>
          <w:p>
            <w:pPr>
              <w:ind w:left="440"/>
              <w:spacing w:after="0" w:line="159" w:lineRule="exact"/>
              <w:rPr>
                <w:sz w:val="20"/>
                <w:szCs w:val="20"/>
                <w:color w:val="auto"/>
              </w:rPr>
            </w:pPr>
            <w:r>
              <w:rPr>
                <w:rFonts w:ascii="Arial" w:cs="Arial" w:eastAsia="Arial" w:hAnsi="Arial"/>
                <w:sz w:val="14"/>
                <w:szCs w:val="14"/>
                <w:color w:val="auto"/>
              </w:rPr>
              <w:t>Depreciation</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0.4</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6"/>
        </w:trPr>
        <w:tc>
          <w:tcPr>
            <w:tcW w:w="3820" w:type="dxa"/>
            <w:vAlign w:val="bottom"/>
          </w:tcPr>
          <w:p>
            <w:pPr>
              <w:ind w:left="880"/>
              <w:spacing w:after="0" w:line="155" w:lineRule="exact"/>
              <w:rPr>
                <w:sz w:val="20"/>
                <w:szCs w:val="20"/>
                <w:color w:val="auto"/>
              </w:rPr>
            </w:pPr>
            <w:r>
              <w:rPr>
                <w:rFonts w:ascii="Arial" w:cs="Arial" w:eastAsia="Arial" w:hAnsi="Arial"/>
                <w:sz w:val="14"/>
                <w:szCs w:val="14"/>
                <w:color w:val="auto"/>
              </w:rPr>
              <w:t>TOTAL EXPENSES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105.7</w:t>
            </w:r>
          </w:p>
        </w:tc>
        <w:tc>
          <w:tcPr>
            <w:tcW w:w="160" w:type="dxa"/>
            <w:vAlign w:val="bottom"/>
          </w:tcPr>
          <w:p>
            <w:pPr>
              <w:spacing w:after="0"/>
              <w:rPr>
                <w:sz w:val="13"/>
                <w:szCs w:val="13"/>
                <w:color w:val="auto"/>
              </w:rPr>
            </w:pP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15.0</w:t>
            </w:r>
          </w:p>
        </w:tc>
        <w:tc>
          <w:tcPr>
            <w:tcW w:w="340" w:type="dxa"/>
            <w:vAlign w:val="bottom"/>
            <w:gridSpan w:val="2"/>
          </w:tcPr>
          <w:p>
            <w:pPr>
              <w:ind w:left="260"/>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3"/>
                <w:szCs w:val="13"/>
                <w:color w:val="auto"/>
              </w:rPr>
            </w:pPr>
          </w:p>
        </w:tc>
        <w:tc>
          <w:tcPr>
            <w:tcW w:w="3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135.8</w:t>
            </w:r>
          </w:p>
        </w:tc>
        <w:tc>
          <w:tcPr>
            <w:tcW w:w="180" w:type="dxa"/>
            <w:vAlign w:val="bottom"/>
          </w:tcPr>
          <w:p>
            <w:pPr>
              <w:spacing w:after="0"/>
              <w:rPr>
                <w:sz w:val="13"/>
                <w:szCs w:val="13"/>
                <w:color w:val="auto"/>
              </w:rPr>
            </w:pP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78"/>
              <w:spacing w:after="0" w:line="155" w:lineRule="exact"/>
              <w:rPr>
                <w:sz w:val="20"/>
                <w:szCs w:val="20"/>
                <w:color w:val="auto"/>
              </w:rPr>
            </w:pPr>
            <w:r>
              <w:rPr>
                <w:rFonts w:ascii="Arial" w:cs="Arial" w:eastAsia="Arial" w:hAnsi="Arial"/>
                <w:sz w:val="14"/>
                <w:szCs w:val="14"/>
                <w:color w:val="auto"/>
              </w:rPr>
              <w:t>(9.9)</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125.9</w:t>
            </w:r>
          </w:p>
        </w:tc>
        <w:tc>
          <w:tcPr>
            <w:tcW w:w="5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0.0</w:t>
            </w:r>
          </w:p>
        </w:tc>
        <w:tc>
          <w:tcPr>
            <w:tcW w:w="3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(6.9)</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78"/>
              <w:spacing w:after="0"/>
              <w:rPr>
                <w:sz w:val="20"/>
                <w:szCs w:val="20"/>
                <w:color w:val="auto"/>
              </w:rPr>
            </w:pPr>
            <w:r>
              <w:rPr>
                <w:rFonts w:ascii="Arial" w:cs="Arial" w:eastAsia="Arial" w:hAnsi="Arial"/>
                <w:sz w:val="14"/>
                <w:szCs w:val="14"/>
                <w:color w:val="auto"/>
              </w:rPr>
              <w:t>(5.9)</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18"/>
              <w:spacing w:after="0"/>
              <w:rPr>
                <w:sz w:val="20"/>
                <w:szCs w:val="20"/>
                <w:color w:val="auto"/>
              </w:rPr>
            </w:pPr>
            <w:r>
              <w:rPr>
                <w:rFonts w:ascii="Arial" w:cs="Arial" w:eastAsia="Arial" w:hAnsi="Arial"/>
                <w:sz w:val="14"/>
                <w:szCs w:val="14"/>
                <w:color w:val="auto"/>
              </w:rPr>
              <w:t>101.6</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95.7</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3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284"/>
        </w:trPr>
        <w:tc>
          <w:tcPr>
            <w:tcW w:w="3820" w:type="dxa"/>
            <w:vAlign w:val="bottom"/>
          </w:tcPr>
          <w:p>
            <w:pPr>
              <w:spacing w:after="0"/>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9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7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4"/>
                <w:szCs w:val="14"/>
                <w:color w:val="auto"/>
              </w:rPr>
              <w:t>Income / (Loss)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(6.9)</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78"/>
              <w:spacing w:after="0"/>
              <w:rPr>
                <w:sz w:val="20"/>
                <w:szCs w:val="20"/>
                <w:color w:val="auto"/>
              </w:rPr>
            </w:pPr>
            <w:r>
              <w:rPr>
                <w:rFonts w:ascii="Arial" w:cs="Arial" w:eastAsia="Arial" w:hAnsi="Arial"/>
                <w:sz w:val="14"/>
                <w:szCs w:val="14"/>
                <w:color w:val="auto"/>
              </w:rPr>
              <w:t>(5.9)</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18"/>
              <w:spacing w:after="0"/>
              <w:rPr>
                <w:sz w:val="20"/>
                <w:szCs w:val="20"/>
                <w:color w:val="auto"/>
              </w:rPr>
            </w:pPr>
            <w:r>
              <w:rPr>
                <w:rFonts w:ascii="Arial" w:cs="Arial" w:eastAsia="Arial" w:hAnsi="Arial"/>
                <w:sz w:val="14"/>
                <w:szCs w:val="14"/>
                <w:color w:val="auto"/>
              </w:rPr>
              <w:t>101.6</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95.7</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ind w:right="218"/>
              <w:spacing w:after="0"/>
              <w:rPr>
                <w:sz w:val="20"/>
                <w:szCs w:val="20"/>
                <w:color w:val="auto"/>
              </w:rPr>
            </w:pPr>
            <w:r>
              <w:rPr>
                <w:rFonts w:ascii="Arial" w:cs="Arial" w:eastAsia="Arial" w:hAnsi="Arial"/>
                <w:sz w:val="14"/>
                <w:szCs w:val="14"/>
                <w:color w:val="auto"/>
              </w:rPr>
              <w:t>(0.3)</w:t>
            </w:r>
            <w:r>
              <w:rPr>
                <w:rFonts w:ascii="Arial" w:cs="Arial" w:eastAsia="Arial" w:hAnsi="Arial"/>
                <w:sz w:val="22"/>
                <w:szCs w:val="22"/>
                <w:color w:val="auto"/>
                <w:vertAlign w:val="superscript"/>
              </w:rPr>
              <w:t>5</w:t>
            </w:r>
          </w:p>
        </w:tc>
        <w:tc>
          <w:tcPr>
            <w:tcW w:w="200" w:type="dxa"/>
            <w:vAlign w:val="bottom"/>
          </w:tcPr>
          <w:p>
            <w:pPr>
              <w:spacing w:after="0"/>
              <w:rPr>
                <w:sz w:val="23"/>
                <w:szCs w:val="23"/>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88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340" w:type="dxa"/>
            <w:vAlign w:val="bottom"/>
            <w:gridSpan w:val="2"/>
          </w:tcPr>
          <w:p>
            <w:pPr>
              <w:ind w:left="260"/>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w:t>
            </w:r>
          </w:p>
        </w:tc>
        <w:tc>
          <w:tcPr>
            <w:tcW w:w="3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78"/>
              <w:spacing w:after="0" w:line="155" w:lineRule="exact"/>
              <w:rPr>
                <w:sz w:val="20"/>
                <w:szCs w:val="20"/>
                <w:color w:val="auto"/>
              </w:rPr>
            </w:pPr>
            <w:r>
              <w:rPr>
                <w:rFonts w:ascii="Arial" w:cs="Arial" w:eastAsia="Arial" w:hAnsi="Arial"/>
                <w:sz w:val="14"/>
                <w:szCs w:val="14"/>
                <w:color w:val="auto"/>
              </w:rPr>
              <w:t>(6.2)</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18"/>
              <w:spacing w:after="0" w:line="155" w:lineRule="exact"/>
              <w:rPr>
                <w:sz w:val="20"/>
                <w:szCs w:val="20"/>
                <w:color w:val="auto"/>
              </w:rPr>
            </w:pPr>
            <w:r>
              <w:rPr>
                <w:rFonts w:ascii="Arial" w:cs="Arial" w:eastAsia="Arial" w:hAnsi="Arial"/>
                <w:sz w:val="14"/>
                <w:szCs w:val="14"/>
                <w:color w:val="auto"/>
              </w:rPr>
              <w:t>101.9</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95.7</w:t>
            </w:r>
          </w:p>
        </w:tc>
        <w:tc>
          <w:tcPr>
            <w:tcW w:w="5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880"/>
              <w:spacing w:after="0"/>
              <w:rPr>
                <w:sz w:val="20"/>
                <w:szCs w:val="20"/>
                <w:color w:val="auto"/>
              </w:rPr>
            </w:pPr>
            <w:r>
              <w:rPr>
                <w:rFonts w:ascii="Arial" w:cs="Arial" w:eastAsia="Arial" w:hAnsi="Arial"/>
                <w:sz w:val="14"/>
                <w:szCs w:val="14"/>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880"/>
              <w:spacing w:after="0"/>
              <w:rPr>
                <w:sz w:val="20"/>
                <w:szCs w:val="20"/>
                <w:color w:val="auto"/>
              </w:rPr>
            </w:pPr>
            <w:r>
              <w:rPr>
                <w:rFonts w:ascii="Arial" w:cs="Arial" w:eastAsia="Arial" w:hAnsi="Arial"/>
                <w:sz w:val="14"/>
                <w:szCs w:val="14"/>
                <w:color w:val="auto"/>
              </w:rPr>
              <w:t>Weighted Average Shares Outstanding</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29,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NCM LLC</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Three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Months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 2006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72"/>
              <w:spacing w:after="0" w:line="149" w:lineRule="exact"/>
              <w:rPr>
                <w:sz w:val="20"/>
                <w:szCs w:val="20"/>
                <w:color w:val="auto"/>
              </w:rPr>
            </w:pPr>
            <w:r>
              <w:rPr>
                <w:rFonts w:ascii="Arial" w:cs="Arial" w:eastAsia="Arial" w:hAnsi="Arial"/>
                <w:sz w:val="14"/>
                <w:szCs w:val="14"/>
                <w:b w:val="1"/>
                <w:bCs w:val="1"/>
                <w:color w:val="auto"/>
                <w:w w:val="84"/>
              </w:rPr>
              <w:t>Historical</w:t>
            </w:r>
          </w:p>
        </w:tc>
        <w:tc>
          <w:tcPr>
            <w:tcW w:w="3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NCM LLC</w:t>
            </w:r>
          </w:p>
        </w:tc>
        <w:tc>
          <w:tcPr>
            <w:tcW w:w="20" w:type="dxa"/>
            <w:vAlign w:val="bottom"/>
          </w:tcPr>
          <w:p>
            <w:pPr>
              <w:spacing w:after="0"/>
              <w:rPr>
                <w:sz w:val="12"/>
                <w:szCs w:val="12"/>
                <w:color w:val="auto"/>
              </w:rPr>
            </w:pP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Historical</w:t>
            </w:r>
          </w:p>
        </w:tc>
        <w:tc>
          <w:tcPr>
            <w:tcW w:w="3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As Adjusted</w:t>
            </w:r>
          </w:p>
        </w:tc>
        <w:tc>
          <w:tcPr>
            <w:tcW w:w="0" w:type="dxa"/>
            <w:vAlign w:val="bottom"/>
          </w:tcPr>
          <w:p>
            <w:pPr>
              <w:spacing w:after="0"/>
              <w:rPr>
                <w:sz w:val="1"/>
                <w:szCs w:val="1"/>
                <w:color w:val="auto"/>
              </w:rPr>
            </w:pPr>
          </w:p>
        </w:tc>
      </w:tr>
      <w:tr>
        <w:trPr>
          <w:trHeight w:val="168"/>
        </w:trPr>
        <w:tc>
          <w:tcPr>
            <w:tcW w:w="50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w w:val="95"/>
              </w:rPr>
              <w:t>in millions,</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except per</w:t>
            </w:r>
          </w:p>
        </w:tc>
        <w:tc>
          <w:tcPr>
            <w:tcW w:w="620" w:type="dxa"/>
            <w:vAlign w:val="bottom"/>
          </w:tcPr>
          <w:p>
            <w:pPr>
              <w:spacing w:after="0" w:line="155" w:lineRule="exact"/>
              <w:rPr>
                <w:sz w:val="20"/>
                <w:szCs w:val="20"/>
                <w:color w:val="auto"/>
              </w:rPr>
            </w:pPr>
            <w:r>
              <w:rPr>
                <w:rFonts w:ascii="Arial" w:cs="Arial" w:eastAsia="Arial" w:hAnsi="Arial"/>
                <w:sz w:val="14"/>
                <w:szCs w:val="14"/>
                <w:b w:val="1"/>
                <w:bCs w:val="1"/>
                <w:color w:val="auto"/>
                <w:w w:val="80"/>
              </w:rPr>
              <w:t>share data)</w:t>
            </w: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c>
          <w:tcPr>
            <w:tcW w:w="38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6.2</w:t>
            </w:r>
            <w:r>
              <w:rPr>
                <w:rFonts w:ascii="Arial" w:cs="Arial" w:eastAsia="Arial" w:hAnsi="Arial"/>
                <w:sz w:val="11"/>
                <w:szCs w:val="11"/>
                <w:color w:val="auto"/>
              </w:rPr>
              <w:t>2</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68.1</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11.7</w:t>
            </w:r>
            <w:r>
              <w:rPr>
                <w:rFonts w:ascii="Arial" w:cs="Arial" w:eastAsia="Arial" w:hAnsi="Arial"/>
                <w:sz w:val="11"/>
                <w:szCs w:val="11"/>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Administrative Fees—Members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72"/>
              <w:spacing w:after="0" w:line="217" w:lineRule="exact"/>
              <w:rPr>
                <w:sz w:val="20"/>
                <w:szCs w:val="20"/>
                <w:color w:val="auto"/>
              </w:rPr>
            </w:pPr>
            <w:r>
              <w:rPr>
                <w:rFonts w:ascii="Arial" w:cs="Arial" w:eastAsia="Arial" w:hAnsi="Arial"/>
                <w:sz w:val="18"/>
                <w:szCs w:val="18"/>
                <w:color w:val="auto"/>
              </w:rPr>
              <w:t>(2.0)</w:t>
            </w:r>
            <w:r>
              <w:rPr>
                <w:rFonts w:ascii="Arial" w:cs="Arial" w:eastAsia="Arial" w:hAnsi="Arial"/>
                <w:sz w:val="22"/>
                <w:szCs w:val="22"/>
                <w:color w:val="auto"/>
                <w:vertAlign w:val="superscript"/>
              </w:rPr>
              <w:t>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Meetings and Events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73.0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2.4</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Meetings / Events Operating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Circuit Share / Theatre Access Fee—Members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99"/>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72"/>
              <w:spacing w:after="0"/>
              <w:rPr>
                <w:sz w:val="20"/>
                <w:szCs w:val="20"/>
                <w:color w:val="auto"/>
              </w:rPr>
            </w:pPr>
            <w:r>
              <w:rPr>
                <w:rFonts w:ascii="Arial" w:cs="Arial" w:eastAsia="Arial" w:hAnsi="Arial"/>
                <w:sz w:val="18"/>
                <w:szCs w:val="18"/>
                <w:color w:val="auto"/>
              </w:rPr>
              <w:t>(26.2)</w:t>
            </w:r>
            <w:r>
              <w:rPr>
                <w:rFonts w:ascii="Arial" w:cs="Arial" w:eastAsia="Arial" w:hAnsi="Arial"/>
                <w:sz w:val="22"/>
                <w:szCs w:val="22"/>
                <w:color w:val="auto"/>
                <w:vertAlign w:val="superscript"/>
              </w:rPr>
              <w:t>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44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020" w:type="dxa"/>
            <w:vAlign w:val="bottom"/>
          </w:tcPr>
          <w:p>
            <w:pPr>
              <w:ind w:left="88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(22.0)</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36.2</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36.8</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502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5020" w:type="dxa"/>
            <w:vAlign w:val="bottom"/>
            <w:vMerge w:val="restart"/>
          </w:tcPr>
          <w:p>
            <w:pPr>
              <w:spacing w:after="0"/>
              <w:rPr>
                <w:sz w:val="20"/>
                <w:szCs w:val="20"/>
                <w:color w:val="auto"/>
              </w:rPr>
            </w:pPr>
            <w:r>
              <w:rPr>
                <w:rFonts w:ascii="Arial" w:cs="Arial" w:eastAsia="Arial" w:hAnsi="Arial"/>
                <w:sz w:val="18"/>
                <w:szCs w:val="18"/>
                <w:color w:val="auto"/>
              </w:rPr>
              <w:t>Income / (Loss) Before Income Taxes</w:t>
            </w: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0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36.7</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50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0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52"/>
              <w:spacing w:after="0"/>
              <w:rPr>
                <w:sz w:val="20"/>
                <w:szCs w:val="20"/>
                <w:color w:val="auto"/>
              </w:rPr>
            </w:pPr>
            <w:r>
              <w:rPr>
                <w:rFonts w:ascii="Arial" w:cs="Arial" w:eastAsia="Arial" w:hAnsi="Arial"/>
                <w:sz w:val="18"/>
                <w:szCs w:val="18"/>
                <w:color w:val="auto"/>
              </w:rPr>
              <w:t>36.7</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880"/>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8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29,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NCM LLC</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29, 2006</w:t>
            </w:r>
          </w:p>
        </w:tc>
        <w:tc>
          <w:tcPr>
            <w:tcW w:w="100" w:type="dxa"/>
            <w:vAlign w:val="bottom"/>
          </w:tcPr>
          <w:p>
            <w:pPr>
              <w:spacing w:after="0"/>
              <w:rPr>
                <w:sz w:val="12"/>
                <w:szCs w:val="12"/>
                <w:color w:val="auto"/>
              </w:rPr>
            </w:pPr>
          </w:p>
        </w:tc>
        <w:tc>
          <w:tcPr>
            <w:tcW w:w="1340" w:type="dxa"/>
            <w:vAlign w:val="bottom"/>
            <w:gridSpan w:val="2"/>
          </w:tcPr>
          <w:p>
            <w:pPr>
              <w:jc w:val="right"/>
              <w:ind w:right="712"/>
              <w:spacing w:after="0" w:line="149" w:lineRule="exact"/>
              <w:rPr>
                <w:sz w:val="20"/>
                <w:szCs w:val="20"/>
                <w:color w:val="auto"/>
              </w:rPr>
            </w:pPr>
            <w:r>
              <w:rPr>
                <w:rFonts w:ascii="Arial" w:cs="Arial" w:eastAsia="Arial" w:hAnsi="Arial"/>
                <w:sz w:val="14"/>
                <w:szCs w:val="14"/>
                <w:b w:val="1"/>
                <w:bCs w:val="1"/>
                <w:color w:val="auto"/>
                <w:w w:val="84"/>
              </w:rPr>
              <w:t>Historical</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NCM LLC</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Transaction</w:t>
            </w:r>
          </w:p>
        </w:tc>
        <w:tc>
          <w:tcPr>
            <w:tcW w:w="3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Historical</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5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As Adjusted</w:t>
            </w:r>
          </w:p>
        </w:tc>
        <w:tc>
          <w:tcPr>
            <w:tcW w:w="0" w:type="dxa"/>
            <w:vAlign w:val="bottom"/>
          </w:tcPr>
          <w:p>
            <w:pPr>
              <w:spacing w:after="0"/>
              <w:rPr>
                <w:sz w:val="1"/>
                <w:szCs w:val="1"/>
                <w:color w:val="auto"/>
              </w:rPr>
            </w:pPr>
          </w:p>
        </w:tc>
      </w:tr>
      <w:tr>
        <w:trPr>
          <w:trHeight w:val="168"/>
        </w:trPr>
        <w:tc>
          <w:tcPr>
            <w:tcW w:w="53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81"/>
              </w:rPr>
              <w:t>in millions,</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except per</w:t>
            </w:r>
          </w:p>
        </w:tc>
        <w:tc>
          <w:tcPr>
            <w:tcW w:w="580" w:type="dxa"/>
            <w:vAlign w:val="bottom"/>
          </w:tcPr>
          <w:p>
            <w:pPr>
              <w:spacing w:after="0" w:line="155" w:lineRule="exact"/>
              <w:rPr>
                <w:sz w:val="20"/>
                <w:szCs w:val="20"/>
                <w:color w:val="auto"/>
              </w:rPr>
            </w:pPr>
            <w:r>
              <w:rPr>
                <w:rFonts w:ascii="Arial" w:cs="Arial" w:eastAsia="Arial" w:hAnsi="Arial"/>
                <w:sz w:val="14"/>
                <w:szCs w:val="14"/>
                <w:b w:val="1"/>
                <w:bCs w:val="1"/>
                <w:color w:val="auto"/>
                <w:w w:val="74"/>
              </w:rPr>
              <w:t>share data)</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106.4</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22.2</w:t>
            </w:r>
            <w:r>
              <w:rPr>
                <w:rFonts w:ascii="Arial" w:cs="Arial" w:eastAsia="Arial" w:hAnsi="Arial"/>
                <w:sz w:val="11"/>
                <w:szCs w:val="11"/>
                <w:color w:val="auto"/>
              </w:rPr>
              <w:t>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Administrative Fees—Members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12"/>
              <w:spacing w:after="0" w:line="217" w:lineRule="exact"/>
              <w:rPr>
                <w:sz w:val="20"/>
                <w:szCs w:val="20"/>
                <w:color w:val="auto"/>
              </w:rPr>
            </w:pPr>
            <w:r>
              <w:rPr>
                <w:rFonts w:ascii="Arial" w:cs="Arial" w:eastAsia="Arial" w:hAnsi="Arial"/>
                <w:sz w:val="18"/>
                <w:szCs w:val="18"/>
                <w:color w:val="auto"/>
              </w:rPr>
              <w:t>(3.5)</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Meetings and Events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320" w:type="dxa"/>
            <w:vAlign w:val="bottom"/>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2"/>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114.1</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Meetings / Events Operating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Circuit Share / Theatre Access Fee—Members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7.4</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99"/>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12"/>
              <w:spacing w:after="0"/>
              <w:rPr>
                <w:sz w:val="20"/>
                <w:szCs w:val="20"/>
                <w:color w:val="auto"/>
              </w:rPr>
            </w:pPr>
            <w:r>
              <w:rPr>
                <w:rFonts w:ascii="Arial" w:cs="Arial" w:eastAsia="Arial" w:hAnsi="Arial"/>
                <w:sz w:val="18"/>
                <w:szCs w:val="18"/>
                <w:color w:val="auto"/>
              </w:rPr>
              <w:t>(34.5)</w:t>
            </w:r>
            <w:r>
              <w:rPr>
                <w:rFonts w:ascii="Arial" w:cs="Arial" w:eastAsia="Arial" w:hAnsi="Arial"/>
                <w:sz w:val="22"/>
                <w:szCs w:val="22"/>
                <w:color w:val="auto"/>
                <w:vertAlign w:val="superscript"/>
              </w:rPr>
              <w:t>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44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532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320" w:type="dxa"/>
            <w:vAlign w:val="bottom"/>
          </w:tcPr>
          <w:p>
            <w:pPr>
              <w:ind w:left="88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2"/>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532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5320" w:type="dxa"/>
            <w:vAlign w:val="bottom"/>
            <w:vMerge w:val="restart"/>
          </w:tcPr>
          <w:p>
            <w:pPr>
              <w:spacing w:after="0"/>
              <w:rPr>
                <w:sz w:val="20"/>
                <w:szCs w:val="20"/>
                <w:color w:val="auto"/>
              </w:rPr>
            </w:pPr>
            <w:r>
              <w:rPr>
                <w:rFonts w:ascii="Arial" w:cs="Arial" w:eastAsia="Arial" w:hAnsi="Arial"/>
                <w:sz w:val="18"/>
                <w:szCs w:val="18"/>
                <w:color w:val="auto"/>
              </w:rPr>
              <w:t>Income / (Loss) Before Income Taxes</w:t>
            </w: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2"/>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46.1</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12"/>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46.1</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the Unaudited Consolidated Statements of Operations:</w:t>
      </w:r>
    </w:p>
    <w:p>
      <w:pPr>
        <w:spacing w:after="0" w:line="90" w:lineRule="exact"/>
        <w:rPr>
          <w:sz w:val="20"/>
          <w:szCs w:val="20"/>
          <w:color w:val="auto"/>
        </w:rPr>
      </w:pPr>
    </w:p>
    <w:p>
      <w:pPr>
        <w:ind w:left="440" w:right="240" w:hanging="348"/>
        <w:spacing w:after="0" w:line="268"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historical operating results for NCM LLC for the nine months ended December 29, 2005, and the historical operating results of RCM and NCN for the three months ended March 31, 2005.</w:t>
      </w:r>
    </w:p>
    <w:p>
      <w:pPr>
        <w:spacing w:after="0" w:line="50" w:lineRule="exact"/>
        <w:rPr>
          <w:rFonts w:ascii="Arial" w:cs="Arial" w:eastAsia="Arial" w:hAnsi="Arial"/>
          <w:sz w:val="18"/>
          <w:szCs w:val="18"/>
          <w:color w:val="auto"/>
        </w:rPr>
      </w:pPr>
    </w:p>
    <w:p>
      <w:pPr>
        <w:ind w:left="440" w:right="120" w:hanging="348"/>
        <w:spacing w:after="0" w:line="25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increase to advertising revenue to reflect the pro forma assignment from the Founding Members to NCM LLC of all legacy advertising contracts in accordance with the ESAs, based on the actual revenue generated from those legacy contracts, the reversal of the related legacy contract administrative fees historically recorded by NCM LLC, and the increase in circuit share expense resulting from the increased advertising revenue, computed as a percentage of revenue under our prior contractual arrangements with our Founding Members. Legacy advertising contracts are those contracts signed by RCM and NCN prior to the formation of NCM LLC. The pro forma impact of the ESAs on circuit share expense is included in the pro forma adjustment described in Note 4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80" w:hanging="348"/>
        <w:spacing w:after="0" w:line="25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pro forma effect of the revenue from the sale of additional theatre advertising inventory to the Founding Members, in accordance with the ESAs, in order for the Founding Members to fulfill their beverage concessionaire agreement on-screen advertising commitments. Inventory used to fulfill advertising commitments under the Founding Members’ beverage concessionaire agreements had been retained by the Founding Members under our prior contractual arrangements with our Founding Members, but will be made available to NCM LLC under the ESAs. This inventory will be sold to the Founding Members at a 30 second CPM equivalent for the 90 seconds used, and the pro forma adjustment is computed on the basis of the terms of the ESAs.</w:t>
      </w:r>
    </w:p>
    <w:p>
      <w:pPr>
        <w:spacing w:after="0" w:line="63" w:lineRule="exact"/>
        <w:rPr>
          <w:rFonts w:ascii="Arial" w:cs="Arial" w:eastAsia="Arial" w:hAnsi="Arial"/>
          <w:sz w:val="18"/>
          <w:szCs w:val="18"/>
          <w:color w:val="auto"/>
        </w:rPr>
      </w:pPr>
    </w:p>
    <w:p>
      <w:pPr>
        <w:ind w:left="440" w:hanging="348"/>
        <w:spacing w:after="0" w:line="298"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change in circuit share payments pursuant to the ESAs to be entered into in connection with this offering. Under the terms of our prior contracts with our Founding Members, the circuit share payments were based on varying percentages of advertising revenue. Under the ESAs, the theatre access fee payments will be based on a specified dollar amount per attendee and a specified dollar amount per digital screen. The pro forma adjustment was computed on the basis of the historic levels of theatre patronage and numbers of digital screens in the theatres.</w:t>
      </w:r>
    </w:p>
    <w:p>
      <w:pPr>
        <w:spacing w:after="0" w:line="31" w:lineRule="exact"/>
        <w:rPr>
          <w:rFonts w:ascii="Arial" w:cs="Arial" w:eastAsia="Arial" w:hAnsi="Arial"/>
          <w:sz w:val="16"/>
          <w:szCs w:val="16"/>
          <w:color w:val="auto"/>
        </w:rPr>
      </w:pPr>
    </w:p>
    <w:p>
      <w:pPr>
        <w:ind w:left="440" w:right="380" w:hanging="348"/>
        <w:spacing w:after="0" w:line="268"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elimination of the income tax provision of RCM and NCN related to their status as “C” corporations. Had they been part of NCM LLC during that period, they would not have recorded any income tax expense or benefit.</w:t>
      </w:r>
    </w:p>
    <w:p>
      <w:pPr>
        <w:spacing w:after="0" w:line="50" w:lineRule="exact"/>
        <w:rPr>
          <w:rFonts w:ascii="Arial" w:cs="Arial" w:eastAsia="Arial" w:hAnsi="Arial"/>
          <w:sz w:val="18"/>
          <w:szCs w:val="18"/>
          <w:color w:val="auto"/>
        </w:rPr>
      </w:pPr>
    </w:p>
    <w:p>
      <w:pPr>
        <w:ind w:left="440" w:hanging="34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elimination of non-recurring restructuring charges incurred by NCN in connection with the formation of NCM LLC.</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0" w:type="dxa"/>
            <w:vAlign w:val="bottom"/>
          </w:tcPr>
          <w:p>
            <w:pPr>
              <w:jc w:val="right"/>
              <w:ind w:right="38"/>
              <w:spacing w:after="0"/>
              <w:rPr>
                <w:sz w:val="20"/>
                <w:szCs w:val="20"/>
                <w:color w:val="auto"/>
              </w:rPr>
            </w:pPr>
            <w:r>
              <w:rPr>
                <w:rFonts w:ascii="Arial" w:cs="Arial" w:eastAsia="Arial" w:hAnsi="Arial"/>
                <w:sz w:val="16"/>
                <w:szCs w:val="16"/>
                <w:color w:val="auto"/>
                <w:w w:val="74"/>
              </w:rPr>
              <w:t>7.</w:t>
            </w:r>
          </w:p>
        </w:tc>
        <w:tc>
          <w:tcPr>
            <w:tcW w:w="8840" w:type="dxa"/>
            <w:vAlign w:val="bottom"/>
          </w:tcPr>
          <w:p>
            <w:pPr>
              <w:ind w:left="100"/>
              <w:spacing w:after="0"/>
              <w:rPr>
                <w:sz w:val="20"/>
                <w:szCs w:val="20"/>
                <w:color w:val="auto"/>
              </w:rPr>
            </w:pPr>
            <w:r>
              <w:rPr>
                <w:rFonts w:ascii="Arial" w:cs="Arial" w:eastAsia="Arial" w:hAnsi="Arial"/>
                <w:sz w:val="18"/>
                <w:szCs w:val="18"/>
                <w:color w:val="auto"/>
                <w:w w:val="89"/>
              </w:rPr>
              <w:t>Represents interest expense, including amortization of deferred financing fees, over the term of the loan of an estimated $</w:t>
            </w: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w w:val="95"/>
              </w:rPr>
              <w:t>million related to the</w:t>
            </w:r>
          </w:p>
        </w:tc>
        <w:tc>
          <w:tcPr>
            <w:tcW w:w="4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0600" w:type="dxa"/>
            <w:vAlign w:val="bottom"/>
            <w:gridSpan w:val="3"/>
          </w:tcPr>
          <w:p>
            <w:pPr>
              <w:ind w:left="100"/>
              <w:spacing w:after="0"/>
              <w:rPr>
                <w:sz w:val="20"/>
                <w:szCs w:val="20"/>
                <w:color w:val="auto"/>
              </w:rPr>
            </w:pPr>
            <w:r>
              <w:rPr>
                <w:rFonts w:ascii="Arial" w:cs="Arial" w:eastAsia="Arial" w:hAnsi="Arial"/>
                <w:sz w:val="18"/>
                <w:szCs w:val="18"/>
                <w:color w:val="auto"/>
                <w:w w:val="91"/>
              </w:rPr>
              <w:t>incurrence of an assumed $725 million of indebtedness under a new senior secured credit facility. The interest rate is assumed to be LIBOR plus</w:t>
            </w:r>
          </w:p>
        </w:tc>
        <w:tc>
          <w:tcPr>
            <w:tcW w:w="440" w:type="dxa"/>
            <w:vAlign w:val="bottom"/>
          </w:tcPr>
          <w:p>
            <w:pPr>
              <w:ind w:left="80"/>
              <w:spacing w:after="0"/>
              <w:rPr>
                <w:sz w:val="20"/>
                <w:szCs w:val="20"/>
                <w:color w:val="auto"/>
              </w:rPr>
            </w:pPr>
            <w:r>
              <w:rPr>
                <w:rFonts w:ascii="Arial" w:cs="Arial" w:eastAsia="Arial" w:hAnsi="Arial"/>
                <w:sz w:val="18"/>
                <w:szCs w:val="18"/>
                <w:color w:val="auto"/>
                <w:w w:val="80"/>
              </w:rPr>
              <w:t>basis</w:t>
            </w:r>
          </w:p>
        </w:tc>
      </w:tr>
      <w:tr>
        <w:trPr>
          <w:trHeight w:val="216"/>
        </w:trPr>
        <w:tc>
          <w:tcPr>
            <w:tcW w:w="240" w:type="dxa"/>
            <w:vAlign w:val="bottom"/>
          </w:tcPr>
          <w:p>
            <w:pPr>
              <w:spacing w:after="0"/>
              <w:rPr>
                <w:sz w:val="18"/>
                <w:szCs w:val="18"/>
                <w:color w:val="auto"/>
              </w:rPr>
            </w:pPr>
          </w:p>
        </w:tc>
        <w:tc>
          <w:tcPr>
            <w:tcW w:w="11040" w:type="dxa"/>
            <w:vAlign w:val="bottom"/>
            <w:gridSpan w:val="4"/>
          </w:tcPr>
          <w:p>
            <w:pPr>
              <w:ind w:left="100"/>
              <w:spacing w:after="0"/>
              <w:rPr>
                <w:sz w:val="20"/>
                <w:szCs w:val="20"/>
                <w:color w:val="auto"/>
              </w:rPr>
            </w:pPr>
            <w:r>
              <w:rPr>
                <w:rFonts w:ascii="Arial" w:cs="Arial" w:eastAsia="Arial" w:hAnsi="Arial"/>
                <w:sz w:val="18"/>
                <w:szCs w:val="18"/>
                <w:color w:val="auto"/>
                <w:w w:val="90"/>
              </w:rPr>
              <w:t>points. If applicable interest rate margins were to increase by 0.125%, our annual interest cost would increase by $   million. The size of the credit facility</w:t>
            </w:r>
          </w:p>
        </w:tc>
      </w:tr>
      <w:tr>
        <w:trPr>
          <w:trHeight w:val="222"/>
        </w:trPr>
        <w:tc>
          <w:tcPr>
            <w:tcW w:w="240" w:type="dxa"/>
            <w:vAlign w:val="bottom"/>
          </w:tcPr>
          <w:p>
            <w:pPr>
              <w:spacing w:after="0"/>
              <w:rPr>
                <w:sz w:val="19"/>
                <w:szCs w:val="19"/>
                <w:color w:val="auto"/>
              </w:rPr>
            </w:pPr>
          </w:p>
        </w:tc>
        <w:tc>
          <w:tcPr>
            <w:tcW w:w="10600" w:type="dxa"/>
            <w:vAlign w:val="bottom"/>
            <w:gridSpan w:val="3"/>
          </w:tcPr>
          <w:p>
            <w:pPr>
              <w:ind w:left="100"/>
              <w:spacing w:after="0"/>
              <w:rPr>
                <w:sz w:val="20"/>
                <w:szCs w:val="20"/>
                <w:color w:val="auto"/>
              </w:rPr>
            </w:pPr>
            <w:r>
              <w:rPr>
                <w:rFonts w:ascii="Arial" w:cs="Arial" w:eastAsia="Arial" w:hAnsi="Arial"/>
                <w:sz w:val="18"/>
                <w:szCs w:val="18"/>
                <w:color w:val="auto"/>
                <w:w w:val="95"/>
              </w:rPr>
              <w:t>is subject to change prior to its closing. For further discussion of the new senior secured credit facility, please see “Financing Transaction.”</w:t>
            </w:r>
          </w:p>
        </w:tc>
        <w:tc>
          <w:tcPr>
            <w:tcW w:w="440" w:type="dxa"/>
            <w:vAlign w:val="bottom"/>
          </w:tcPr>
          <w:p>
            <w:pPr>
              <w:spacing w:after="0"/>
              <w:rPr>
                <w:sz w:val="19"/>
                <w:szCs w:val="19"/>
                <w:color w:val="auto"/>
              </w:rPr>
            </w:pPr>
          </w:p>
        </w:tc>
      </w:tr>
      <w:tr>
        <w:trPr>
          <w:trHeight w:val="291"/>
        </w:trPr>
        <w:tc>
          <w:tcPr>
            <w:tcW w:w="240" w:type="dxa"/>
            <w:vAlign w:val="bottom"/>
          </w:tcPr>
          <w:p>
            <w:pPr>
              <w:jc w:val="right"/>
              <w:ind w:right="38"/>
              <w:spacing w:after="0"/>
              <w:rPr>
                <w:sz w:val="20"/>
                <w:szCs w:val="20"/>
                <w:color w:val="auto"/>
              </w:rPr>
            </w:pPr>
            <w:r>
              <w:rPr>
                <w:rFonts w:ascii="Arial" w:cs="Arial" w:eastAsia="Arial" w:hAnsi="Arial"/>
                <w:sz w:val="16"/>
                <w:szCs w:val="16"/>
                <w:color w:val="auto"/>
                <w:w w:val="74"/>
              </w:rPr>
              <w:t>8.</w:t>
            </w:r>
          </w:p>
        </w:tc>
        <w:tc>
          <w:tcPr>
            <w:tcW w:w="9260" w:type="dxa"/>
            <w:vAlign w:val="bottom"/>
            <w:gridSpan w:val="2"/>
          </w:tcPr>
          <w:p>
            <w:pPr>
              <w:ind w:left="100"/>
              <w:spacing w:after="0"/>
              <w:rPr>
                <w:sz w:val="20"/>
                <w:szCs w:val="20"/>
                <w:color w:val="auto"/>
              </w:rPr>
            </w:pPr>
            <w:r>
              <w:rPr>
                <w:rFonts w:ascii="Arial" w:cs="Arial" w:eastAsia="Arial" w:hAnsi="Arial"/>
                <w:sz w:val="18"/>
                <w:szCs w:val="18"/>
                <w:color w:val="auto"/>
                <w:w w:val="90"/>
              </w:rPr>
              <w:t>Represents adjustments to reflect minority interest expense resulting from the Founding Members’ ownership of approximately</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 of the NCM LLC</w:t>
            </w:r>
          </w:p>
        </w:tc>
      </w:tr>
      <w:tr>
        <w:trPr>
          <w:trHeight w:val="222"/>
        </w:trPr>
        <w:tc>
          <w:tcPr>
            <w:tcW w:w="24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common membership units outstanding immediately after this offering.</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75" w:lineRule="exact"/>
        <w:rPr>
          <w:sz w:val="20"/>
          <w:szCs w:val="20"/>
          <w:color w:val="auto"/>
        </w:rPr>
      </w:pPr>
    </w:p>
    <w:p>
      <w:pPr>
        <w:ind w:left="800" w:right="180" w:hanging="708"/>
        <w:spacing w:after="0" w:line="268" w:lineRule="auto"/>
        <w:tabs>
          <w:tab w:leader="none" w:pos="4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adjustments necessary to reflect federal and state income taxes on the income allocated from NCM LLC to NCM Inc. The assumed tax rate is %.</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29,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NCM LLC</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Historical</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Historical</w:t>
            </w:r>
          </w:p>
        </w:tc>
        <w:tc>
          <w:tcPr>
            <w:tcW w:w="5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NCM LLC</w:t>
            </w:r>
          </w:p>
        </w:tc>
        <w:tc>
          <w:tcPr>
            <w:tcW w:w="1200" w:type="dxa"/>
            <w:vAlign w:val="bottom"/>
            <w:gridSpan w:val="3"/>
          </w:tcPr>
          <w:p>
            <w:pPr>
              <w:jc w:val="right"/>
              <w:ind w:right="392"/>
              <w:spacing w:after="0" w:line="149" w:lineRule="exact"/>
              <w:rPr>
                <w:sz w:val="20"/>
                <w:szCs w:val="20"/>
                <w:color w:val="auto"/>
              </w:rPr>
            </w:pPr>
            <w:r>
              <w:rPr>
                <w:rFonts w:ascii="Arial" w:cs="Arial" w:eastAsia="Arial" w:hAnsi="Arial"/>
                <w:sz w:val="14"/>
                <w:szCs w:val="14"/>
                <w:b w:val="1"/>
                <w:bCs w:val="1"/>
                <w:color w:val="auto"/>
                <w:w w:val="88"/>
              </w:rPr>
              <w:t>Transaction</w:t>
            </w:r>
          </w:p>
        </w:tc>
        <w:tc>
          <w:tcPr>
            <w:tcW w:w="2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29, 2006</w:t>
            </w:r>
          </w:p>
        </w:tc>
        <w:tc>
          <w:tcPr>
            <w:tcW w:w="2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5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As Adjusted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4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4"/>
          </w:tcPr>
          <w:p>
            <w:pPr>
              <w:ind w:left="480"/>
              <w:spacing w:after="0" w:line="134"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Receivables, Net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Other Current Assets</w:t>
            </w:r>
          </w:p>
        </w:tc>
        <w:tc>
          <w:tcPr>
            <w:tcW w:w="3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4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3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Investment in NCM LLC</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Deferred Tax Assets</w:t>
            </w:r>
          </w:p>
        </w:tc>
        <w:tc>
          <w:tcPr>
            <w:tcW w:w="3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Pr>
          <w:p>
            <w:pPr>
              <w:jc w:val="right"/>
              <w:ind w:right="172"/>
              <w:spacing w:after="0"/>
              <w:rPr>
                <w:sz w:val="20"/>
                <w:szCs w:val="20"/>
                <w:color w:val="auto"/>
              </w:rPr>
            </w:pPr>
            <w:r>
              <w:rPr>
                <w:rFonts w:ascii="Arial" w:cs="Arial" w:eastAsia="Arial" w:hAnsi="Arial"/>
                <w:sz w:val="18"/>
                <w:szCs w:val="18"/>
                <w:color w:val="auto"/>
                <w:w w:val="81"/>
              </w:rPr>
              <w:t>(5)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3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line="204"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line="204"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line="204" w:lineRule="exact"/>
              <w:rPr>
                <w:sz w:val="20"/>
                <w:szCs w:val="20"/>
                <w:color w:val="auto"/>
              </w:rPr>
            </w:pPr>
            <w:r>
              <w:rPr>
                <w:rFonts w:ascii="Arial" w:cs="Arial" w:eastAsia="Arial" w:hAnsi="Arial"/>
                <w:sz w:val="18"/>
                <w:szCs w:val="18"/>
                <w:color w:val="auto"/>
              </w:rPr>
              <w:t>4.8</w:t>
            </w:r>
          </w:p>
        </w:tc>
        <w:tc>
          <w:tcPr>
            <w:tcW w:w="22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52"/>
              <w:spacing w:after="0" w:line="204"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line="204"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4"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Amounts Due to Members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Accrued Expenses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Deferred Revenue</w:t>
            </w:r>
          </w:p>
        </w:tc>
        <w:tc>
          <w:tcPr>
            <w:tcW w:w="3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4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440" w:type="dxa"/>
            <w:vAlign w:val="bottom"/>
          </w:tcPr>
          <w:p>
            <w:pPr>
              <w:spacing w:after="0"/>
              <w:rPr>
                <w:sz w:val="20"/>
                <w:szCs w:val="20"/>
                <w:color w:val="auto"/>
              </w:rPr>
            </w:pPr>
            <w:r>
              <w:rPr>
                <w:rFonts w:ascii="Arial" w:cs="Arial" w:eastAsia="Arial" w:hAnsi="Arial"/>
                <w:sz w:val="18"/>
                <w:szCs w:val="18"/>
                <w:color w:val="auto"/>
              </w:rPr>
              <w:t>Long-term Borrowings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725.0(3)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Tax Payable to Members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Stockholder’s Equity / (Deficit)</w:t>
            </w: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440"/>
              <w:spacing w:after="0"/>
              <w:rPr>
                <w:sz w:val="20"/>
                <w:szCs w:val="20"/>
                <w:color w:val="auto"/>
              </w:rPr>
            </w:pPr>
            <w:r>
              <w:rPr>
                <w:rFonts w:ascii="Arial" w:cs="Arial" w:eastAsia="Arial" w:hAnsi="Arial"/>
                <w:sz w:val="18"/>
                <w:szCs w:val="18"/>
                <w:color w:val="auto"/>
              </w:rPr>
              <w:t>Members’ Capital—Common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440"/>
              <w:spacing w:after="0"/>
              <w:rPr>
                <w:sz w:val="20"/>
                <w:szCs w:val="20"/>
                <w:color w:val="auto"/>
              </w:rPr>
            </w:pPr>
            <w:r>
              <w:rPr>
                <w:rFonts w:ascii="Arial" w:cs="Arial" w:eastAsia="Arial" w:hAnsi="Arial"/>
                <w:sz w:val="18"/>
                <w:szCs w:val="18"/>
                <w:color w:val="auto"/>
              </w:rPr>
              <w:t>Members’ Capital—Preferred Units</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440"/>
              <w:spacing w:after="0"/>
              <w:rPr>
                <w:sz w:val="20"/>
                <w:szCs w:val="20"/>
                <w:color w:val="auto"/>
              </w:rPr>
            </w:pPr>
            <w:r>
              <w:rPr>
                <w:rFonts w:ascii="Arial" w:cs="Arial" w:eastAsia="Arial" w:hAnsi="Arial"/>
                <w:sz w:val="18"/>
                <w:szCs w:val="18"/>
                <w:color w:val="auto"/>
                <w:w w:val="98"/>
              </w:rPr>
              <w:t>Additional Paid-in Capital</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880"/>
              <w:spacing w:after="0"/>
              <w:rPr>
                <w:sz w:val="20"/>
                <w:szCs w:val="20"/>
                <w:color w:val="auto"/>
              </w:rPr>
            </w:pPr>
            <w:r>
              <w:rPr>
                <w:rFonts w:ascii="Arial" w:cs="Arial" w:eastAsia="Arial" w:hAnsi="Arial"/>
                <w:sz w:val="18"/>
                <w:szCs w:val="18"/>
                <w:color w:val="auto"/>
              </w:rPr>
              <w:t>Members’ / Stockholder’s Equity / (Deficit)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LIABILITIES AND CAPITAL</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Notes to the Unaudited Consolidated Balance Sheet: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60" w:type="dxa"/>
            <w:vAlign w:val="bottom"/>
            <w:gridSpan w:val="15"/>
          </w:tcPr>
          <w:p>
            <w:pPr>
              <w:ind w:left="100"/>
              <w:spacing w:after="0"/>
              <w:rPr>
                <w:sz w:val="20"/>
                <w:szCs w:val="20"/>
                <w:color w:val="auto"/>
              </w:rPr>
            </w:pPr>
            <w:r>
              <w:rPr>
                <w:rFonts w:ascii="Arial" w:cs="Arial" w:eastAsia="Arial" w:hAnsi="Arial"/>
                <w:sz w:val="18"/>
                <w:szCs w:val="18"/>
                <w:color w:val="auto"/>
                <w:w w:val="94"/>
              </w:rPr>
              <w:t>1.   Represents the adjustments to reflect the recapitalization of NCM LLC pursuant to which (i) existing members of NCM LLC will receive</w:t>
            </w:r>
          </w:p>
        </w:tc>
        <w:tc>
          <w:tcPr>
            <w:tcW w:w="960" w:type="dxa"/>
            <w:vAlign w:val="bottom"/>
            <w:gridSpan w:val="3"/>
          </w:tcPr>
          <w:p>
            <w:pPr>
              <w:ind w:left="240"/>
              <w:spacing w:after="0"/>
              <w:rPr>
                <w:sz w:val="20"/>
                <w:szCs w:val="20"/>
                <w:color w:val="auto"/>
              </w:rPr>
            </w:pPr>
            <w:r>
              <w:rPr>
                <w:rFonts w:ascii="Arial" w:cs="Arial" w:eastAsia="Arial" w:hAnsi="Arial"/>
                <w:sz w:val="18"/>
                <w:szCs w:val="18"/>
                <w:color w:val="auto"/>
              </w:rPr>
              <w:t>common</w:t>
            </w:r>
          </w:p>
        </w:tc>
        <w:tc>
          <w:tcPr>
            <w:tcW w:w="0" w:type="dxa"/>
            <w:vAlign w:val="bottom"/>
          </w:tcPr>
          <w:p>
            <w:pPr>
              <w:spacing w:after="0"/>
              <w:rPr>
                <w:sz w:val="1"/>
                <w:szCs w:val="1"/>
                <w:color w:val="auto"/>
              </w:rPr>
            </w:pPr>
          </w:p>
        </w:tc>
      </w:tr>
      <w:tr>
        <w:trPr>
          <w:trHeight w:val="222"/>
        </w:trPr>
        <w:tc>
          <w:tcPr>
            <w:tcW w:w="2440" w:type="dxa"/>
            <w:vAlign w:val="bottom"/>
          </w:tcPr>
          <w:p>
            <w:pPr>
              <w:ind w:left="440"/>
              <w:spacing w:after="0"/>
              <w:rPr>
                <w:sz w:val="20"/>
                <w:szCs w:val="20"/>
                <w:color w:val="auto"/>
              </w:rPr>
            </w:pPr>
            <w:r>
              <w:rPr>
                <w:rFonts w:ascii="Arial" w:cs="Arial" w:eastAsia="Arial" w:hAnsi="Arial"/>
                <w:sz w:val="18"/>
                <w:szCs w:val="18"/>
                <w:color w:val="auto"/>
              </w:rPr>
              <w:t>membership units and</w:t>
            </w:r>
          </w:p>
        </w:tc>
        <w:tc>
          <w:tcPr>
            <w:tcW w:w="8980" w:type="dxa"/>
            <w:vAlign w:val="bottom"/>
            <w:gridSpan w:val="17"/>
          </w:tcPr>
          <w:p>
            <w:pPr>
              <w:jc w:val="right"/>
              <w:ind w:right="232"/>
              <w:spacing w:after="0"/>
              <w:rPr>
                <w:sz w:val="20"/>
                <w:szCs w:val="20"/>
                <w:color w:val="auto"/>
              </w:rPr>
            </w:pPr>
            <w:r>
              <w:rPr>
                <w:rFonts w:ascii="Arial" w:cs="Arial" w:eastAsia="Arial" w:hAnsi="Arial"/>
                <w:sz w:val="18"/>
                <w:szCs w:val="18"/>
                <w:color w:val="auto"/>
                <w:w w:val="91"/>
              </w:rPr>
              <w:t>preferred membership units in exchange for each outstanding common membership unit and (ii) NCM LLC will split the</w:t>
            </w:r>
          </w:p>
        </w:tc>
        <w:tc>
          <w:tcPr>
            <w:tcW w:w="0" w:type="dxa"/>
            <w:vAlign w:val="bottom"/>
          </w:tcPr>
          <w:p>
            <w:pPr>
              <w:spacing w:after="0"/>
              <w:rPr>
                <w:sz w:val="1"/>
                <w:szCs w:val="1"/>
                <w:color w:val="auto"/>
              </w:rPr>
            </w:pPr>
          </w:p>
        </w:tc>
      </w:tr>
    </w:tbl>
    <w:p>
      <w:pPr>
        <w:ind w:left="440" w:right="300"/>
        <w:spacing w:after="0" w:line="261" w:lineRule="auto"/>
        <w:rPr>
          <w:sz w:val="20"/>
          <w:szCs w:val="20"/>
          <w:color w:val="auto"/>
        </w:rPr>
      </w:pPr>
      <w:r>
        <w:rPr>
          <w:rFonts w:ascii="Arial" w:cs="Arial" w:eastAsia="Arial" w:hAnsi="Arial"/>
          <w:sz w:val="18"/>
          <w:szCs w:val="18"/>
          <w:color w:val="auto"/>
        </w:rPr>
        <w:t>number of outstanding common membership units so that a common membership unit can be acquired with the proceeds from the initial offering of one share of our common stock after underwriting discounts and commissions.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146" w:lineRule="exact"/>
        <w:rPr>
          <w:sz w:val="20"/>
          <w:szCs w:val="20"/>
          <w:color w:val="auto"/>
        </w:rPr>
      </w:pPr>
    </w:p>
    <w:p>
      <w:pPr>
        <w:ind w:left="440" w:hanging="348"/>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the adjustments to reflect the use of proceeds of this offering. The offering will result in (i) an increase in stockholder’s equity of</w:t>
      </w:r>
    </w:p>
    <w:p>
      <w:pPr>
        <w:spacing w:after="0" w:line="202"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 million from the issuance of common stock at the estimated public offering price of $ (the midpoint of the range set forth on the cover page of this prospectus), after deducting estimated underwriting discounts and commissions and estimated offering expenses and (ii) an investment of $ million to acquire a % interest in NCM LLC.</w:t>
      </w:r>
    </w:p>
    <w:p>
      <w:pPr>
        <w:spacing w:after="0" w:line="59" w:lineRule="exact"/>
        <w:rPr>
          <w:sz w:val="20"/>
          <w:szCs w:val="20"/>
          <w:color w:val="auto"/>
        </w:rPr>
      </w:pPr>
    </w:p>
    <w:p>
      <w:pPr>
        <w:ind w:left="440" w:hanging="348"/>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adjustments related to the Financing Transaction. Pursuant to the Financing Transaction, NCM LLC will (i) repay $8.0 million outstanding as</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of June 29, 2006, under its existing credit facility from borrowings under a new revolving credit facility and (ii) incur indebtedness (assumed to be</w:t>
      </w:r>
    </w:p>
    <w:p>
      <w:pPr>
        <w:spacing w:after="0" w:line="24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$725 million) under a new term loan facility and, after deducting deferred financing fees of $ million, redeem for an equivalent amount the preferred membership units of the Founding Members in NCM LLC for an aggregate price of $ . The size of the credit facility is subject to change prior to its closing. For further discussion, see “Financing Transaction.”</w:t>
      </w:r>
    </w:p>
    <w:p>
      <w:pPr>
        <w:spacing w:after="0" w:line="59" w:lineRule="exact"/>
        <w:rPr>
          <w:sz w:val="20"/>
          <w:szCs w:val="20"/>
          <w:color w:val="auto"/>
        </w:rPr>
      </w:pPr>
    </w:p>
    <w:p>
      <w:pPr>
        <w:ind w:left="440" w:right="20" w:hanging="348"/>
        <w:spacing w:after="0" w:line="290"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the adjustments related to the expected consolidation of NCM LLC by NCM Inc., including the classification of the minority interest of NCM LLC as a reduction in NCM Inc.’s additional paid-in capital. NCM LLC will have negative members’ equity because (i) the redemption of preferred membership units in the reorganization will be for an amount in excess of total book value of members’ equity prior to the redemption and (ii) the payment of the net proceeds from the sale of membership units by NCM LLC to the Founding Members in connection with the amendment and restatement of the ESAs will be treated as a distribution because the acquisition of intangibles (such as contractual rights) from the Founding Members must be recorded as a distribution to the extent the payment exceeds the Founding Members’ historical cost of intangibles. The minority interest must be included in stockholder’s deficit because negative minority interest cannot be recorded as an asset.</w:t>
      </w:r>
    </w:p>
    <w:p>
      <w:pPr>
        <w:spacing w:after="0" w:line="37" w:lineRule="exact"/>
        <w:rPr>
          <w:rFonts w:ascii="Arial" w:cs="Arial" w:eastAsia="Arial" w:hAnsi="Arial"/>
          <w:sz w:val="16"/>
          <w:szCs w:val="16"/>
          <w:color w:val="auto"/>
        </w:rPr>
      </w:pPr>
    </w:p>
    <w:p>
      <w:pPr>
        <w:ind w:left="440" w:right="140" w:hanging="348"/>
        <w:spacing w:after="0" w:line="284"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a result of the distributions made to the Founding Members in connection with the redemption of the preferred units and the payments made to the Founding Members in connection with the modification of the ESAs’ payment terms, assets that are amortizable for federal income tax purposes, but not recognized under GAAP, will be created. NCM Inc. and the Founding Members will enter into a “Tax Receivable Agreement” (see “Certain Relationships</w:t>
      </w:r>
    </w:p>
    <w:p>
      <w:pPr>
        <w:spacing w:after="0" w:line="1" w:lineRule="exact"/>
        <w:rPr>
          <w:sz w:val="20"/>
          <w:szCs w:val="20"/>
          <w:color w:val="auto"/>
        </w:rPr>
      </w:pPr>
    </w:p>
    <w:p>
      <w:pPr>
        <w:ind w:left="440" w:right="140"/>
        <w:spacing w:after="0" w:line="417" w:lineRule="auto"/>
        <w:rPr>
          <w:sz w:val="20"/>
          <w:szCs w:val="20"/>
          <w:color w:val="auto"/>
        </w:rPr>
      </w:pPr>
      <w:r>
        <w:rPr>
          <w:rFonts w:ascii="Arial" w:cs="Arial" w:eastAsia="Arial" w:hAnsi="Arial"/>
          <w:sz w:val="16"/>
          <w:szCs w:val="16"/>
          <w:color w:val="auto"/>
        </w:rPr>
        <w:t>and Related Party Transactions—Transactions With Founding Members—Tax Receivable Agreement”) under which NCM Inc. will effectively make cash payments to the Founding Members in amounts equal to % of NCM Inc.’s actual tax benefit realized as a result of this amortization. NCM Inc.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right="600"/>
        <w:spacing w:after="0" w:line="268" w:lineRule="auto"/>
        <w:rPr>
          <w:sz w:val="20"/>
          <w:szCs w:val="20"/>
          <w:color w:val="auto"/>
        </w:rPr>
      </w:pPr>
      <w:r>
        <w:rPr>
          <w:rFonts w:ascii="Arial" w:cs="Arial" w:eastAsia="Arial" w:hAnsi="Arial"/>
          <w:sz w:val="18"/>
          <w:szCs w:val="18"/>
          <w:color w:val="auto"/>
        </w:rPr>
        <w:t>record a deferred tax asset equal to the future tax benefits of the tax amortization, estimated at $ million, offset by a liability to the Founding Members, estimated at $ million and a credit to additional paid in capital estimated at $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00" w:firstLine="2664"/>
        <w:spacing w:after="0" w:line="497" w:lineRule="auto"/>
        <w:rPr>
          <w:sz w:val="20"/>
          <w:szCs w:val="20"/>
          <w:color w:val="auto"/>
        </w:rPr>
      </w:pPr>
      <w:r>
        <w:rPr>
          <w:rFonts w:ascii="Arial" w:cs="Arial" w:eastAsia="Arial" w:hAnsi="Arial"/>
          <w:sz w:val="16"/>
          <w:szCs w:val="16"/>
          <w:b w:val="1"/>
          <w:bCs w:val="1"/>
          <w:color w:val="auto"/>
        </w:rPr>
        <w:t xml:space="preserve">SELECTED HISTORICAL FINANCIAL AND OPERATING DATA </w:t>
      </w:r>
      <w:r>
        <w:rPr>
          <w:rFonts w:ascii="Arial" w:cs="Arial" w:eastAsia="Arial" w:hAnsi="Arial"/>
          <w:sz w:val="16"/>
          <w:szCs w:val="16"/>
          <w:color w:val="auto"/>
        </w:rPr>
        <w:t>The following table sets forth our historical selected financial and operating data for the periods indicated.</w:t>
      </w:r>
    </w:p>
    <w:p>
      <w:pPr>
        <w:ind w:right="40" w:firstLine="456"/>
        <w:spacing w:after="0" w:line="256" w:lineRule="auto"/>
        <w:rPr>
          <w:sz w:val="20"/>
          <w:szCs w:val="20"/>
          <w:color w:val="auto"/>
        </w:rPr>
      </w:pPr>
      <w:r>
        <w:rPr>
          <w:rFonts w:ascii="Arial" w:cs="Arial" w:eastAsia="Arial" w:hAnsi="Arial"/>
          <w:sz w:val="18"/>
          <w:szCs w:val="18"/>
          <w:color w:val="auto"/>
        </w:rPr>
        <w:t>The selected financial and operating data should be read together with the other information contained in this prospectus, including “Corporate History and Reorganization,” “Financing Transaction,” “Management’s Discussion and Analysis of Financial Condition and Results of Operations,” the audited historical financial statements and the notes thereto included elsewhere in this prospectus, and the unaudited historical interim consolidated financial statements and the notes thereto included elsewhere in this prospectus.</w:t>
      </w:r>
    </w:p>
    <w:p>
      <w:pPr>
        <w:spacing w:after="0" w:line="14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The statement of operations data for the three and six months ended June 29, 2006, and the balance sheet data as of June 29, 2006, were derived from the unaudited financial statements of NCM LLC included elsewhere in this prospectus, except for the capital expenditure data of NCM LLC for the three months ended June 29, 2006, which is derived from unaudited financial statements of NCM LLC not included in this prospectus. The statement of operations data for the nine months ended December 29, 2005, and the balance sheet data as of December 29, 2005, were derived from the audited financial statements of NCM LLC included elsewhere in this prospectus. The statement of operations data for the three months ended March 31, 2005, and the years ended December 30, 2004, and January 1, 2004, and the balance sheet data as of December 30, 2004, were derived from the audited financial statements of RCM, which are included elsewhere in this prospectus. The statement of operations data for the period ended December 26, 2002 and the balance sheet data as of December 26, 2002 and January 1, 2004 were derived from the unaudited financial statements of RCM, the predecessor entity to NCM LLC, which are not included in this prospectus. We present results for the three months ended June 29, 2006 because this was the first full quarterly period during which we had rights to 100% of the advertising inventory in Cinemark’s theatres. As such, we believe this quarterly period best represents our operations as they exist today, with the exception of the addition to our network of the Century theatres which Cinemark acquired as of October 5, 2006. We do not present results for the six months ended June 29, 2006, on a comparative basis to the six months ended June 30, 2005, due to the first quarter of 2005 not including any advertising inventory for the AMC or Cinemark screens and due to differences in the structure of circuit share expense, both of which limit comparability of revenues and expenses for such reporting periods. RCM was formed in April 2002 and therefore there is no information for our predecessor entity for time periods prior to 2002. As a newly formed, nominally capitalized entity, we have had no operations to date and, therefore, the information below is presented only for NCM LLC and its predecessor company.</w:t>
      </w:r>
    </w:p>
    <w:p>
      <w:pPr>
        <w:spacing w:after="0" w:line="11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These historical financial statements do not reflect what our results of operations and financial position would have been had we been a stand-alone, public company for the periods presented. Specifically, our historical results of operations do not give effect to the matters set forth below:</w:t>
      </w:r>
    </w:p>
    <w:p>
      <w:pPr>
        <w:spacing w:after="0" w:line="4" w:lineRule="exact"/>
        <w:rPr>
          <w:sz w:val="20"/>
          <w:szCs w:val="20"/>
          <w:color w:val="auto"/>
        </w:rPr>
      </w:pPr>
    </w:p>
    <w:p>
      <w:pPr>
        <w:ind w:left="780" w:hanging="249"/>
        <w:spacing w:after="0" w:line="253"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our ESAs, which differ from our prior contractual arrangements with our Founding Members and will have on going material significance to our results of operations,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ESAs as further described in “Certain Relationships and Related Party Transactions—Transactions with Founding Members—Exhibitor Services Agreements (ESAs)”);</w:t>
      </w:r>
    </w:p>
    <w:p>
      <w:pPr>
        <w:spacing w:after="0" w:line="66" w:lineRule="exact"/>
        <w:rPr>
          <w:rFonts w:ascii="Arial" w:cs="Arial" w:eastAsia="Arial" w:hAnsi="Arial"/>
          <w:sz w:val="18"/>
          <w:szCs w:val="18"/>
          <w:color w:val="auto"/>
        </w:rPr>
      </w:pPr>
    </w:p>
    <w:p>
      <w:pPr>
        <w:ind w:left="780" w:hanging="24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our status as a taxable entity with an ownership interest in NCM LLC;</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ectPr>
          <w:pgSz w:w="11900" w:h="16838" w:orient="portrait"/>
          <w:cols w:equalWidth="0" w:num="1">
            <w:col w:w="11400"/>
          </w:cols>
          <w:pgMar w:left="240" w:top="459" w:right="259" w:bottom="1440" w:gutter="0" w:footer="0" w:header="0"/>
        </w:sectPr>
      </w:pPr>
    </w:p>
    <w:p>
      <w:pPr>
        <w:spacing w:after="0" w:line="9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completion of the non-cash recapitalization of NCM LLC pursuant to which existing members of NCM LLC will receive membership units and preferred membership units in exchange for each outstanding common membership unit;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common</w:t>
      </w:r>
    </w:p>
    <w:p>
      <w:pPr>
        <w:spacing w:after="0" w:line="397" w:lineRule="exact"/>
        <w:rPr>
          <w:sz w:val="20"/>
          <w:szCs w:val="20"/>
          <w:color w:val="auto"/>
        </w:rPr>
      </w:pPr>
    </w:p>
    <w:p>
      <w:pPr>
        <w:sectPr>
          <w:pgSz w:w="11900" w:h="16838" w:orient="portrait"/>
          <w:cols w:equalWidth="0" w:num="3">
            <w:col w:w="600" w:space="180"/>
            <w:col w:w="8780" w:space="600"/>
            <w:col w:w="12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249"/>
        <w:spacing w:after="0" w:line="332"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to be issued to the Founding Members in a non-cash recapitalization of NCM LLC will be redeemed from the proceeds of a term loan that is part of our new senior secured credit facility;</w:t>
      </w:r>
    </w:p>
    <w:p>
      <w:pPr>
        <w:spacing w:after="0" w:line="4" w:lineRule="exact"/>
        <w:rPr>
          <w:sz w:val="20"/>
          <w:szCs w:val="20"/>
          <w:color w:val="auto"/>
        </w:rPr>
      </w:pPr>
    </w:p>
    <w:p>
      <w:pPr>
        <w:ind w:left="540"/>
        <w:spacing w:after="0"/>
        <w:tabs>
          <w:tab w:leader="none" w:pos="760" w:val="left"/>
          <w:tab w:leader="none" w:pos="9800" w:val="left"/>
        </w:tabs>
        <w:rPr>
          <w:sz w:val="20"/>
          <w:szCs w:val="20"/>
          <w:color w:val="auto"/>
        </w:rPr>
      </w:pPr>
      <w:r>
        <w:rPr>
          <w:rFonts w:ascii="Arial" w:cs="Arial" w:eastAsia="Arial" w:hAnsi="Arial"/>
          <w:sz w:val="18"/>
          <w:szCs w:val="18"/>
          <w:color w:val="auto"/>
        </w:rPr>
        <w:t>•</w:t>
        <w:tab/>
        <w:t>the completion of the offering and the use of proceeds therefrom as set forth in this prospectus, including our acquisition of</w:t>
      </w:r>
      <w:r>
        <w:rPr>
          <w:sz w:val="20"/>
          <w:szCs w:val="20"/>
          <w:color w:val="auto"/>
        </w:rPr>
        <w:tab/>
      </w:r>
      <w:r>
        <w:rPr>
          <w:rFonts w:ascii="Arial" w:cs="Arial" w:eastAsia="Arial" w:hAnsi="Arial"/>
          <w:sz w:val="16"/>
          <w:szCs w:val="16"/>
          <w:color w:val="auto"/>
        </w:rPr>
        <w:t>% of the common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membership units in NCM LLC, which will be accounted for by our expected consolidation of NCM LLC; and</w:t>
      </w:r>
    </w:p>
    <w:p>
      <w:pPr>
        <w:spacing w:after="0" w:line="84" w:lineRule="exact"/>
        <w:rPr>
          <w:sz w:val="20"/>
          <w:szCs w:val="20"/>
          <w:color w:val="auto"/>
        </w:rPr>
      </w:pPr>
    </w:p>
    <w:p>
      <w:pPr>
        <w:ind w:left="780" w:right="540" w:hanging="249"/>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use by NCM LLC of $ of the proceeds it receives from us to compensate our Founding Members for agreeing to modify our payment obligations under our ESAs.</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60"/>
        <w:spacing w:after="0" w:line="363" w:lineRule="auto"/>
        <w:rPr>
          <w:sz w:val="20"/>
          <w:szCs w:val="20"/>
          <w:color w:val="auto"/>
        </w:rPr>
      </w:pPr>
      <w:r>
        <w:rPr>
          <w:rFonts w:ascii="Arial" w:cs="Arial" w:eastAsia="Arial" w:hAnsi="Arial"/>
          <w:sz w:val="14"/>
          <w:szCs w:val="14"/>
          <w:b w:val="1"/>
          <w:bCs w:val="1"/>
          <w:color w:val="auto"/>
        </w:rPr>
        <w:t xml:space="preserve">Result of Operations Data </w:t>
      </w:r>
      <w:r>
        <w:rPr>
          <w:rFonts w:ascii="Arial" w:cs="Arial" w:eastAsia="Arial" w:hAnsi="Arial"/>
          <w:sz w:val="14"/>
          <w:szCs w:val="14"/>
          <w:color w:val="auto"/>
        </w:rPr>
        <w:t>Revenue: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Advertising</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Administrative Fees—Members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Meetings and Events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right="440" w:firstLine="432"/>
        <w:spacing w:after="0" w:line="382" w:lineRule="auto"/>
        <w:rPr>
          <w:sz w:val="20"/>
          <w:szCs w:val="20"/>
          <w:color w:val="auto"/>
        </w:rPr>
      </w:pPr>
      <w:r>
        <w:rPr>
          <w:rFonts w:ascii="Arial" w:cs="Arial" w:eastAsia="Arial" w:hAnsi="Arial"/>
          <w:sz w:val="14"/>
          <w:szCs w:val="14"/>
          <w:color w:val="auto"/>
        </w:rPr>
        <w:t>TOTAL REVENUE Expenses: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Advertising Operating Costs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Meetings/Events Operating</w:t>
      </w:r>
    </w:p>
    <w:p>
      <w:pPr>
        <w:ind w:left="440"/>
        <w:spacing w:after="0" w:line="221" w:lineRule="auto"/>
        <w:rPr>
          <w:sz w:val="20"/>
          <w:szCs w:val="20"/>
          <w:color w:val="auto"/>
        </w:rPr>
      </w:pPr>
      <w:r>
        <w:rPr>
          <w:rFonts w:ascii="Arial" w:cs="Arial" w:eastAsia="Arial" w:hAnsi="Arial"/>
          <w:sz w:val="14"/>
          <w:szCs w:val="14"/>
          <w:color w:val="auto"/>
        </w:rPr>
        <w:t>Costs</w:t>
      </w:r>
    </w:p>
    <w:p>
      <w:pPr>
        <w:ind w:left="220"/>
        <w:spacing w:after="0"/>
        <w:rPr>
          <w:sz w:val="20"/>
          <w:szCs w:val="20"/>
          <w:color w:val="auto"/>
        </w:rPr>
      </w:pPr>
      <w:r>
        <w:rPr>
          <w:rFonts w:ascii="Arial" w:cs="Arial" w:eastAsia="Arial" w:hAnsi="Arial"/>
          <w:sz w:val="14"/>
          <w:szCs w:val="14"/>
          <w:color w:val="auto"/>
        </w:rPr>
        <w:t>Network Costs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Circuit Share/Theatre Access</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Fee—Members</w:t>
      </w:r>
    </w:p>
    <w:p>
      <w:pPr>
        <w:ind w:left="220"/>
        <w:spacing w:after="0"/>
        <w:rPr>
          <w:sz w:val="20"/>
          <w:szCs w:val="20"/>
          <w:color w:val="auto"/>
        </w:rPr>
      </w:pPr>
      <w:r>
        <w:rPr>
          <w:rFonts w:ascii="Arial" w:cs="Arial" w:eastAsia="Arial" w:hAnsi="Arial"/>
          <w:sz w:val="14"/>
          <w:szCs w:val="14"/>
          <w:color w:val="auto"/>
        </w:rPr>
        <w:t>Selling and Marketing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Deferred Stock Compensation</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Severance Plan Costs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 (Loss)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Income/(Loss) Before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INCOME (LOSS)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Financial Data</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EBITDA(1)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 Margin(1)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Predecessor—Regal CineMedia Corporation</w:t>
            </w:r>
          </w:p>
        </w:tc>
        <w:tc>
          <w:tcPr>
            <w:tcW w:w="5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National CineMedia, LLC</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29"/>
        </w:trPr>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Year</w:t>
            </w:r>
          </w:p>
        </w:tc>
        <w:tc>
          <w:tcPr>
            <w:tcW w:w="3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3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3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3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3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26,</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30,</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29,</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7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2002</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3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3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r>
    </w:tbl>
    <w:p>
      <w:pPr>
        <w:jc w:val="center"/>
        <w:ind w:right="100"/>
        <w:spacing w:after="0" w:line="221" w:lineRule="auto"/>
        <w:rPr>
          <w:sz w:val="20"/>
          <w:szCs w:val="20"/>
          <w:color w:val="auto"/>
        </w:rPr>
      </w:pPr>
      <w:r>
        <w:rPr>
          <w:rFonts w:ascii="Arial" w:cs="Arial" w:eastAsia="Arial" w:hAnsi="Arial"/>
          <w:sz w:val="14"/>
          <w:szCs w:val="14"/>
          <w:b w:val="1"/>
          <w:bCs w:val="1"/>
          <w:color w:val="auto"/>
        </w:rPr>
        <w:t>($ in millions, except total advertising contract value per Founding Member Attendee)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22"/>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65.2</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83.6</w:t>
            </w:r>
          </w:p>
        </w:tc>
        <w:tc>
          <w:tcPr>
            <w:tcW w:w="240" w:type="dxa"/>
            <w:vAlign w:val="bottom"/>
          </w:tcPr>
          <w:p>
            <w:pPr>
              <w:spacing w:after="0"/>
              <w:rPr>
                <w:sz w:val="24"/>
                <w:szCs w:val="24"/>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15.6</w:t>
            </w:r>
          </w:p>
        </w:tc>
        <w:tc>
          <w:tcPr>
            <w:tcW w:w="5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56.0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73.3</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9.0</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50.2</w:t>
            </w:r>
          </w:p>
        </w:tc>
      </w:tr>
      <w:tr>
        <w:trPr>
          <w:trHeight w:val="243"/>
        </w:trPr>
        <w:tc>
          <w:tcPr>
            <w:tcW w:w="32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12.8</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r>
      <w:tr>
        <w:trPr>
          <w:trHeight w:val="243"/>
        </w:trPr>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r>
      <w:tr>
        <w:trPr>
          <w:trHeight w:val="230"/>
        </w:trPr>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5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24.5</w:t>
            </w:r>
          </w:p>
        </w:tc>
        <w:tc>
          <w:tcPr>
            <w:tcW w:w="300" w:type="dxa"/>
            <w:vAlign w:val="bottom"/>
          </w:tcPr>
          <w:p>
            <w:pPr>
              <w:spacing w:after="0"/>
              <w:rPr>
                <w:sz w:val="21"/>
                <w:szCs w:val="21"/>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72.4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95.3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17.8</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98.8</w:t>
            </w:r>
          </w:p>
        </w:tc>
        <w:tc>
          <w:tcPr>
            <w:tcW w:w="2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84.5</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25.5</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57.1</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6"/>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c>
          <w:tcPr>
            <w:tcW w:w="5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3.8</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2.2</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r>
      <w:tr>
        <w:trPr>
          <w:trHeight w:val="297"/>
        </w:trPr>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w:t>
            </w:r>
          </w:p>
        </w:tc>
        <w:tc>
          <w:tcPr>
            <w:tcW w:w="5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r>
      <w:tr>
        <w:trPr>
          <w:trHeight w:val="243"/>
        </w:trPr>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r>
      <w:tr>
        <w:trPr>
          <w:trHeight w:val="297"/>
        </w:trPr>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5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6.2</w:t>
            </w:r>
          </w:p>
        </w:tc>
        <w:tc>
          <w:tcPr>
            <w:tcW w:w="3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34.4</w:t>
            </w:r>
          </w:p>
        </w:tc>
      </w:tr>
      <w:tr>
        <w:trPr>
          <w:trHeight w:val="243"/>
        </w:trPr>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r>
      <w:tr>
        <w:trPr>
          <w:trHeight w:val="243"/>
        </w:trPr>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2.8</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r>
      <w:tr>
        <w:trPr>
          <w:trHeight w:val="243"/>
        </w:trPr>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43"/>
        </w:trPr>
        <w:tc>
          <w:tcPr>
            <w:tcW w:w="32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r>
      <w:tr>
        <w:trPr>
          <w:trHeight w:val="230"/>
        </w:trPr>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w:t>
            </w:r>
          </w:p>
        </w:tc>
        <w:tc>
          <w:tcPr>
            <w:tcW w:w="5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28.0</w:t>
            </w:r>
          </w:p>
        </w:tc>
        <w:tc>
          <w:tcPr>
            <w:tcW w:w="300" w:type="dxa"/>
            <w:vAlign w:val="bottom"/>
          </w:tcPr>
          <w:p>
            <w:pPr>
              <w:spacing w:after="0"/>
              <w:rPr>
                <w:sz w:val="21"/>
                <w:szCs w:val="21"/>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51.1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15.0</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105.7</w:t>
            </w:r>
          </w:p>
        </w:tc>
        <w:tc>
          <w:tcPr>
            <w:tcW w:w="2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95.0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27.7</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58.2</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(3.5)</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21.3</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33.9</w:t>
            </w:r>
          </w:p>
        </w:tc>
        <w:tc>
          <w:tcPr>
            <w:tcW w:w="240" w:type="dxa"/>
            <w:vAlign w:val="bottom"/>
          </w:tcPr>
          <w:p>
            <w:pPr>
              <w:spacing w:after="0"/>
              <w:rPr>
                <w:sz w:val="22"/>
                <w:szCs w:val="22"/>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50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(10.5)</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(2.2)</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230"/>
        </w:trPr>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0.1</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(3.5)</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21.3</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33.9</w:t>
            </w:r>
          </w:p>
        </w:tc>
        <w:tc>
          <w:tcPr>
            <w:tcW w:w="240" w:type="dxa"/>
            <w:vAlign w:val="bottom"/>
          </w:tcPr>
          <w:p>
            <w:pPr>
              <w:spacing w:after="0"/>
              <w:rPr>
                <w:sz w:val="22"/>
                <w:szCs w:val="22"/>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2.8</w:t>
            </w:r>
          </w:p>
        </w:tc>
        <w:tc>
          <w:tcPr>
            <w:tcW w:w="50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(2.2)</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230"/>
        </w:trPr>
        <w:tc>
          <w:tcPr>
            <w:tcW w:w="3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5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12.9</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21"/>
                <w:szCs w:val="21"/>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(2.2)</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(3.0)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22.2</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34.9</w:t>
            </w:r>
          </w:p>
        </w:tc>
        <w:tc>
          <w:tcPr>
            <w:tcW w:w="240" w:type="dxa"/>
            <w:vAlign w:val="bottom"/>
          </w:tcPr>
          <w:p>
            <w:pPr>
              <w:spacing w:after="0"/>
              <w:rPr>
                <w:sz w:val="24"/>
                <w:szCs w:val="24"/>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5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(8.2)</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43"/>
        </w:trPr>
        <w:tc>
          <w:tcPr>
            <w:tcW w:w="32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w:t>
            </w:r>
          </w:p>
        </w:tc>
        <w:tc>
          <w:tcPr>
            <w:tcW w:w="50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r>
      <w:tr>
        <w:trPr>
          <w:trHeight w:val="243"/>
        </w:trPr>
        <w:tc>
          <w:tcPr>
            <w:tcW w:w="32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19.7%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9.8%</w:t>
            </w:r>
          </w:p>
        </w:tc>
        <w:tc>
          <w:tcPr>
            <w:tcW w:w="3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w:t>
            </w:r>
          </w:p>
        </w:tc>
      </w:tr>
      <w:tr>
        <w:trPr>
          <w:trHeight w:val="230"/>
        </w:trPr>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20"/>
                <w:szCs w:val="20"/>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1.3</w:t>
            </w:r>
          </w:p>
        </w:tc>
        <w:tc>
          <w:tcPr>
            <w:tcW w:w="44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20"/>
                <w:szCs w:val="20"/>
                <w:color w:val="auto"/>
              </w:rPr>
            </w:pPr>
          </w:p>
        </w:tc>
        <w:tc>
          <w:tcPr>
            <w:tcW w:w="460" w:type="dxa"/>
            <w:vAlign w:val="bottom"/>
            <w:gridSpan w:val="2"/>
          </w:tcPr>
          <w:p>
            <w:pPr>
              <w:jc w:val="right"/>
              <w:ind w:right="192"/>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5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5.9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2.4</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color w:val="auto"/>
              </w:rPr>
              <w:t>1.3</w:t>
            </w: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r>
    </w:tbl>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48</w:t>
      </w:r>
    </w:p>
    <w:p>
      <w:pPr>
        <w:sectPr>
          <w:pgSz w:w="11900" w:h="16838" w:orient="portrait"/>
          <w:cols w:equalWidth="0" w:num="2">
            <w:col w:w="1980" w:space="280"/>
            <w:col w:w="9040"/>
          </w:cols>
          <w:pgMar w:left="240" w:top="459" w:right="35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Data</w:t>
      </w: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Founding Member Screens at Period End(2)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Total Screens at Period</w:t>
      </w:r>
    </w:p>
    <w:p>
      <w:pPr>
        <w:ind w:left="220"/>
        <w:spacing w:after="0" w:line="221" w:lineRule="auto"/>
        <w:rPr>
          <w:sz w:val="20"/>
          <w:szCs w:val="20"/>
          <w:color w:val="auto"/>
        </w:rPr>
      </w:pPr>
      <w:r>
        <w:rPr>
          <w:rFonts w:ascii="Arial" w:cs="Arial" w:eastAsia="Arial" w:hAnsi="Arial"/>
          <w:sz w:val="14"/>
          <w:szCs w:val="14"/>
          <w:color w:val="auto"/>
        </w:rPr>
        <w:t>End(3)</w:t>
      </w:r>
    </w:p>
    <w:p>
      <w:pPr>
        <w:spacing w:after="0" w:line="221" w:lineRule="auto"/>
        <w:rPr>
          <w:sz w:val="20"/>
          <w:szCs w:val="20"/>
          <w:color w:val="auto"/>
        </w:rPr>
      </w:pPr>
      <w:r>
        <w:rPr>
          <w:rFonts w:ascii="Arial" w:cs="Arial" w:eastAsia="Arial" w:hAnsi="Arial"/>
          <w:sz w:val="14"/>
          <w:szCs w:val="14"/>
          <w:color w:val="auto"/>
        </w:rPr>
        <w:t>Digital Screens at Period</w:t>
      </w:r>
    </w:p>
    <w:p>
      <w:pPr>
        <w:ind w:left="220"/>
        <w:spacing w:after="0" w:line="222" w:lineRule="auto"/>
        <w:rPr>
          <w:sz w:val="20"/>
          <w:szCs w:val="20"/>
          <w:color w:val="auto"/>
        </w:rPr>
      </w:pPr>
      <w:r>
        <w:rPr>
          <w:rFonts w:ascii="Arial" w:cs="Arial" w:eastAsia="Arial" w:hAnsi="Arial"/>
          <w:sz w:val="14"/>
          <w:szCs w:val="14"/>
          <w:color w:val="auto"/>
        </w:rPr>
        <w:t>End(4)</w:t>
      </w:r>
    </w:p>
    <w:p>
      <w:pPr>
        <w:spacing w:after="0"/>
        <w:rPr>
          <w:sz w:val="20"/>
          <w:szCs w:val="20"/>
          <w:color w:val="auto"/>
        </w:rPr>
      </w:pPr>
      <w:r>
        <w:rPr>
          <w:rFonts w:ascii="Arial" w:cs="Arial" w:eastAsia="Arial" w:hAnsi="Arial"/>
          <w:sz w:val="14"/>
          <w:szCs w:val="14"/>
          <w:color w:val="auto"/>
        </w:rPr>
        <w:t>Advertising Contract Value</w:t>
      </w:r>
    </w:p>
    <w:p>
      <w:pPr>
        <w:spacing w:after="0" w:line="70" w:lineRule="exact"/>
        <w:rPr>
          <w:sz w:val="20"/>
          <w:szCs w:val="20"/>
          <w:color w:val="auto"/>
        </w:rPr>
      </w:pPr>
    </w:p>
    <w:p>
      <w:pPr>
        <w:ind w:left="220" w:right="160" w:hanging="215"/>
        <w:spacing w:after="0" w:line="230" w:lineRule="auto"/>
        <w:rPr>
          <w:sz w:val="20"/>
          <w:szCs w:val="20"/>
          <w:color w:val="auto"/>
        </w:rPr>
      </w:pPr>
      <w:r>
        <w:rPr>
          <w:rFonts w:ascii="Arial" w:cs="Arial" w:eastAsia="Arial" w:hAnsi="Arial"/>
          <w:sz w:val="14"/>
          <w:szCs w:val="14"/>
          <w:color w:val="auto"/>
        </w:rPr>
        <w:t>Founding Member Attendance for Period (in millions)(5)</w:t>
      </w:r>
    </w:p>
    <w:p>
      <w:pPr>
        <w:spacing w:after="0" w:line="1" w:lineRule="exact"/>
        <w:rPr>
          <w:sz w:val="20"/>
          <w:szCs w:val="20"/>
          <w:color w:val="auto"/>
        </w:rPr>
      </w:pPr>
    </w:p>
    <w:p>
      <w:pPr>
        <w:ind w:left="220" w:right="400" w:hanging="215"/>
        <w:spacing w:after="0" w:line="297" w:lineRule="auto"/>
        <w:rPr>
          <w:sz w:val="20"/>
          <w:szCs w:val="20"/>
          <w:color w:val="auto"/>
        </w:rPr>
      </w:pPr>
      <w:r>
        <w:rPr>
          <w:rFonts w:ascii="Arial" w:cs="Arial" w:eastAsia="Arial" w:hAnsi="Arial"/>
          <w:sz w:val="12"/>
          <w:szCs w:val="12"/>
          <w:color w:val="auto"/>
        </w:rPr>
        <w:t>Total Advertising Contract Value per Founding Member Attendee(6)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Members’/Stockholder’s equity</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Predecessor—Regal CineMedia Corporation</w:t>
            </w:r>
          </w:p>
        </w:tc>
        <w:tc>
          <w:tcPr>
            <w:tcW w:w="4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8"/>
              </w:rPr>
              <w:t>National CineMedia, LLC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29"/>
        </w:trPr>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4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28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11"/>
                <w:szCs w:val="11"/>
                <w:color w:val="auto"/>
              </w:rPr>
            </w:pPr>
          </w:p>
        </w:tc>
        <w:tc>
          <w:tcPr>
            <w:tcW w:w="94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Three Months</w:t>
            </w: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26,</w:t>
            </w: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30,</w:t>
            </w:r>
          </w:p>
        </w:tc>
        <w:tc>
          <w:tcPr>
            <w:tcW w:w="3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29,</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2"/>
                <w:szCs w:val="12"/>
                <w:color w:val="auto"/>
              </w:rPr>
            </w:pPr>
          </w:p>
        </w:tc>
        <w:tc>
          <w:tcPr>
            <w:tcW w:w="9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June 29,</w:t>
            </w:r>
          </w:p>
        </w:tc>
      </w:tr>
      <w:tr>
        <w:trPr>
          <w:trHeight w:val="17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r>
    </w:tbl>
    <w:p>
      <w:pPr>
        <w:jc w:val="center"/>
        <w:ind w:right="100"/>
        <w:spacing w:after="0" w:line="221" w:lineRule="auto"/>
        <w:rPr>
          <w:sz w:val="20"/>
          <w:szCs w:val="20"/>
          <w:color w:val="auto"/>
        </w:rPr>
      </w:pPr>
      <w:r>
        <w:rPr>
          <w:rFonts w:ascii="Arial" w:cs="Arial" w:eastAsia="Arial" w:hAnsi="Arial"/>
          <w:sz w:val="14"/>
          <w:szCs w:val="14"/>
          <w:b w:val="1"/>
          <w:bCs w:val="1"/>
          <w:color w:val="auto"/>
        </w:rPr>
        <w:t>($ in millions, except advertising contract value per Founding Member Attendee)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965"/>
        </w:trPr>
        <w:tc>
          <w:tcPr>
            <w:tcW w:w="2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5,663</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6,045</w:t>
            </w:r>
          </w:p>
        </w:tc>
        <w:tc>
          <w:tcPr>
            <w:tcW w:w="600" w:type="dxa"/>
            <w:vAlign w:val="bottom"/>
          </w:tcPr>
          <w:p>
            <w:pPr>
              <w:spacing w:after="0"/>
              <w:rPr>
                <w:sz w:val="24"/>
                <w:szCs w:val="24"/>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6,273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6,258</w:t>
            </w: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9,696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9,453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12,025</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5,663</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6,045</w:t>
            </w:r>
          </w:p>
        </w:tc>
        <w:tc>
          <w:tcPr>
            <w:tcW w:w="600" w:type="dxa"/>
            <w:vAlign w:val="bottom"/>
          </w:tcPr>
          <w:p>
            <w:pPr>
              <w:spacing w:after="0"/>
              <w:rPr>
                <w:sz w:val="24"/>
                <w:szCs w:val="24"/>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6,565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6,550</w:t>
            </w: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10,766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13,095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13,095</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1,765</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4,584</w:t>
            </w:r>
          </w:p>
        </w:tc>
        <w:tc>
          <w:tcPr>
            <w:tcW w:w="600" w:type="dxa"/>
            <w:vAlign w:val="bottom"/>
          </w:tcPr>
          <w:p>
            <w:pPr>
              <w:spacing w:after="0"/>
              <w:rPr>
                <w:sz w:val="24"/>
                <w:szCs w:val="24"/>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5,303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5,674</w:t>
            </w: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8,713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11,076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11,076</w:t>
            </w:r>
          </w:p>
        </w:tc>
        <w:tc>
          <w:tcPr>
            <w:tcW w:w="0" w:type="dxa"/>
            <w:vAlign w:val="bottom"/>
          </w:tcPr>
          <w:p>
            <w:pPr>
              <w:spacing w:after="0"/>
              <w:rPr>
                <w:sz w:val="1"/>
                <w:szCs w:val="1"/>
                <w:color w:val="auto"/>
              </w:rPr>
            </w:pPr>
          </w:p>
        </w:tc>
      </w:tr>
      <w:tr>
        <w:trPr>
          <w:trHeight w:val="243"/>
        </w:trPr>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21.8</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65.2</w:t>
            </w:r>
          </w:p>
        </w:tc>
        <w:tc>
          <w:tcPr>
            <w:tcW w:w="600" w:type="dxa"/>
            <w:vAlign w:val="bottom"/>
          </w:tcPr>
          <w:p>
            <w:pPr>
              <w:jc w:val="right"/>
              <w:ind w:right="222"/>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83.6</w:t>
            </w:r>
          </w:p>
        </w:tc>
        <w:tc>
          <w:tcPr>
            <w:tcW w:w="500" w:type="dxa"/>
            <w:vAlign w:val="bottom"/>
          </w:tcPr>
          <w:p>
            <w:pPr>
              <w:jc w:val="right"/>
              <w:ind w:right="1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15.6</w:t>
            </w:r>
          </w:p>
        </w:tc>
        <w:tc>
          <w:tcPr>
            <w:tcW w:w="34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144.0</w:t>
            </w:r>
          </w:p>
        </w:tc>
        <w:tc>
          <w:tcPr>
            <w:tcW w:w="40" w:type="dxa"/>
            <w:vAlign w:val="bottom"/>
          </w:tcPr>
          <w:p>
            <w:pPr>
              <w:spacing w:after="0"/>
              <w:rPr>
                <w:sz w:val="21"/>
                <w:szCs w:val="21"/>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84.2</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210.0</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265.6</w:t>
            </w:r>
          </w:p>
        </w:tc>
        <w:tc>
          <w:tcPr>
            <w:tcW w:w="600" w:type="dxa"/>
            <w:vAlign w:val="bottom"/>
          </w:tcPr>
          <w:p>
            <w:pPr>
              <w:spacing w:after="0"/>
              <w:rPr>
                <w:sz w:val="24"/>
                <w:szCs w:val="24"/>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253.8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58.6</w:t>
            </w: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299.3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252.6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84"/>
        </w:trPr>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0.10</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0.25</w:t>
            </w:r>
          </w:p>
        </w:tc>
        <w:tc>
          <w:tcPr>
            <w:tcW w:w="600" w:type="dxa"/>
            <w:vAlign w:val="bottom"/>
          </w:tcPr>
          <w:p>
            <w:pPr>
              <w:jc w:val="right"/>
              <w:ind w:right="222"/>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2"/>
              <w:spacing w:after="0"/>
              <w:rPr>
                <w:sz w:val="20"/>
                <w:szCs w:val="20"/>
                <w:color w:val="auto"/>
              </w:rPr>
            </w:pPr>
            <w:r>
              <w:rPr>
                <w:rFonts w:ascii="Arial" w:cs="Arial" w:eastAsia="Arial" w:hAnsi="Arial"/>
                <w:sz w:val="14"/>
                <w:szCs w:val="14"/>
                <w:color w:val="auto"/>
              </w:rPr>
              <w:t>0.33</w:t>
            </w:r>
          </w:p>
        </w:tc>
        <w:tc>
          <w:tcPr>
            <w:tcW w:w="500" w:type="dxa"/>
            <w:vAlign w:val="bottom"/>
          </w:tcPr>
          <w:p>
            <w:pPr>
              <w:jc w:val="right"/>
              <w:ind w:right="1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4"/>
                <w:szCs w:val="14"/>
                <w:color w:val="auto"/>
              </w:rPr>
              <w:t>0.27</w:t>
            </w:r>
          </w:p>
        </w:tc>
        <w:tc>
          <w:tcPr>
            <w:tcW w:w="3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52"/>
              <w:spacing w:after="0"/>
              <w:rPr>
                <w:sz w:val="20"/>
                <w:szCs w:val="20"/>
                <w:color w:val="auto"/>
              </w:rPr>
            </w:pPr>
            <w:r>
              <w:rPr>
                <w:rFonts w:ascii="Arial" w:cs="Arial" w:eastAsia="Arial" w:hAnsi="Arial"/>
                <w:sz w:val="14"/>
                <w:szCs w:val="14"/>
                <w:color w:val="auto"/>
              </w:rPr>
              <w:t>0.48</w:t>
            </w:r>
          </w:p>
        </w:tc>
        <w:tc>
          <w:tcPr>
            <w:tcW w:w="4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0.33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13"/>
            <w:vMerge w:val="restart"/>
          </w:tcPr>
          <w:p>
            <w:pPr>
              <w:jc w:val="right"/>
              <w:ind w:right="800"/>
              <w:spacing w:after="0"/>
              <w:rPr>
                <w:sz w:val="20"/>
                <w:szCs w:val="20"/>
                <w:color w:val="auto"/>
              </w:rPr>
            </w:pPr>
            <w:r>
              <w:rPr>
                <w:rFonts w:ascii="Arial" w:cs="Arial" w:eastAsia="Arial" w:hAnsi="Arial"/>
                <w:sz w:val="14"/>
                <w:szCs w:val="14"/>
                <w:b w:val="1"/>
                <w:bCs w:val="1"/>
                <w:color w:val="auto"/>
              </w:rPr>
              <w:t>Predecessor—Regal CineMedia Corporation</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5"/>
            <w:vMerge w:val="restart"/>
          </w:tcPr>
          <w:p>
            <w:pPr>
              <w:jc w:val="right"/>
              <w:ind w:right="272"/>
              <w:spacing w:after="0"/>
              <w:rPr>
                <w:sz w:val="20"/>
                <w:szCs w:val="20"/>
                <w:color w:val="auto"/>
              </w:rPr>
            </w:pPr>
            <w:r>
              <w:rPr>
                <w:rFonts w:ascii="Arial" w:cs="Arial" w:eastAsia="Arial" w:hAnsi="Arial"/>
                <w:sz w:val="14"/>
                <w:szCs w:val="14"/>
                <w:b w:val="1"/>
                <w:bCs w:val="1"/>
                <w:color w:val="auto"/>
                <w:w w:val="95"/>
              </w:rPr>
              <w:t>National CineMedia, LLC</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gridSpan w:val="1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02"/>
              <w:spacing w:after="0" w:line="129" w:lineRule="exact"/>
              <w:rPr>
                <w:sz w:val="20"/>
                <w:szCs w:val="20"/>
                <w:color w:val="auto"/>
              </w:rPr>
            </w:pPr>
            <w:r>
              <w:rPr>
                <w:rFonts w:ascii="Arial" w:cs="Arial" w:eastAsia="Arial" w:hAnsi="Arial"/>
                <w:sz w:val="14"/>
                <w:szCs w:val="14"/>
                <w:b w:val="1"/>
                <w:bCs w:val="1"/>
                <w:color w:val="auto"/>
                <w:w w:val="85"/>
              </w:rPr>
              <w:t>As of</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As of</w:t>
            </w: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52"/>
              <w:spacing w:after="0" w:line="12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26,</w:t>
            </w:r>
          </w:p>
        </w:tc>
        <w:tc>
          <w:tcPr>
            <w:tcW w:w="42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January 1,</w:t>
            </w:r>
          </w:p>
        </w:tc>
        <w:tc>
          <w:tcPr>
            <w:tcW w:w="3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960" w:type="dxa"/>
            <w:vAlign w:val="bottom"/>
            <w:gridSpan w:val="2"/>
          </w:tcPr>
          <w:p>
            <w:pPr>
              <w:jc w:val="center"/>
              <w:ind w:left="285"/>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05"/>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25"/>
              <w:spacing w:after="0" w:line="142" w:lineRule="exact"/>
              <w:rPr>
                <w:sz w:val="20"/>
                <w:szCs w:val="20"/>
                <w:color w:val="auto"/>
              </w:rPr>
            </w:pPr>
            <w:r>
              <w:rPr>
                <w:rFonts w:ascii="Arial" w:cs="Arial" w:eastAsia="Arial" w:hAnsi="Arial"/>
                <w:sz w:val="14"/>
                <w:szCs w:val="14"/>
                <w:b w:val="1"/>
                <w:bCs w:val="1"/>
                <w:color w:val="auto"/>
                <w:w w:val="83"/>
              </w:rPr>
              <w:t>($ in</w:t>
            </w:r>
          </w:p>
        </w:tc>
        <w:tc>
          <w:tcPr>
            <w:tcW w:w="6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72"/>
              </w:rPr>
              <w:t>millions)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4"/>
        </w:trPr>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15.8</w:t>
            </w:r>
          </w:p>
        </w:tc>
        <w:tc>
          <w:tcPr>
            <w:tcW w:w="2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   50.1</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1"/>
                <w:szCs w:val="21"/>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21"/>
                <w:szCs w:val="21"/>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1"/>
                <w:szCs w:val="21"/>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280"/>
            <w:col w:w="8740"/>
          </w:cols>
          <w:pgMar w:left="240" w:top="45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96" w:lineRule="exact"/>
        <w:rPr>
          <w:sz w:val="20"/>
          <w:szCs w:val="20"/>
          <w:color w:val="auto"/>
        </w:rPr>
      </w:pPr>
    </w:p>
    <w:p>
      <w:pPr>
        <w:ind w:right="120" w:firstLine="464"/>
        <w:spacing w:after="0" w:line="254"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EBITDA, adjusted EBITDA and adjusted EBITDA margin are non-GAAP financial measures used by management to measure operating performance. EBITDA represents net income (loss) before net interest expense, income tax provision (benefit),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in the following paragraph, which after this offering will be included in the calculation of adjusted EBITDA to determine our compliance with financial covenants under our new senior secured credit facility. See “Financing Transaction.”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26, 2006, AMC completed the acquisition of Loews. Loews has a pre-existing contract with another cinema advertising provider through May</w:t>
      </w:r>
    </w:p>
    <w:p>
      <w:pPr>
        <w:spacing w:after="0" w:line="3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2008. Therefore, the Loews screens will become part of our national theatre network on an exclusive basis beginning on June 1, 2008 (subject to the run-out of certain pre-existing contractual obligations for on-screen advertising existing on June 1, 2008). In accordance with a Loews Screen Integration Agreement to be entered into between us and AMC, AMC will pay us an amount that approximates the EBITDA we would have generated if we were able to sell advertising in the Loews theatre chain on an exclusive basis commencing on the date of this offering and NCM LLC will issue to AMC common membership units in NCM LLC prior to the completion of this offering. These Loews payments will be made on a quarterly basis for a specified time period and for the three months ended</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June 29, 2006 would have been $ million. See “Management’s Discussion and Analysis of Financial Condition and Results of Operations—Our Company Following the Completion of this Offering—Loews Payments” for additional discussion regarding the Loews Payments.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in this prospectus to provide investors with supplemental measures of our operating performance and information about the calculation of some of the financial covenants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ESAs and the Financing Transaction, we disclose pro forma EBITDA, adjusted EBITDA and adjusted EBITDA margin in this prospectus.</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Adjusted EBITDA including the Loews Payments is a material component of the covenants that will be imposed on us by the new senior secured credit facility. Under the new senior secured credit facility, we will be subject to financial covenant ratios that will be calculated by reference to adjusted EBITDA including the Loews Payments. Non-compliance with the financial covenants contained in the senior secured credit facility could result in a default, an acceleration in the repayment of amounts outstanding and a termination of the lending commitments under the senior secured credit facility. For a description of required financial covenant levels and actual ratio calculations based on adjusted EBITDA including the Loews Payments, see “Management’s Discussion and Analysis of Financial Condition and Results of Operations—Our Company Following the Completion of this Offering—Loews Payments.”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(loss) to EBITDA, adjusted EBITDA and adjusted EBITDA margin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12"/>
          </w:tcPr>
          <w:p>
            <w:pPr>
              <w:ind w:left="620"/>
              <w:spacing w:after="0"/>
              <w:rPr>
                <w:sz w:val="20"/>
                <w:szCs w:val="20"/>
                <w:color w:val="auto"/>
              </w:rPr>
            </w:pPr>
            <w:r>
              <w:rPr>
                <w:rFonts w:ascii="Arial" w:cs="Arial" w:eastAsia="Arial" w:hAnsi="Arial"/>
                <w:sz w:val="14"/>
                <w:szCs w:val="14"/>
                <w:b w:val="1"/>
                <w:bCs w:val="1"/>
                <w:color w:val="auto"/>
                <w:w w:val="88"/>
              </w:rPr>
              <w:t>Predecessor—Regal CineMedia Corporation</w:t>
            </w:r>
          </w:p>
        </w:tc>
        <w:tc>
          <w:tcPr>
            <w:tcW w:w="720" w:type="dxa"/>
            <w:vAlign w:val="bottom"/>
            <w:tcBorders>
              <w:bottom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National CineMedia, LLC</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1"/>
                <w:szCs w:val="11"/>
                <w:color w:val="auto"/>
              </w:rPr>
            </w:pPr>
          </w:p>
        </w:tc>
        <w:tc>
          <w:tcPr>
            <w:tcW w:w="7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1"/>
                <w:szCs w:val="11"/>
                <w:color w:val="auto"/>
              </w:rPr>
            </w:pPr>
          </w:p>
        </w:tc>
        <w:tc>
          <w:tcPr>
            <w:tcW w:w="132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1"/>
                <w:szCs w:val="11"/>
                <w:color w:val="auto"/>
              </w:rPr>
            </w:pPr>
          </w:p>
        </w:tc>
        <w:tc>
          <w:tcPr>
            <w:tcW w:w="11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Nine Months</w:t>
            </w: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Six Months</w:t>
            </w: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26,</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552"/>
              <w:spacing w:after="0" w:line="149"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June 29,</w:t>
            </w:r>
          </w:p>
        </w:tc>
        <w:tc>
          <w:tcPr>
            <w:tcW w:w="1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29,</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2005</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right w:val="single" w:sz="8" w:color="auto"/>
            </w:tcBorders>
            <w:gridSpan w:val="2"/>
          </w:tcPr>
          <w:p>
            <w:pPr>
              <w:jc w:val="right"/>
              <w:ind w:right="5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9"/>
        </w:trPr>
        <w:tc>
          <w:tcPr>
            <w:tcW w:w="21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gridSpan w:val="2"/>
            <w:vMerge w:val="continue"/>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Severance Plan Costs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Arial" w:cs="Arial" w:eastAsia="Arial" w:hAnsi="Arial"/>
                <w:sz w:val="18"/>
                <w:szCs w:val="18"/>
                <w:color w:val="auto"/>
                <w:w w:val="96"/>
              </w:rPr>
              <w:t>Share-based Compensation</w:t>
            </w:r>
          </w:p>
        </w:tc>
        <w:tc>
          <w:tcPr>
            <w:tcW w:w="140" w:type="dxa"/>
            <w:vAlign w:val="bottom"/>
          </w:tcPr>
          <w:p>
            <w:pPr>
              <w:spacing w:after="0"/>
              <w:rPr>
                <w:sz w:val="21"/>
                <w:szCs w:val="21"/>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right w:val="single" w:sz="8" w:color="auto"/>
            </w:tcBorders>
            <w:gridSpan w:val="2"/>
          </w:tcPr>
          <w:p>
            <w:pPr>
              <w:jc w:val="right"/>
              <w:ind w:right="5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Deferred Stock</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gridSpan w:val="2"/>
          </w:tcPr>
          <w:p>
            <w:pPr>
              <w:ind w:left="220"/>
              <w:spacing w:after="0"/>
              <w:rPr>
                <w:sz w:val="20"/>
                <w:szCs w:val="20"/>
                <w:color w:val="auto"/>
              </w:rPr>
            </w:pPr>
            <w:r>
              <w:rPr>
                <w:rFonts w:ascii="Arial" w:cs="Arial" w:eastAsia="Arial" w:hAnsi="Arial"/>
                <w:sz w:val="18"/>
                <w:szCs w:val="18"/>
                <w:color w:val="auto"/>
              </w:rPr>
              <w:t>Compensation</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gridSpan w:val="2"/>
          </w:tcPr>
          <w:p>
            <w:pPr>
              <w:ind w:left="220"/>
              <w:spacing w:after="0"/>
              <w:rPr>
                <w:sz w:val="20"/>
                <w:szCs w:val="20"/>
                <w:color w:val="auto"/>
              </w:rPr>
            </w:pPr>
            <w:r>
              <w:rPr>
                <w:rFonts w:ascii="Arial" w:cs="Arial" w:eastAsia="Arial" w:hAnsi="Arial"/>
                <w:sz w:val="18"/>
                <w:szCs w:val="18"/>
                <w:color w:val="auto"/>
              </w:rPr>
              <w:t>Margin*</w:t>
            </w:r>
          </w:p>
        </w:tc>
        <w:tc>
          <w:tcPr>
            <w:tcW w:w="14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292"/>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20" w:hanging="192"/>
        <w:spacing w:after="0"/>
        <w:tabs>
          <w:tab w:leader="none" w:pos="2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margin calculated by dividing adjusted EBITDA by total revenue.</w:t>
      </w:r>
    </w:p>
    <w:p>
      <w:pPr>
        <w:spacing w:after="0" w:line="171" w:lineRule="exact"/>
        <w:rPr>
          <w:rFonts w:ascii="Arial" w:cs="Arial" w:eastAsia="Arial" w:hAnsi="Arial"/>
          <w:sz w:val="18"/>
          <w:szCs w:val="18"/>
          <w:i w:val="1"/>
          <w:iCs w:val="1"/>
          <w:color w:val="auto"/>
        </w:rPr>
      </w:pPr>
    </w:p>
    <w:p>
      <w:pPr>
        <w:ind w:right="80" w:firstLine="464"/>
        <w:spacing w:after="0" w:line="268" w:lineRule="auto"/>
        <w:tabs>
          <w:tab w:leader="none" w:pos="6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our Founding Members. Excludes Loews and Century screens for all periods presented.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Represents the total number of screens which are connected to our DCN.</w:t>
      </w:r>
    </w:p>
    <w:p>
      <w:pPr>
        <w:spacing w:after="0" w:line="171" w:lineRule="exact"/>
        <w:rPr>
          <w:rFonts w:ascii="Arial" w:cs="Arial" w:eastAsia="Arial" w:hAnsi="Arial"/>
          <w:sz w:val="18"/>
          <w:szCs w:val="18"/>
          <w:color w:val="auto"/>
        </w:rPr>
      </w:pPr>
    </w:p>
    <w:p>
      <w:pPr>
        <w:ind w:right="60" w:firstLine="464"/>
        <w:spacing w:after="0" w:line="259" w:lineRule="auto"/>
        <w:tabs>
          <w:tab w:leader="none" w:pos="6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Represents the total attendance within our advertising network in theatres operated by our Founding Members. Excludes Loews and Century screens for all periods presented. The Loews and Century total attendance for the three and six months ended June 29, 2006 were approximately 16.7 million and 12.9 million, and 32.3 million and 24.4 million, respectively.</w:t>
      </w:r>
    </w:p>
    <w:p>
      <w:pPr>
        <w:spacing w:after="0" w:line="140" w:lineRule="exact"/>
        <w:rPr>
          <w:rFonts w:ascii="Arial" w:cs="Arial" w:eastAsia="Arial" w:hAnsi="Arial"/>
          <w:sz w:val="18"/>
          <w:szCs w:val="18"/>
          <w:color w:val="auto"/>
        </w:rPr>
      </w:pPr>
    </w:p>
    <w:p>
      <w:pPr>
        <w:ind w:firstLine="464"/>
        <w:spacing w:after="0" w:line="335" w:lineRule="auto"/>
        <w:tabs>
          <w:tab w:leader="none" w:pos="632" w:val="left"/>
        </w:tabs>
        <w:numPr>
          <w:ilvl w:val="1"/>
          <w:numId w:val="55"/>
        </w:numPr>
        <w:rPr>
          <w:rFonts w:ascii="Arial" w:cs="Arial" w:eastAsia="Arial" w:hAnsi="Arial"/>
          <w:sz w:val="15"/>
          <w:szCs w:val="15"/>
          <w:color w:val="auto"/>
        </w:rPr>
      </w:pPr>
      <w:r>
        <w:rPr>
          <w:rFonts w:ascii="Arial" w:cs="Arial" w:eastAsia="Arial" w:hAnsi="Arial"/>
          <w:sz w:val="15"/>
          <w:szCs w:val="15"/>
          <w:color w:val="auto"/>
        </w:rPr>
        <w:t>Includes advertising revenue plus legacy contract value for all historical periods. Excludes $3.7 million of revenue related to the beverage concessionaire agreements for Cinemark in the pro forma period ended December 29, 2005, and $1.3 million and $2.5 million of revenue related to the beverage concessionaire agreements for Loews in the pro forma three and six months ended June 29, 2006, as attendees for Cinemark and Loews were not included during those periods.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historical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Our historical financial data discussed below reflects the historical results of operations and financial position of NCM LLC. Accordingly, the historical financial data does not give effect to the Reorganization, the completion of this offering and the Financing Transaction. See “Corporate History and Reorganization,” “Financing Transaction” and “Unaudited Pro Forma Financial Information”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revenues are principally derived from the sale of advertising and, to a lesser extent, from our CineMeetings and digital programming events businesses. Upon completion of this offering, we will have long-term exhibitor services agreements, which we refer to as ESAs, with our Founding Members—AMC, Cinemark and Regal, the three largest motion picture exhibition companies in the United States—and multi-year agreements with several other theatre operators that provide access to their theatres to distribute our content, whom we refer to as Network Affiliates. The ESAs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 Most of our advertising, CineMeetings and digital programming events are distributed to these theatres over our proprietary digital content network.</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Our national on-screen and LEN advertising contracts with clients typically specify the number of theatre attendees, or impressions, to be delivered for a four- or five-week advertising campaign and the unit price per thousand impressions, or CPM, for a 30-second advertising unit. Our regional and local on-screen advertising contracts with clients typically specify the number of screens, duration of time (typically one to several weeks) and the unit price (typically a cost per screen per week) for an advertising campaign. Typically there are a minimum of 11 national 30-second advertising units and a minimum of 14 local 15-second units available in any advertising campaign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program. The number of national or local units can be expanded to a certain extent depending on market demand. Programming on our LEN consists of an approximately 30 minute loop of content segments and advertising. Our lobby promotions contracts are based on a standardized rate card for each product that typically specifies the number of impressions to be delivered. Our CineMeetings revenue is derived from the rental of theatre auditoriums, and the provision of catering services and network and audio visual services that are sold as part of our meeting and event services. Our digital programming revenue is derived from the sale of tickets to the general public for music, sporting and other entertainment events and the sale of event sponsorships for an individual event or a series of events.</w:t>
      </w:r>
    </w:p>
    <w:p>
      <w:pPr>
        <w:spacing w:after="0" w:line="12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advertising rates are generally based on either contracts with our content partners and other advertisers or are driven by the demand in the advertising marketplace, including television and other segments of national, regional and local advertising. Our national on-screen CPMs vary by the time of year and the placement within our pre-feature program. Our Founding Members and certain of our Network Affiliates report to us each theatre’s attendance by film and film rating category on a weekly or monthly basis. The number of people in the auditorium at the time an advertisement is presented is based on the exhibitor’s attendance reports. We calculate the number of impressions delivered against advertising contracts by multiplying the attendance data received from the exhibitors by the number of patrons in their seat at a given time prior to the advertised show time. The percentage is based on independent third-party research. If, during any contract period we under-deliver the number of contracted impressions, we will be obligated to either provide “make-good” advertising units in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subsequent period (and defer the recognition of the related revenue) or refund a pro rata portion of the contract amount in cash to the client. Historically, in the majority of cases, clients have asked us to “make-good” rather than to refund cash.</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To monitor our national advertising business, our management team typically reviews the average CPMs per 30-second units sold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program or LEN and the percentage of impressions sold of total available impressions as a measure of inventory utilization. We also monitor the local and regional average rates per screen per week and number of units sold per theatre. Our primary management metrics for the CineMeetings business include the number of events and the revenue per event location. To monitor our digital programming events business revenue, we typically track the number of tickets sold, average ticket prices, revenue per location and events per given period. EBITDA, adjusted EBITDA and adjusted EBITDA margin are also measures used by management to measure operating performance.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significant expenses associated with our business historically have included (i) selling and marketing expenses, (ii) network operations and maintenance costs, (iii) advertising and event costs, (iv) administrative costs and (v) “circuit share” expenses to our Founding Members under the current agreements with our Founding Members. Our selling and marketing expenses include the base salaries and commissions of our advertising sales staff and expenses associated with marketing, public relations and research departments. Network operations and maintenance costs relate to the personnel and other costs associated with our content production and post-production activities, costs associated with operating our network operations center, or NOC, satellite bandwidth costs and maintenance of the network software and hardware. Advertising and event costs relate primarily to production and fulfillment of non-digital advertising and payments based on a sharing of revenue with our Network Affiliates and the direct costs associated with CineMeetings and digital programming events. Circuit share payments are the payments made to our Founding Members for the right to provide our services in their theatres and prior to this offering have represented substantially all of our earnings before interest, income taxes, depreciation and amortization, or EBITDA. Our administrative costs primarily consist of salaries and bonuses for our administrative staff and occupancy costs. In connection with the completion of this offering, we will enter into 30-year Exhibitor Services Agreements (with a right of first refusal, which begins one year prior to the end of the term of the ESA) with each of our Founding Members which we call ESAs. The ESAs will provide for the payment of a theatre access fee, in lieu of circuit share expense, comprised of a payment per theatre attendee and a payment per digital screen, both of which escalate over time.</w:t>
      </w:r>
    </w:p>
    <w:p>
      <w:pPr>
        <w:spacing w:after="0" w:line="12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operating results are affected by general economic conditions, the quality of our pre-show content and trends in television advertising and other segments of local, regional and national advertising and level of theatre attendance.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Following the Completion of this Offering</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completion of this offering, NCM LLC has been wholly-owned by our Founding Members. In connection with this offering, we will purchase newly issued common membership units from NCM LLC and will become a member and the sole manager of NCM LLC. We intend to enter into several agreements to effect the Reorganization and the Financing Transaction and to define and regulate the relationships among NCM LLC and the Founding Members after the completion of these transactions. For more information about the agreements discussed below and the other agreements between us, NCM LLC and the Founding Members, see “Certain Relationships and Related Party Transactions—Transactions with Founding Members.”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Theatre Access Fee</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ESAs that we and the Founding Members will enter into in connection with this offering will significantly change the structure of NCM LLC’s payments to the Founding Members. Under the current contractual arrangements, NCM LLC makes quarterly circuit share payments to the Founding Members based on varying percentages of advertising revenue. Under the ESAs, we will make monthly theatre access fee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the Founding Members, comprised of a payment per theatre attendee of $0.07 which will increase by 8% every five years with the first such increase taking effect after the end of fiscal 2011 and a payment per digital screen of $66.67 which will increase 5% per year beginning at the end of fiscal 2007. The theatre access fee paid in the aggregate to all Founding Members annually will not be less than 12% of NCM LLC’s aggregate annual advertising revenue as defined in the ESAs, or it will be adjusted upward to reach this minimum payment. The theatre access fee will replace the current circuit share expenses, which will reduce the contractual amounts paid to our Founding Members from the historical amounts. For more information on the ESAs, see “Certain Relationships and Related Party Transactions—Transactions with Founding Members—Exhibitor Services Agreements (ESAs).”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Loews Payments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January 26, 2006, AMC acquired the Loews theatre circuit. The Loews Screen Integration Agreement, which will be entered into between NCM LLC and AMC in connection with this offering, will commit AMC to cause the theatres it acquired from Loews to participate in the ESA beginning on June 1, 2008. These U.S.-based Loews screens will become part of our national advertising network on an exclusive basis beginning on June 1, 2008, following the expiration of Loews’ pre-existing contract with another cinema advertising provider. The Loews theatres will be subject to the following limitations: (i) during the period beginning on June 1, 2008 through December 1, 2008, the run-out of certain pre-existing contractual obligations for on-screen advertising that exist on June 1, 2008 and (ii) during the period beginning on December 1, 2008 through March 1, 2009, the right of the prior advertising provider to continue running one minute of advertising during the pre-feature show. In accordance with a Loews Screen Integration Agreement to be entered into between us and AMC, AMC will pay us an amount that approximates the EBITDA we would have generated if we were able to sell advertising in the Loews theatre chain on an exclusive basis commencing on the date of this offering and NCM LLC will issue to AMC common membership units in NCM LLC prior to the completion of this offering. These Loews Payments will be made on a quarterly basis for a specified time period and for the three months ended June 29, 2006, would have been $ million.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historical financial information discussed herein has been derived from the financial statements and accounting records of NCM LLC for the nine months ended December 29, 2005, the three and six months ended June 29, 2006, and the three months ended June 30, 2005, and from the financial statements and accounting records of our predecessor company RCM for the fiscal years ended January 1, 2004 and December 30, 2004 and for the three months ended March 31, 2005. We present results for the three months ended June 29, 2006 because this was the first full quarterly period during which we had rights to 100% of the advertising inventory in Cinemark’s theatres. As such, we believe this quarterly period best represents our operations as they exist today with the exception of the Century theaters which Cinemark acquired as of October 5, 2006.</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historical results of operations and the results of operations of RCM:</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Advertising</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Administrative Fees—Members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Meetings and Events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Circuit Share Costs—Members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Deferred Stock Compensation and Severance Plan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Income/(Loss) Before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80" w:type="dxa"/>
            <w:vAlign w:val="bottom"/>
            <w:gridSpan w:val="7"/>
          </w:tcPr>
          <w:p>
            <w:pPr>
              <w:jc w:val="center"/>
              <w:ind w:left="275"/>
              <w:spacing w:after="0"/>
              <w:rPr>
                <w:sz w:val="20"/>
                <w:szCs w:val="20"/>
                <w:color w:val="auto"/>
              </w:rPr>
            </w:pPr>
            <w:r>
              <w:rPr>
                <w:rFonts w:ascii="Arial" w:cs="Arial" w:eastAsia="Arial" w:hAnsi="Arial"/>
                <w:sz w:val="14"/>
                <w:szCs w:val="14"/>
                <w:b w:val="1"/>
                <w:bCs w:val="1"/>
                <w:color w:val="auto"/>
                <w:w w:val="85"/>
              </w:rPr>
              <w:t>Predecessor-Regal CineMedia</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Corporation</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14"/>
                <w:szCs w:val="14"/>
                <w:b w:val="1"/>
                <w:bCs w:val="1"/>
                <w:color w:val="auto"/>
                <w:w w:val="98"/>
              </w:rPr>
              <w:t>National CineMedia, LLC</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1"/>
                <w:szCs w:val="11"/>
                <w:color w:val="auto"/>
              </w:rPr>
            </w:pPr>
          </w:p>
        </w:tc>
        <w:tc>
          <w:tcPr>
            <w:tcW w:w="36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5"/>
                <w:szCs w:val="5"/>
                <w:color w:val="auto"/>
              </w:rPr>
            </w:pPr>
          </w:p>
        </w:tc>
        <w:tc>
          <w:tcPr>
            <w:tcW w:w="360" w:type="dxa"/>
            <w:vAlign w:val="bottom"/>
            <w:tcBorders>
              <w:left w:val="single" w:sz="8" w:color="auto"/>
            </w:tcBorders>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5"/>
                <w:szCs w:val="5"/>
                <w:color w:val="auto"/>
              </w:rPr>
            </w:pPr>
          </w:p>
        </w:tc>
        <w:tc>
          <w:tcPr>
            <w:tcW w:w="1080" w:type="dxa"/>
            <w:vAlign w:val="bottom"/>
            <w:gridSpan w:val="3"/>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5"/>
                <w:szCs w:val="5"/>
                <w:color w:val="auto"/>
              </w:rPr>
            </w:pPr>
          </w:p>
        </w:tc>
        <w:tc>
          <w:tcPr>
            <w:tcW w:w="13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18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Borders>
              <w:left w:val="single" w:sz="8" w:color="auto"/>
            </w:tcBorders>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restart"/>
          </w:tcPr>
          <w:p>
            <w:pPr>
              <w:jc w:val="center"/>
              <w:ind w:right="35"/>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8"/>
                <w:szCs w:val="8"/>
                <w:color w:val="auto"/>
              </w:rPr>
            </w:pPr>
          </w:p>
        </w:tc>
        <w:tc>
          <w:tcPr>
            <w:tcW w:w="3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Borders>
              <w:lef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3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46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June 29,</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75"/>
        </w:trPr>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2005</w:t>
            </w: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w:t>
            </w:r>
          </w:p>
        </w:tc>
        <w:tc>
          <w:tcPr>
            <w:tcW w:w="360" w:type="dxa"/>
            <w:vAlign w:val="bottom"/>
            <w:tcBorders>
              <w:lef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w w:val="75"/>
              </w:rPr>
              <w:t>millions)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65.2</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4"/>
                <w:szCs w:val="24"/>
                <w:color w:val="auto"/>
              </w:rPr>
            </w:pPr>
          </w:p>
        </w:tc>
        <w:tc>
          <w:tcPr>
            <w:tcW w:w="5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9.0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4"/>
                <w:szCs w:val="24"/>
                <w:color w:val="auto"/>
              </w:rPr>
            </w:pPr>
          </w:p>
        </w:tc>
        <w:tc>
          <w:tcPr>
            <w:tcW w:w="3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32"/>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c>
          <w:tcPr>
            <w:tcW w:w="360" w:type="dxa"/>
            <w:vAlign w:val="bottom"/>
            <w:tcBorders>
              <w:lef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w:t>
            </w:r>
          </w:p>
        </w:tc>
        <w:tc>
          <w:tcPr>
            <w:tcW w:w="460" w:type="dxa"/>
            <w:vAlign w:val="bottom"/>
          </w:tcPr>
          <w:p>
            <w:pPr>
              <w:spacing w:after="0"/>
              <w:rPr>
                <w:sz w:val="21"/>
                <w:szCs w:val="21"/>
                <w:color w:val="auto"/>
              </w:rPr>
            </w:pPr>
          </w:p>
        </w:tc>
        <w:tc>
          <w:tcPr>
            <w:tcW w:w="5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rPr>
              <w:t>(2.2)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560" w:space="460"/>
            <w:col w:w="7400"/>
          </w:cols>
          <w:pgMar w:left="240" w:top="45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predecessor company, RCM, provided advertising services to the Regal theatre circuit during fiscal 2002, 2003, 2004, and the first quarter of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Additionally, beginning in October 2004, RCM provided advertising services to one Network Affiliate.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growth in the number of theatres for which advertising services were provided during the above periods limits the comparability as follows:</w:t>
      </w:r>
    </w:p>
    <w:p>
      <w:pPr>
        <w:spacing w:after="0" w:line="113" w:lineRule="exact"/>
        <w:rPr>
          <w:sz w:val="20"/>
          <w:szCs w:val="20"/>
          <w:color w:val="auto"/>
        </w:rPr>
      </w:pPr>
    </w:p>
    <w:p>
      <w:pPr>
        <w:ind w:left="780" w:hanging="24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fiscal 2003 and 2004, the operating results of RCM, our predecessor, are comparable.</w:t>
      </w:r>
    </w:p>
    <w:p>
      <w:pPr>
        <w:spacing w:after="0" w:line="90" w:lineRule="exact"/>
        <w:rPr>
          <w:rFonts w:ascii="Arial" w:cs="Arial" w:eastAsia="Arial" w:hAnsi="Arial"/>
          <w:sz w:val="18"/>
          <w:szCs w:val="18"/>
          <w:color w:val="auto"/>
        </w:rPr>
      </w:pPr>
    </w:p>
    <w:p>
      <w:pPr>
        <w:ind w:left="780" w:right="100" w:hanging="249"/>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fiscal 2004 and fiscal 2005 are not comparable, primarily due to the addition of the AMC theatre circuit and additional Network Affiliates contributed by AMC to RCM’s existing network as of April 1, 2005, the time of the formation of NCM LLC.</w:t>
      </w:r>
    </w:p>
    <w:p>
      <w:pPr>
        <w:spacing w:after="0" w:line="50" w:lineRule="exact"/>
        <w:rPr>
          <w:rFonts w:ascii="Arial" w:cs="Arial" w:eastAsia="Arial" w:hAnsi="Arial"/>
          <w:sz w:val="18"/>
          <w:szCs w:val="18"/>
          <w:color w:val="auto"/>
        </w:rPr>
      </w:pPr>
    </w:p>
    <w:p>
      <w:pPr>
        <w:ind w:left="780" w:right="80" w:hanging="249"/>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three months ended June 2006 and the three months ended June 2005 are not comparable because of the addition of the Cinemark theatre circuit to our network.</w:t>
      </w:r>
    </w:p>
    <w:p>
      <w:pPr>
        <w:spacing w:after="0" w:line="50" w:lineRule="exact"/>
        <w:rPr>
          <w:rFonts w:ascii="Arial" w:cs="Arial" w:eastAsia="Arial" w:hAnsi="Arial"/>
          <w:sz w:val="18"/>
          <w:szCs w:val="18"/>
          <w:color w:val="auto"/>
        </w:rPr>
      </w:pPr>
    </w:p>
    <w:p>
      <w:pPr>
        <w:ind w:left="780" w:right="540" w:hanging="249"/>
        <w:spacing w:after="0" w:line="332" w:lineRule="auto"/>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six months ended June 2006 and the six months ended June 2005 are not comparable because of the addition of the AMC theatre circuit and additional Network Affiliates as of April 2005, as well as the addition of the Cinemark theatre circuit in January 2006.</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 October 5, 2006, Cinemark completed the acquisition of the Century theatre circuit and the Century screens have been added to our network on an exclusive basis upon completion of the acquisition. The addition of the Century theatre network will affect the comparability of future results.</w:t>
      </w:r>
    </w:p>
    <w:p>
      <w:pPr>
        <w:spacing w:after="0" w:line="8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At our formation, each of AMC and Regal retained their pre-existing advertising contracts and we administered those contracts on behalf of those Founding Members for an administrative fee equal to 35% of total revenues through December 29, 2005 and 32% thereafter. Over time as these “legacy” advertising contracts were fulfilled and we entered into new contracts directly with advertisers, the administrative fees declined and our advertising revenue increased. The total underlying legacy contract value was approximately equal to our administrative fees during that period divided by the appropriate administrative fee percentage. Therefore, we believe the most meaningful metric to ascertain the growth of our advertising revenue among all historical periods presented is the total amount of our advertising revenue plus the legacy contract value. We refer to as the total advertising contract value, divided by the total number of Founding Member attendees as total advertising contract value. We believe this metric is helpful to analyze advertising revenue performance across our reporting periods, and provides a measure of revenue which is independent of the number of theatres in our network for which advertising services are being provided.</w:t>
      </w:r>
    </w:p>
    <w:p>
      <w:pPr>
        <w:spacing w:after="0" w:line="10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increases in the size of the network, as well as differences in the structure of circuit share expense, limit the comparability of operating expenses for all reporting periods except for fiscal 2004 and fiscal 2003. Therefore, certain components of operating expenses, including selling and marketing, administrative, and depreciation expense, will be analyzed on the basis of cost per Founding Member attendee. Deferred stock compensation and severance plan costs are not generally related to the number of Founding Member attendees. Deferred stock compensation expense was recorded by RCM and relates to Regal stock option grants made to RCM employees. At the time of the formation of NCM LLC, remaining unvested in-the-money Regal stock option grants were converted to a series of cash payments to each option grantee, subject to a continuation of employment requirement, and have been accounted for as an expense by NCM LLC. These costs declined from $3.7 million during the three months ended June 30, 2005 to $0.8 million during the three months ended June 29, 2006, and will continue to decline as the participants in the severance plan receive their final payments.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Circuit share expense is currently recorded as a percentage of revenue based upon the agreements between NCM LLC and the Founding Members. Before the formation of NCM LLC, when RCM operated as a stand-alone entity, payments were made to RCM’s parent, Regal, through inter-company transfers which are described as circuit share expense in the table above. Upon the completion of this offering, the circuit share expense currently paid by NCM LLC to the Founding Members will be converted to a theatre access fee calculated as described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total advertising contract value and operating expenses per Founding Member attendee for the periods presented, which will be discussed further below.</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Total Advertising Contract Value ($ in millions)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Total Advertising Contract Value per Founding</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Member Attendee*</w:t>
      </w:r>
    </w:p>
    <w:p>
      <w:pPr>
        <w:spacing w:after="0" w:line="9" w:lineRule="exact"/>
        <w:rPr>
          <w:sz w:val="20"/>
          <w:szCs w:val="20"/>
          <w:color w:val="auto"/>
        </w:rPr>
      </w:pPr>
    </w:p>
    <w:p>
      <w:pPr>
        <w:ind w:left="220" w:right="160" w:hanging="215"/>
        <w:spacing w:after="0" w:line="261" w:lineRule="auto"/>
        <w:rPr>
          <w:sz w:val="20"/>
          <w:szCs w:val="20"/>
          <w:color w:val="auto"/>
        </w:rPr>
      </w:pPr>
      <w:r>
        <w:rPr>
          <w:rFonts w:ascii="Arial" w:cs="Arial" w:eastAsia="Arial" w:hAnsi="Arial"/>
          <w:sz w:val="18"/>
          <w:szCs w:val="18"/>
          <w:color w:val="auto"/>
        </w:rPr>
        <w:t>Total Operating Expenses per Founding Member Attendee*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903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70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83"/>
              </w:rPr>
              <w:t>Predecessor-Regal</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89"/>
              </w:rPr>
              <w:t>CineMedia Corporation</w:t>
            </w:r>
          </w:p>
        </w:tc>
        <w:tc>
          <w:tcPr>
            <w:tcW w:w="5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2"/>
              </w:rPr>
              <w:t>National CineMedia, LLC</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9"/>
        </w:trPr>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c>
          <w:tcPr>
            <w:tcW w:w="1660" w:type="dxa"/>
            <w:vAlign w:val="bottom"/>
            <w:gridSpan w:val="6"/>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center"/>
              <w:ind w:right="1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11"/>
                <w:szCs w:val="11"/>
                <w:color w:val="auto"/>
              </w:rPr>
            </w:pPr>
          </w:p>
        </w:tc>
      </w:tr>
      <w:tr>
        <w:trPr>
          <w:trHeight w:val="175"/>
        </w:trPr>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87"/>
              </w:rPr>
              <w:t>Years Ended</w:t>
            </w:r>
          </w:p>
        </w:tc>
        <w:tc>
          <w:tcPr>
            <w:tcW w:w="540" w:type="dxa"/>
            <w:vAlign w:val="bottom"/>
            <w:tcBorders>
              <w:bottom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88"/>
              </w:rPr>
              <w:t>Ended</w:t>
            </w:r>
          </w:p>
        </w:tc>
        <w:tc>
          <w:tcPr>
            <w:tcW w:w="4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88"/>
              </w:rPr>
              <w:t>Ended</w:t>
            </w: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6"/>
        </w:trPr>
        <w:tc>
          <w:tcPr>
            <w:tcW w:w="62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rPr>
              <w:t>January 1,</w:t>
            </w:r>
          </w:p>
        </w:tc>
        <w:tc>
          <w:tcPr>
            <w:tcW w:w="400" w:type="dxa"/>
            <w:vAlign w:val="bottom"/>
          </w:tcPr>
          <w:p>
            <w:pPr>
              <w:spacing w:after="0"/>
              <w:rPr>
                <w:sz w:val="10"/>
                <w:szCs w:val="10"/>
                <w:color w:val="auto"/>
              </w:rPr>
            </w:pPr>
          </w:p>
        </w:tc>
        <w:tc>
          <w:tcPr>
            <w:tcW w:w="80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9"/>
              </w:rPr>
              <w:t>December 30,</w:t>
            </w:r>
          </w:p>
        </w:tc>
        <w:tc>
          <w:tcPr>
            <w:tcW w:w="5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December 29,</w:t>
            </w:r>
          </w:p>
        </w:tc>
        <w:tc>
          <w:tcPr>
            <w:tcW w:w="5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w w:val="99"/>
              </w:rPr>
              <w:t>June 30,</w:t>
            </w:r>
          </w:p>
        </w:tc>
        <w:tc>
          <w:tcPr>
            <w:tcW w:w="400" w:type="dxa"/>
            <w:vAlign w:val="bottom"/>
          </w:tcPr>
          <w:p>
            <w:pPr>
              <w:spacing w:after="0"/>
              <w:rPr>
                <w:sz w:val="10"/>
                <w:szCs w:val="10"/>
                <w:color w:val="auto"/>
              </w:rPr>
            </w:pPr>
          </w:p>
        </w:tc>
        <w:tc>
          <w:tcPr>
            <w:tcW w:w="48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5"/>
              </w:rPr>
              <w:t>June 29,</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5"/>
              </w:rPr>
              <w:t>June 30,</w:t>
            </w:r>
          </w:p>
        </w:tc>
        <w:tc>
          <w:tcPr>
            <w:tcW w:w="420" w:type="dxa"/>
            <w:vAlign w:val="bottom"/>
          </w:tcPr>
          <w:p>
            <w:pPr>
              <w:spacing w:after="0"/>
              <w:rPr>
                <w:sz w:val="10"/>
                <w:szCs w:val="10"/>
                <w:color w:val="auto"/>
              </w:rPr>
            </w:pPr>
          </w:p>
        </w:tc>
        <w:tc>
          <w:tcPr>
            <w:tcW w:w="48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5"/>
              </w:rPr>
              <w:t>June 29,</w:t>
            </w:r>
          </w:p>
        </w:tc>
        <w:tc>
          <w:tcPr>
            <w:tcW w:w="20" w:type="dxa"/>
            <w:vAlign w:val="bottom"/>
          </w:tcPr>
          <w:p>
            <w:pPr>
              <w:spacing w:after="0"/>
              <w:rPr>
                <w:sz w:val="10"/>
                <w:szCs w:val="10"/>
                <w:color w:val="auto"/>
              </w:rPr>
            </w:pPr>
          </w:p>
        </w:tc>
      </w:tr>
      <w:tr>
        <w:trPr>
          <w:trHeight w:val="175"/>
        </w:trPr>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65.2</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w:t>
            </w:r>
          </w:p>
        </w:tc>
        <w:tc>
          <w:tcPr>
            <w:tcW w:w="520" w:type="dxa"/>
            <w:vAlign w:val="bottom"/>
            <w:tcBorders>
              <w:right w:val="single" w:sz="8" w:color="auto"/>
            </w:tcBorders>
          </w:tcPr>
          <w:p>
            <w:pPr>
              <w:spacing w:after="0"/>
              <w:rPr>
                <w:sz w:val="20"/>
                <w:szCs w:val="20"/>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84.2</w:t>
            </w:r>
          </w:p>
        </w:tc>
        <w:tc>
          <w:tcPr>
            <w:tcW w:w="38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45.6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r>
      <w:tr>
        <w:trPr>
          <w:trHeight w:val="432"/>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0.33</w:t>
            </w:r>
          </w:p>
        </w:tc>
        <w:tc>
          <w:tcPr>
            <w:tcW w:w="520" w:type="dxa"/>
            <w:vAlign w:val="bottom"/>
            <w:tcBorders>
              <w:right w:val="single" w:sz="8" w:color="auto"/>
            </w:tcBorders>
          </w:tcPr>
          <w:p>
            <w:pPr>
              <w:spacing w:after="0"/>
              <w:rPr>
                <w:sz w:val="24"/>
                <w:szCs w:val="24"/>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0.33</w:t>
            </w:r>
          </w:p>
        </w:tc>
        <w:tc>
          <w:tcPr>
            <w:tcW w:w="38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434"/>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520" w:type="dxa"/>
            <w:vAlign w:val="bottom"/>
            <w:tcBorders>
              <w:right w:val="single" w:sz="8" w:color="auto"/>
            </w:tcBorders>
          </w:tcPr>
          <w:p>
            <w:pPr>
              <w:spacing w:after="0"/>
              <w:rPr>
                <w:sz w:val="24"/>
                <w:szCs w:val="24"/>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0.18</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r>
    </w:tbl>
    <w:p>
      <w:pPr>
        <w:spacing w:after="0" w:line="216" w:lineRule="exact"/>
        <w:rPr>
          <w:sz w:val="20"/>
          <w:szCs w:val="20"/>
          <w:color w:val="auto"/>
        </w:rPr>
      </w:pPr>
    </w:p>
    <w:p>
      <w:pPr>
        <w:sectPr>
          <w:pgSz w:w="11900" w:h="16838" w:orient="portrait"/>
          <w:cols w:equalWidth="0" w:num="2">
            <w:col w:w="3600" w:space="720"/>
            <w:col w:w="7100"/>
          </w:cols>
          <w:pgMar w:left="240" w:top="459" w:right="239" w:bottom="1440" w:gutter="0" w:footer="0" w:header="0"/>
          <w:type w:val="continuous"/>
        </w:sectPr>
      </w:pPr>
    </w:p>
    <w:p>
      <w:pPr>
        <w:spacing w:after="0" w:line="5" w:lineRule="exact"/>
        <w:rPr>
          <w:sz w:val="20"/>
          <w:szCs w:val="20"/>
          <w:color w:val="auto"/>
        </w:rPr>
      </w:pPr>
    </w:p>
    <w:p>
      <w:pPr>
        <w:ind w:left="440" w:hanging="30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the years ended January 1, 2004 and December 30, 2004, Founding Member attendees were comprised of Regal attendees only.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months ended June 29, 2006 and June 30, 2005</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Total revenues increased from $25.5 million during the three months ended June 30, 2005 to $57.1 million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2006, an increase of $31.6 million, or 123.9%. Total advertising contract value increased from $45.6 million during the three months ended June 30, 2005 to $56.5 million during the three months ended June 29, 2006, an increase of $10.9 million, or 23.9%. Total advertising contract value per Founding Member attendee decreased from $0.46 during the three months ended June 30, 2005 to $0.42 during the three months ended June 29, 2006, a decrease of $0.04, or 8.7%. This decrease resulted from modest reductions in advertising inventory utilization during the transition period when the Cinemark screens were added to our network and revenue reductions related to the expiration of certain Network Affiliate agreements which we chose not to renew.</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from $17.8 million during the three months ended June 30, 2005 to $23.0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29, 2006, an increase of $5.2 million, or 29.2%. Total operating expenses per Founding Member attendee decreased from $0.18 during the three months ended June 30, 2005 to $0.17 during the three months ended June 29, 2006, a decrease of $0.01, or 5.6%. This decrease was due to better absorption of fixed operating expenses, the addition of Cinemark attendees and operating expense reductions resulting from the expiration during 2005 and 2006 of certain Network Affiliate agreements which we chose not to renew.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Six months ended June 29, 2006 and June 30, 2005</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analysis, the total advertising contract value and total operating expenses of NCM LLC for the three months ended June 30, 2005 will be added to the total advertising contract value and total operating expenses of RCM for the three months ended March 31, 2005 to derive the total advertising contract value and total operating expenses for the six months ended June 30, 2005.</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Total revenues increased from $43.3 million during the six months ended June 30, 2005 to $84.5 million during the six months ended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2006, an increase of $41.2 million, or 95.2%. Total advertising contract value increased from $61.2 million during the six months ended June 30, 2005 to $84.2 million during the six months ended June 29, 2006, an increase of $23.0 million, or 37.6%. Total advertising contract value per Founding Member attendee decreased from $0.39 during the six months ended June 30, 2005 to $0.33 during the six months ended June 29, 2006, a decrease of $0.06, or 15.4%. This decrease was the result of the impact of restrictions on our ability to sell national advertising on Cinemark’s screens between January 1, 2006 and April 1, 2006, coupled with slight reductions in local advertising inventory utilization as the existing Cinemark clients were transitioned to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format and revenue reductions related to the expiration of certain Network Affiliate agreements which we chose not to renew.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from $30.1 million during the six months ended June 30, 2005 to $41.7 million during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months ended June 29, 2006, an increase of $11.6 million, or 38.5%. Total operating expenses per Founding Member attendee decreased from $0.19 during the six months ended June 30, 2005 to $0.17 during the six months ended June 29, 2006, a decrease of $0.02, or 10.5%. This decrease was the result of the inclusion of Cinemark attendees for the entire period, the slight reductions in local advertising inventory utilization as the existing Cinemark clients were transitioned to our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format and better absorption of fixed costs for the first portion of that period and expense reductions resulting from the expiration during 2006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Network Affiliate agreements, which we chose not to renew.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Years ended December 29, 2005 and December 30, 2004</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For purposes of this analysis, the total revenue, total advertising contract value and total operating expenses of NCM LLC for the nine months ended December 29, 2005 will be added to the total advertising contract value and total operating expenses of RCM for the three months ended March 31, 2005 to derive the total revenue, total advertising contract value and total operating expenses (in total and per Founding Member attendee) for the year ended December 29, 2005.</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Total revenues increased from $95.3 million during fiscal 2004 to $116.6 million during the twelve months ended December 29, 2005,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$21.3 million, or 22.4%. Total advertising contract value increased from $83.6 million during fiscal 2004 to $159.6 million during the twelve months ended December 29, 2005, an increase of $76.0 million, or 90.9%. Total advertising contract value per Founding Member attendee increased from $0.33 during fiscal 2004 to $0.45 during the twelve months ended December 29, 2005, an increase of $0.12, or 36.4%. This increase resulted from the expansion of our network with the addition of the AMC theatres in 2005 and our success in expanding our national advertising client base, accompanied by increased regional advertising revenue due to an expansion of the regional on-screen inventory and local advertising sales team.</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from $43.4 million during fiscal 2004 to $70.9 million during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29, 2005, an increase of $27.5 million, or 63.4%. Total operating expenses per Founding Member attendee increased from $0.17 during fiscal 2004 to $0.20 during the twelve months ended December 29, 2005, an increase of $0.03, or 17.6%. This increase resulted from increased operating and sales and marketing expenses related to the increase in the number of theatres, accompanied by incremental expenses related to the greater number of Network Affiliate agreements, offset by better absorption of fixed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Years ended December 30, 2004 and January 1, 2004</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Total revenues of RCM increased from $72.4 million during the year ended January 1, 2004 to $95.3 million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30, 2004, an increase of $22.9 million, or 31.6%. Total advertising contract value of RCM increased from $65.2 million during the year ended January 1, 2004 to $83.6 million during the year ended December 30, 2004, an increase of $18.4 million, or 28.2%. Total advertising contract value per Founding Member attendee increased from $0.25 during the year ended January 1, 2004 to $0.33 in the year ended December 30, 2004, an increase of $0.08, or 32.0%. The expansion of RCM’s digital network capabilities and advertising client base was the primary reason for this increase.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of RCM increased from $34.4 million during the year ended January 1, 2004 to $43.4 million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30, 2004, an increase of $9.0 million, or 26.2%. Total operating expenses per Founding Member attendee increased from $0.13 during the year ended January 1, 2004 to $0.17 in the year ended December 30, 2004, an increase of $0.04, or 30.8%. This increase was due to operating and sales commission expenses resulting from the higher revenue levels and the greater numbers of screens included in the DCN.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discussed above, which after this offering will be included in the calculation of adjusted EBITDA including the Loews Payments to determine our compliance with financial covenants under our new senior secured credit facility. See “Financing Transaction.” AMC will make Loews Payments to NCM LLC pursuant to the Loews Screen Integration Agreement, which for the three</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months ended June 29, 2006, would have been $ million. See “—Our Company Following the Completion of This Offering—Loews Payments” for additional discussion regarding the Loews Payments.</w:t>
      </w:r>
    </w:p>
    <w:p>
      <w:pPr>
        <w:spacing w:after="0" w:line="1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EBITDA, adjusted EBITDA and adjusted EBITDA margin in this prospectus to provide investors with supplemental measures of our operating performance and because they are the basis for an important financial covenant that will be contained in our new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in the evaluation of issuers, many of which present EBITDA, adjusted EBITDA and adjusted EBITDA margin when reporting their results. Also, because of the significant changes in our operating results that will result from our acquisition of an interest in NCM LLC, the changes in the ESAs and the Financing Transaction, we disclose pro forma EBITDA, adjusted EBITDA and adjusted EBITDA margin in this prospectus. See “Unaudited Pro Forma Financial Information.”</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in this prospectus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(loss) to EBITDA and adjusted EBITDA on a historical and pro forma basis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NCM LLC</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NCM LLC</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0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380" w:type="dxa"/>
            <w:vAlign w:val="bottom"/>
            <w:gridSpan w:val="4"/>
            <w:vMerge w:val="restart"/>
          </w:tcPr>
          <w:p>
            <w:pPr>
              <w:jc w:val="right"/>
              <w:ind w:right="660"/>
              <w:spacing w:after="0" w:line="149" w:lineRule="exact"/>
              <w:rPr>
                <w:sz w:val="20"/>
                <w:szCs w:val="20"/>
                <w:color w:val="auto"/>
              </w:rPr>
            </w:pPr>
            <w:r>
              <w:rPr>
                <w:rFonts w:ascii="Arial" w:cs="Arial" w:eastAsia="Arial" w:hAnsi="Arial"/>
                <w:sz w:val="14"/>
                <w:szCs w:val="14"/>
                <w:b w:val="1"/>
                <w:bCs w:val="1"/>
                <w:color w:val="auto"/>
              </w:rPr>
              <w:t>NCM LLC</w:t>
            </w:r>
          </w:p>
        </w:tc>
        <w:tc>
          <w:tcPr>
            <w:tcW w:w="120" w:type="dxa"/>
            <w:vAlign w:val="bottom"/>
          </w:tcPr>
          <w:p>
            <w:pPr>
              <w:spacing w:after="0"/>
              <w:rPr>
                <w:sz w:val="5"/>
                <w:szCs w:val="5"/>
                <w:color w:val="auto"/>
              </w:rPr>
            </w:pPr>
          </w:p>
        </w:tc>
        <w:tc>
          <w:tcPr>
            <w:tcW w:w="1240" w:type="dxa"/>
            <w:vAlign w:val="bottom"/>
            <w:gridSpan w:val="2"/>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rPr>
              <w:t>&amp; RCM</w:t>
            </w: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0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1860" w:type="dxa"/>
            <w:vAlign w:val="bottom"/>
            <w:gridSpan w:val="5"/>
          </w:tcPr>
          <w:p>
            <w:pPr>
              <w:jc w:val="right"/>
              <w:ind w:right="732"/>
              <w:spacing w:after="0"/>
              <w:rPr>
                <w:sz w:val="20"/>
                <w:szCs w:val="20"/>
                <w:color w:val="auto"/>
              </w:rPr>
            </w:pPr>
            <w:r>
              <w:rPr>
                <w:rFonts w:ascii="Arial" w:cs="Arial" w:eastAsia="Arial" w:hAnsi="Arial"/>
                <w:sz w:val="14"/>
                <w:szCs w:val="14"/>
                <w:b w:val="1"/>
                <w:bCs w:val="1"/>
                <w:color w:val="auto"/>
                <w:w w:val="85"/>
              </w:rPr>
              <w:t>Six Months Ended</w:t>
            </w:r>
          </w:p>
        </w:tc>
        <w:tc>
          <w:tcPr>
            <w:tcW w:w="140" w:type="dxa"/>
            <w:vAlign w:val="bottom"/>
          </w:tcPr>
          <w:p>
            <w:pPr>
              <w:spacing w:after="0"/>
              <w:rPr>
                <w:sz w:val="14"/>
                <w:szCs w:val="14"/>
                <w:color w:val="auto"/>
              </w:rPr>
            </w:pP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860" w:type="dxa"/>
            <w:vAlign w:val="bottom"/>
            <w:gridSpan w:val="5"/>
          </w:tcPr>
          <w:p>
            <w:pPr>
              <w:jc w:val="right"/>
              <w:ind w:right="872"/>
              <w:spacing w:after="0" w:line="149" w:lineRule="exact"/>
              <w:rPr>
                <w:sz w:val="20"/>
                <w:szCs w:val="20"/>
                <w:color w:val="auto"/>
              </w:rPr>
            </w:pPr>
            <w:r>
              <w:rPr>
                <w:rFonts w:ascii="Arial" w:cs="Arial" w:eastAsia="Arial" w:hAnsi="Arial"/>
                <w:sz w:val="14"/>
                <w:szCs w:val="14"/>
                <w:b w:val="1"/>
                <w:bCs w:val="1"/>
                <w:color w:val="auto"/>
                <w:w w:val="98"/>
              </w:rPr>
              <w:t>June 29, 2006</w:t>
            </w:r>
          </w:p>
        </w:tc>
        <w:tc>
          <w:tcPr>
            <w:tcW w:w="140" w:type="dxa"/>
            <w:vAlign w:val="bottom"/>
          </w:tcPr>
          <w:p>
            <w:pPr>
              <w:spacing w:after="0"/>
              <w:rPr>
                <w:sz w:val="12"/>
                <w:szCs w:val="12"/>
                <w:color w:val="auto"/>
              </w:rPr>
            </w:pPr>
          </w:p>
        </w:tc>
        <w:tc>
          <w:tcPr>
            <w:tcW w:w="16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June 29, 2006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gridSpan w:val="4"/>
            <w:vMerge w:val="restart"/>
          </w:tcPr>
          <w:p>
            <w:pPr>
              <w:ind w:left="20"/>
              <w:spacing w:after="0" w:line="136" w:lineRule="exact"/>
              <w:rPr>
                <w:sz w:val="20"/>
                <w:szCs w:val="20"/>
                <w:color w:val="auto"/>
              </w:rPr>
            </w:pPr>
            <w:r>
              <w:rPr>
                <w:rFonts w:ascii="Arial" w:cs="Arial" w:eastAsia="Arial" w:hAnsi="Arial"/>
                <w:sz w:val="14"/>
                <w:szCs w:val="14"/>
                <w:b w:val="1"/>
                <w:bCs w:val="1"/>
                <w:color w:val="auto"/>
              </w:rPr>
              <w:t>December 29,</w:t>
            </w:r>
          </w:p>
        </w:tc>
        <w:tc>
          <w:tcPr>
            <w:tcW w:w="1360" w:type="dxa"/>
            <w:vAlign w:val="bottom"/>
            <w:gridSpan w:val="3"/>
            <w:vMerge w:val="restart"/>
          </w:tcPr>
          <w:p>
            <w:pPr>
              <w:jc w:val="center"/>
              <w:ind w:right="580"/>
              <w:spacing w:after="0" w:line="136" w:lineRule="exact"/>
              <w:rPr>
                <w:sz w:val="20"/>
                <w:szCs w:val="20"/>
                <w:color w:val="auto"/>
              </w:rPr>
            </w:pPr>
            <w:r>
              <w:rPr>
                <w:rFonts w:ascii="Arial" w:cs="Arial" w:eastAsia="Arial" w:hAnsi="Arial"/>
                <w:sz w:val="14"/>
                <w:szCs w:val="14"/>
                <w:b w:val="1"/>
                <w:bCs w:val="1"/>
                <w:color w:val="auto"/>
                <w:w w:val="85"/>
              </w:rPr>
              <w:t>December 29,</w:t>
            </w: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0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2005</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12"/>
              <w:spacing w:after="0" w:line="149" w:lineRule="exact"/>
              <w:rPr>
                <w:sz w:val="20"/>
                <w:szCs w:val="20"/>
                <w:color w:val="auto"/>
              </w:rPr>
            </w:pPr>
            <w:r>
              <w:rPr>
                <w:rFonts w:ascii="Arial" w:cs="Arial" w:eastAsia="Arial" w:hAnsi="Arial"/>
                <w:sz w:val="14"/>
                <w:szCs w:val="14"/>
                <w:b w:val="1"/>
                <w:bCs w:val="1"/>
                <w:color w:val="auto"/>
              </w:rPr>
              <w:t>Pro</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Historical</w:t>
            </w:r>
          </w:p>
        </w:tc>
        <w:tc>
          <w:tcPr>
            <w:tcW w:w="580" w:type="dxa"/>
            <w:vAlign w:val="bottom"/>
            <w:gridSpan w:val="2"/>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560" w:type="dxa"/>
            <w:vAlign w:val="bottom"/>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Forma</w:t>
            </w:r>
          </w:p>
        </w:tc>
        <w:tc>
          <w:tcPr>
            <w:tcW w:w="580" w:type="dxa"/>
            <w:vAlign w:val="bottom"/>
          </w:tcPr>
          <w:p>
            <w:pPr>
              <w:spacing w:after="0"/>
              <w:rPr>
                <w:sz w:val="15"/>
                <w:szCs w:val="15"/>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Historical</w:t>
            </w:r>
          </w:p>
        </w:tc>
        <w:tc>
          <w:tcPr>
            <w:tcW w:w="5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Forma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52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$ 37.9</w:t>
            </w:r>
          </w:p>
        </w:tc>
        <w:tc>
          <w:tcPr>
            <w:tcW w:w="0" w:type="dxa"/>
            <w:vAlign w:val="bottom"/>
          </w:tcPr>
          <w:p>
            <w:pPr>
              <w:spacing w:after="0"/>
              <w:rPr>
                <w:sz w:val="1"/>
                <w:szCs w:val="1"/>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0.8</w:t>
            </w:r>
          </w:p>
        </w:tc>
        <w:tc>
          <w:tcPr>
            <w:tcW w:w="5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Share-based Compensation Costs</w:t>
            </w:r>
          </w:p>
        </w:tc>
        <w:tc>
          <w:tcPr>
            <w:tcW w:w="12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color w:val="auto"/>
                <w:w w:val="79"/>
              </w:rPr>
              <w:t>0.3</w:t>
            </w:r>
          </w:p>
        </w:tc>
        <w:tc>
          <w:tcPr>
            <w:tcW w:w="5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Deferred Stock Compensation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r>
              <w:rPr>
                <w:rFonts w:ascii="Arial" w:cs="Arial" w:eastAsia="Arial" w:hAnsi="Arial"/>
                <w:sz w:val="18"/>
                <w:szCs w:val="18"/>
                <w:u w:val="single" w:color="auto"/>
                <w:color w:val="auto"/>
              </w:rPr>
              <w:t>8</w:t>
            </w: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w:t>
            </w:r>
          </w:p>
        </w:tc>
        <w:tc>
          <w:tcPr>
            <w:tcW w:w="5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1</w:t>
            </w: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$ 39.0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100" w:type="dxa"/>
            <w:vAlign w:val="bottom"/>
            <w:gridSpan w:val="3"/>
          </w:tcPr>
          <w:p>
            <w:pPr>
              <w:jc w:val="right"/>
              <w:ind w:right="372"/>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40" w:hanging="304"/>
        <w:spacing w:after="0"/>
        <w:tabs>
          <w:tab w:leader="none" w:pos="44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margin is calculated by dividing adjusted EBITDA by total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Upon the completion of this offering, our primary sources of liquidity and capital resources will be cash</w:t>
      </w:r>
    </w:p>
    <w:p>
      <w:pPr>
        <w:spacing w:after="0" w:line="38"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flows generated from distributions from our operating subsidiary, NCM LLC, and availability of up to $ million under a revolving credit facility. NCM LLC’s historical sources of liquidity and capital resources have been cash flows generated from its business activities, working capital from our Founding Members, availability of up to $20 million under a revolving credit facility and available cash and cash equivalents.</w:t>
      </w:r>
    </w:p>
    <w:p>
      <w:pPr>
        <w:spacing w:after="0" w:line="10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Management believes that future funds generated from our operations and available borrowing capacity of up to $ million under our new revolving credit facility to be entered into upon the completion of this offering will be sufficient to fund quarterly dividends, our debt service requirements, working capital requirements and capital expenditure requirements, through the next 12 months.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short and long term cash requirements consist of minimum annual payments under our operating leases for our headquarters and regional offices and capital expenditures. Minimum annual operating lease requirements are included in our direct operating expenses, which have historically been satisfied by cash flow from operations. For fiscal 2006, we are committed to $1.6 million of annual operating lease payments.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and those of RCM have typically been related to equipment required for our network operating center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production and post-production activities, digital content system, or DCS, and “back-office” software upgrades, office leasehold improvements, desktop equipment for use by our employees, and in certain cases, a portion of the costs necessary to digitize all or a portion of a Network Affiliate’s theatres. Our capital expenditures were $5.9 million and $2.4 million for the nine months ended December 29, 2005 and six months ended June 29, 2006, respectively, and $1.1 million and $1.3 million for the three months ended June 29, 2006 and June 30, 2005, respectively. The capital expenditures of RCM for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years ended December 30, 2004 and January 1, 2004 were $2.7 million and $1.3 million, respectively. Our capital expenditures have typically been satisfied through a combination of cash flow from operations and from financing sources, while RCM’s capital expenditures were satisfied by cash flow from operations and working capital from Regal. All capital expenditures related to the digital content network within our Founding Members’ theatres have been made, and under the ESAs, we expect they will continue to be made, by the Founding Members rather than NCM LLC or RCM.</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to make approximately $5.0 million to $7.0 million of capital expenditures in fiscal 2007, primarily to upgrade our DCS, distribution software and to upgrade and improve our internal management systems, including our advertising inventory optimization, management and reporting systems. These capital expenditures may be increased in connection with expenditures made in theatres operated by any new Network Affiliates. We expect that these additional expenditures, if any, would be supported by additional cash flows associated with those new Network Affiliates. The commitments associated with our and RCM’s operating leases and capital expenditure requirements are included in “—Contractual and Other Obligations” below.</w:t>
      </w:r>
    </w:p>
    <w:p>
      <w:pPr>
        <w:sectPr>
          <w:pgSz w:w="11900" w:h="16838" w:orient="portrait"/>
          <w:cols w:equalWidth="0" w:num="1">
            <w:col w:w="11420"/>
          </w:cols>
          <w:pgMar w:left="240" w:top="459" w:right="23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historical cash flows.</w:t>
      </w:r>
    </w:p>
    <w:p>
      <w:pPr>
        <w:spacing w:after="0" w:line="207"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Predecessor-Regal</w:t>
      </w:r>
    </w:p>
    <w:p>
      <w:pPr>
        <w:spacing w:after="0" w:line="1"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CineMedia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635</wp:posOffset>
            </wp:positionV>
            <wp:extent cx="1174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Years Ended</w:t>
      </w:r>
    </w:p>
    <w:tbl>
      <w:tblPr>
        <w:tblLayout w:type="fixed"/>
        <w:tblInd w:w="4940" w:type="dxa"/>
        <w:tblCellMar>
          <w:top w:w="0" w:type="dxa"/>
          <w:left w:w="0" w:type="dxa"/>
          <w:bottom w:w="0" w:type="dxa"/>
          <w:right w:w="0" w:type="dxa"/>
        </w:tblCellMar>
      </w:tblPr>
      <w:tr>
        <w:trPr>
          <w:trHeight w:val="129"/>
        </w:trPr>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January 1,</w:t>
            </w: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December 30,</w:t>
            </w:r>
          </w:p>
        </w:tc>
      </w:tr>
      <w:tr>
        <w:trPr>
          <w:trHeight w:val="161"/>
        </w:trPr>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National CineMedia, LLC</w:t>
      </w:r>
    </w:p>
    <w:tbl>
      <w:tblPr>
        <w:tblLayout w:type="fixed"/>
        <w:tblInd w:w="0" w:type="dxa"/>
        <w:tblCellMar>
          <w:top w:w="0" w:type="dxa"/>
          <w:left w:w="0" w:type="dxa"/>
          <w:bottom w:w="0" w:type="dxa"/>
          <w:right w:w="0" w:type="dxa"/>
        </w:tblCellMar>
      </w:tblPr>
      <w:tr>
        <w:trPr>
          <w:trHeight w:val="129"/>
        </w:trPr>
        <w:tc>
          <w:tcPr>
            <w:tcW w:w="1020" w:type="dxa"/>
            <w:vAlign w:val="bottom"/>
            <w:tcBorders>
              <w:top w:val="single" w:sz="8" w:color="auto"/>
            </w:tcBorders>
          </w:tcPr>
          <w:p>
            <w:pPr>
              <w:jc w:val="center"/>
              <w:ind w:right="134"/>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300" w:type="dxa"/>
            <w:vAlign w:val="bottom"/>
            <w:tcBorders>
              <w:top w:val="single" w:sz="8" w:color="auto"/>
            </w:tcBorders>
          </w:tcPr>
          <w:p>
            <w:pPr>
              <w:jc w:val="center"/>
              <w:ind w:right="134"/>
              <w:spacing w:after="0" w:line="129" w:lineRule="exact"/>
              <w:rPr>
                <w:sz w:val="20"/>
                <w:szCs w:val="20"/>
                <w:color w:val="auto"/>
              </w:rPr>
            </w:pPr>
            <w:r>
              <w:rPr>
                <w:rFonts w:ascii="Arial" w:cs="Arial" w:eastAsia="Arial" w:hAnsi="Arial"/>
                <w:sz w:val="14"/>
                <w:szCs w:val="14"/>
                <w:b w:val="1"/>
                <w:bCs w:val="1"/>
                <w:color w:val="auto"/>
                <w:w w:val="88"/>
              </w:rPr>
              <w:t>Six Months</w:t>
            </w:r>
          </w:p>
        </w:tc>
        <w:tc>
          <w:tcPr>
            <w:tcW w:w="14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r>
      <w:tr>
        <w:trPr>
          <w:trHeight w:val="161"/>
        </w:trPr>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Ended</w:t>
            </w: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Ended</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w w:val="88"/>
              </w:rPr>
              <w:t>Ended</w:t>
            </w:r>
          </w:p>
        </w:tc>
      </w:tr>
      <w:tr>
        <w:trPr>
          <w:trHeight w:val="116"/>
        </w:trPr>
        <w:tc>
          <w:tcPr>
            <w:tcW w:w="1020" w:type="dxa"/>
            <w:vAlign w:val="bottom"/>
          </w:tcPr>
          <w:p>
            <w:pPr>
              <w:jc w:val="center"/>
              <w:ind w:right="134"/>
              <w:spacing w:after="0" w:line="116" w:lineRule="exact"/>
              <w:rPr>
                <w:sz w:val="20"/>
                <w:szCs w:val="20"/>
                <w:color w:val="auto"/>
              </w:rPr>
            </w:pPr>
            <w:r>
              <w:rPr>
                <w:rFonts w:ascii="Arial" w:cs="Arial" w:eastAsia="Arial" w:hAnsi="Arial"/>
                <w:sz w:val="12"/>
                <w:szCs w:val="12"/>
                <w:b w:val="1"/>
                <w:bCs w:val="1"/>
                <w:color w:val="auto"/>
                <w:w w:val="99"/>
              </w:rPr>
              <w:t>December 29,</w:t>
            </w:r>
          </w:p>
        </w:tc>
        <w:tc>
          <w:tcPr>
            <w:tcW w:w="1300" w:type="dxa"/>
            <w:vAlign w:val="bottom"/>
          </w:tcPr>
          <w:p>
            <w:pPr>
              <w:jc w:val="center"/>
              <w:ind w:right="154"/>
              <w:spacing w:after="0" w:line="116" w:lineRule="exact"/>
              <w:rPr>
                <w:sz w:val="20"/>
                <w:szCs w:val="20"/>
                <w:color w:val="auto"/>
              </w:rPr>
            </w:pPr>
            <w:r>
              <w:rPr>
                <w:rFonts w:ascii="Arial" w:cs="Arial" w:eastAsia="Arial" w:hAnsi="Arial"/>
                <w:sz w:val="12"/>
                <w:szCs w:val="12"/>
                <w:b w:val="1"/>
                <w:bCs w:val="1"/>
                <w:color w:val="auto"/>
                <w:w w:val="99"/>
              </w:rPr>
              <w:t>June 29,</w:t>
            </w:r>
          </w:p>
        </w:tc>
        <w:tc>
          <w:tcPr>
            <w:tcW w:w="5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June 29,</w:t>
            </w:r>
          </w:p>
        </w:tc>
        <w:tc>
          <w:tcPr>
            <w:tcW w:w="920" w:type="dxa"/>
            <w:vAlign w:val="bottom"/>
          </w:tcPr>
          <w:p>
            <w:pPr>
              <w:jc w:val="center"/>
              <w:ind w:left="334"/>
              <w:spacing w:after="0" w:line="116" w:lineRule="exact"/>
              <w:rPr>
                <w:sz w:val="20"/>
                <w:szCs w:val="20"/>
                <w:color w:val="auto"/>
              </w:rPr>
            </w:pPr>
            <w:r>
              <w:rPr>
                <w:rFonts w:ascii="Arial" w:cs="Arial" w:eastAsia="Arial" w:hAnsi="Arial"/>
                <w:sz w:val="12"/>
                <w:szCs w:val="12"/>
                <w:b w:val="1"/>
                <w:bCs w:val="1"/>
                <w:color w:val="auto"/>
                <w:w w:val="99"/>
              </w:rPr>
              <w:t>June 30,</w:t>
            </w:r>
          </w:p>
        </w:tc>
      </w:tr>
      <w:tr>
        <w:trPr>
          <w:trHeight w:val="188"/>
        </w:trPr>
        <w:tc>
          <w:tcPr>
            <w:tcW w:w="10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2005</w:t>
            </w:r>
          </w:p>
        </w:tc>
        <w:tc>
          <w:tcPr>
            <w:tcW w:w="130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366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 in millions)</w:t>
      </w:r>
    </w:p>
    <w:p>
      <w:pPr>
        <w:spacing w:after="0" w:line="1" w:lineRule="exact"/>
        <w:rPr>
          <w:sz w:val="20"/>
          <w:szCs w:val="20"/>
          <w:color w:val="auto"/>
        </w:rPr>
      </w:pPr>
    </w:p>
    <w:p>
      <w:pPr>
        <w:sectPr>
          <w:pgSz w:w="11900" w:h="16838" w:orient="portrait"/>
          <w:cols w:equalWidth="0" w:num="2">
            <w:col w:w="6900" w:space="720"/>
            <w:col w:w="38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44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15.9</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  (2.9)</w:t>
            </w:r>
          </w:p>
        </w:tc>
        <w:tc>
          <w:tcPr>
            <w:tcW w:w="740" w:type="dxa"/>
            <w:vAlign w:val="bottom"/>
          </w:tcPr>
          <w:p>
            <w:pPr>
              <w:jc w:val="right"/>
              <w:spacing w:after="0"/>
              <w:rPr>
                <w:sz w:val="20"/>
                <w:szCs w:val="20"/>
                <w:color w:val="auto"/>
              </w:rPr>
            </w:pPr>
            <w:r>
              <w:rPr>
                <w:rFonts w:ascii="Arial" w:cs="Arial" w:eastAsia="Arial" w:hAnsi="Arial"/>
                <w:sz w:val="18"/>
                <w:szCs w:val="18"/>
                <w:color w:val="auto"/>
              </w:rPr>
              <w:t>$  (7.7)</w:t>
            </w: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17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34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(11.2)</w:t>
            </w:r>
          </w:p>
        </w:tc>
        <w:tc>
          <w:tcPr>
            <w:tcW w:w="68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significant growth in the number of theatres for which advertising services were provided limits the comparability of operating results from period to period. However, since the formation of NCM LLC, there has been negative cash flow from operations, as compared to positive cash flow from operations for RCM. This results from the higher level of circuit share payments upon the formation of NCM LLC compared to the amount and timing of inter-company transfers made by RCM to its parent, Regal, when RCM operated as a wholly-owned subsidiary of Regal. Also, as screens have been added, as inventory utilization has increased and as legacy contracts have been replaced with our own advertising contracts, the amount of accounts receivable has grown, which has required the use of operating cash.</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cash flow related to operating activities in recent historic periods are not representative of the cash flow we expect following the completion of this offering and the entry into the new senior secured credit facility. We expect our circuit share expense to be reduced as a percentage of revenue and our interest costs to increase. See “—Liquidity and Capital Resources” above.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used in investing activities during all periods relates to investments in our network software and in corporate management systems and purchases of equipment necessary to service the expansion of Network Affiliate theatre screens and, to a lesser extent, for leasehold improvements and office equipment associated with an expansion of employee headcount.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Cash provided by financing activities for NCM LLC during the nine months ended December 29, 2005 was primarily related to the sale of membership units to Cinemark. Cash provided by financing activities in the other periods resulted from short-term borrowings. Cash used in financing activities by RCM resulted from remittances of excess cash to RCM’s parent company. We believe that cash flow related to financing activities of the historic periods will not be representative of our cash flow expected after the completion of this offering, due to our entry into the new senior secured credit facility and other changes in financial structure that will occur in conjunction with the offering of our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29, 2006 and December 29, 2005, we had the following debt outstanding and cash and equivalents (in millions of dollars):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29, 2006</w:t>
            </w:r>
          </w:p>
        </w:tc>
        <w:tc>
          <w:tcPr>
            <w:tcW w:w="116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29, 2005</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bank credit facility</w:t>
            </w:r>
          </w:p>
        </w:tc>
        <w:tc>
          <w:tcPr>
            <w:tcW w:w="22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cash balance at the end of the historical periods has been typically low, as circuit share payments are made to the Founding Members out of excess cash.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this offering we also expect to have low cash balances due to quarterly dividends we expect to pay pursuant to our dividend policy.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Demand note. </w:t>
      </w:r>
      <w:r>
        <w:rPr>
          <w:rFonts w:ascii="Arial" w:cs="Arial" w:eastAsia="Arial" w:hAnsi="Arial"/>
          <w:sz w:val="18"/>
          <w:szCs w:val="18"/>
          <w:color w:val="auto"/>
        </w:rPr>
        <w:t>On March 29, 2005, NCM LLC signed an amended and restated demand promissory note, or the Demand Note, with the Founding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under which NCM LLC could borrow up to $11.0 million on a revolving basis. Borrowings under the Demand Note were funded by the Founding Members pro rata to their ownership of units. Interest was payable monthly, at 200 basis points over LIBOR. Interest paid to the Founding Members during the three months ended June 30, 2005 was less than $0.1 million. On March 22, 2006, the Demand Note was cancelled and replaced by the credit facility discussed below.</w:t>
      </w:r>
    </w:p>
    <w:p>
      <w:pPr>
        <w:spacing w:after="0" w:line="143"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i w:val="1"/>
          <w:iCs w:val="1"/>
          <w:color w:val="auto"/>
        </w:rPr>
        <w:t xml:space="preserve">Existing NCM LLC credit facility. </w:t>
      </w:r>
      <w:r>
        <w:rPr>
          <w:rFonts w:ascii="Arial" w:cs="Arial" w:eastAsia="Arial" w:hAnsi="Arial"/>
          <w:sz w:val="17"/>
          <w:szCs w:val="17"/>
          <w:color w:val="auto"/>
        </w:rPr>
        <w:t>On March 22, 2006, NCM LLC entered into a $20.0 million secured revolving credit facility, with a $2.0 million letter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facility, with Citicorp North 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The facility is secured by a first-priority lien on certain assets of NCM LLC. The facility matures on March 22, 2008.</w:t>
      </w:r>
    </w:p>
    <w:p>
      <w:pPr>
        <w:spacing w:after="0" w:line="1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Covenants in the revolving portion of our credit facility include typical affirmative and negative covenants, including prompt payment of amounts owed, certain monthly, quarterly, and annual financial reporting requirements, maintenance of property and insurance and limitations on additional indebtedness. There are no financial covenants in our credit facility.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June 29, 2006, $8.0 million was outstanding under this facility, including none subject to outstanding letters of credit. This facility will be repaid in full with the proceeds of the new senior secured credit facility as described below.</w:t>
      </w:r>
    </w:p>
    <w:p>
      <w:pPr>
        <w:sectPr>
          <w:pgSz w:w="11900" w:h="16838" w:orient="portrait"/>
          <w:cols w:equalWidth="0" w:num="1">
            <w:col w:w="11420"/>
          </w:cols>
          <w:pgMar w:left="240" w:top="459" w:right="239" w:bottom="1440" w:gutter="0" w:footer="0" w:header="0"/>
        </w:sectPr>
      </w:pP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New senior secured credit facility. </w:t>
      </w:r>
      <w:r>
        <w:rPr>
          <w:rFonts w:ascii="Arial" w:cs="Arial" w:eastAsia="Arial" w:hAnsi="Arial"/>
          <w:sz w:val="18"/>
          <w:szCs w:val="18"/>
          <w:color w:val="auto"/>
        </w:rPr>
        <w:t>In connection with the completion of this offering, NCM LLC will enter into a new $</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group of lenders that will include affiliates of several of the underwriters. This facility will consist of a revolving credit facility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400" w:firstLine="210"/>
        <w:spacing w:after="0" w:line="332" w:lineRule="auto"/>
        <w:rPr>
          <w:sz w:val="20"/>
          <w:szCs w:val="20"/>
          <w:color w:val="auto"/>
        </w:rPr>
      </w:pPr>
      <w:r>
        <w:rPr>
          <w:rFonts w:ascii="Arial" w:cs="Arial" w:eastAsia="Arial" w:hAnsi="Arial"/>
          <w:sz w:val="16"/>
          <w:szCs w:val="16"/>
          <w:color w:val="auto"/>
        </w:rPr>
        <w:t>million senior secured -year, $ million</w:t>
      </w:r>
    </w:p>
    <w:p>
      <w:pPr>
        <w:spacing w:after="0" w:line="288" w:lineRule="exact"/>
        <w:rPr>
          <w:sz w:val="20"/>
          <w:szCs w:val="20"/>
          <w:color w:val="auto"/>
        </w:rPr>
      </w:pPr>
    </w:p>
    <w:p>
      <w:pPr>
        <w:sectPr>
          <w:pgSz w:w="11900" w:h="16838" w:orient="portrait"/>
          <w:cols w:equalWidth="0" w:num="2">
            <w:col w:w="8880" w:space="360"/>
            <w:col w:w="21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560" w:hanging="570"/>
        <w:spacing w:after="0" w:line="286" w:lineRule="auto"/>
        <w:tabs>
          <w:tab w:leader="none" w:pos="560" w:val="left"/>
        </w:tabs>
        <w:rPr>
          <w:sz w:val="20"/>
          <w:szCs w:val="20"/>
          <w:color w:val="auto"/>
        </w:rPr>
      </w:pPr>
      <w:r>
        <w:rPr>
          <w:rFonts w:ascii="Arial" w:cs="Arial" w:eastAsia="Arial" w:hAnsi="Arial"/>
          <w:sz w:val="18"/>
          <w:szCs w:val="18"/>
          <w:color w:val="auto"/>
        </w:rPr>
        <w:t>and an</w:t>
      </w:r>
      <w:r>
        <w:rPr>
          <w:sz w:val="20"/>
          <w:szCs w:val="20"/>
          <w:color w:val="auto"/>
        </w:rPr>
        <w:tab/>
      </w:r>
      <w:r>
        <w:rPr>
          <w:rFonts w:ascii="Arial" w:cs="Arial" w:eastAsia="Arial" w:hAnsi="Arial"/>
          <w:sz w:val="16"/>
          <w:szCs w:val="16"/>
          <w:color w:val="auto"/>
        </w:rPr>
        <w:t>-year, $725 million term loan facility. The size of the credit facility is subject to change prior to its closing. The term loan will be due on the anniversary of funding, and will be used to redeem the preferred membership units of NCM LLC for an aggregate price of $ , to repay the</w:t>
      </w:r>
    </w:p>
    <w:p>
      <w:pPr>
        <w:spacing w:after="0" w:line="254" w:lineRule="auto"/>
        <w:rPr>
          <w:sz w:val="20"/>
          <w:szCs w:val="20"/>
          <w:color w:val="auto"/>
        </w:rPr>
      </w:pPr>
      <w:r>
        <w:rPr>
          <w:rFonts w:ascii="Arial" w:cs="Arial" w:eastAsia="Arial" w:hAnsi="Arial"/>
          <w:sz w:val="18"/>
          <w:szCs w:val="18"/>
          <w:color w:val="auto"/>
        </w:rPr>
        <w:t>outstanding amounts, if any, under NCM LLC’s existing revolving credit facility and to pay fees and expenses related to this offering. The revolving credit facility will be available, subject to certain conditions, for general corporate purposes of NCM LLC in the ordinary course of business and for other transactions permitted under the credit agreement. A portion of the revolving credit facility will be available for letters of credit. The obligations under the credit facility will be secured by a lien on substantially all the assets of NCM LLC.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senior secured credit facility will bear interest, at the option of the borrower, at a rate equal to an applicable margin plus a variable</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base rate. The applicable margin for the term loan facility will be % with respect to base rate loans and % with respect to eurodollar loans. The applicable margins for the revolving credit facility will be subject to adjustment from time to time based on the then-current consolidated leverage ratio. Upon the occurrence of any payment default, all outstanding amounts under the senior secured credit facility will bear interest at a rate equal to the rate then in effect with</w:t>
      </w:r>
    </w:p>
    <w:p>
      <w:pPr>
        <w:spacing w:after="0" w:line="2"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respect to such borrowings, plus</w:t>
      </w:r>
      <w:r>
        <w:rPr>
          <w:sz w:val="20"/>
          <w:szCs w:val="20"/>
          <w:color w:val="auto"/>
        </w:rPr>
        <w:tab/>
      </w:r>
      <w:r>
        <w:rPr>
          <w:rFonts w:ascii="Arial" w:cs="Arial" w:eastAsia="Arial" w:hAnsi="Arial"/>
          <w:sz w:val="15"/>
          <w:szCs w:val="15"/>
          <w:color w:val="auto"/>
        </w:rPr>
        <w:t>% per annum.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credit facility will contain a number of negative covenants that limit NCM LLC and its restricted subsidiaries from, among other things</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credit facility will also require the maintenance of certain quarterly financial and operating ratios, including a</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9500" w:space="400"/>
            <w:col w:w="1520"/>
          </w:cols>
          <w:pgMar w:left="240" w:top="459"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have established various accounting policies that govern the application of accounting principles generally accepted in the United States of America in the preparation and presentation of NCM LLC’s financial statements. The significant accounting policies of NCM LLC are described in Note 2 of the financial statements for the nine months ended December 29, 2005, and along with the disclosures presented in the other financial statement notes, provide information on how significant assets and liabilities are valued in the financial statements and how those values are determined.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the largest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NCM LLC considers estimates regarding make-good provisions in advertising revenue to be a critical accounting policy that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judgments, assumptions and estimates used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its financial statements. Advertising revenue is recognized in the period in which theatre attendees (impressions) are provided. Advertising revenue is reduced for make-good provisions when delivered attendance is less than the amount contracted. The amount contracted is based on an estimate of attendees at the date the contract is signed. To the extent that NCM LLC is ultimately unable to fulfill make-good provisions, levels of operating revenues will be reduced which could adversely affect earnings or financial position.</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NCM LLC has issued options to employees to acquire membership units which, in certain circumstances, would allow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to put the options to NCM LLC for cash. The options are accounted for as a liability plan under SFAS No. 123(R), which requires that the liability be measured at its fair value as of each reporting date. The determination of fair value of options requires that management make complex estimates and judgments. We utilize the Black-Scholes option price model to estimate the fair value of our options. This model requires that we make estimates of various factors, the most critical of which are the fair value of our equity and the expected volatility of our equity value. The determination of these is made more difficult because we are a privately held company without historical market-observable factors upon which to base our estimates. As our options were granted in contemplation of an initial public offering, we have used the expected terms of the initial public offering to estimate our equity value. We have considered volatility factors of companies we believe are comparable to us to estimate our future volatility. Our annual compensation expense charge is approximately $1.2 million per year. The use of an equity value that varied by 10% from what we have estimated or the use of a volatility factor that varied by five percentage points from what we have estimated would each individually have less than a $250,000 impact on our annual compensation expense charge.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December 29, 2005, and June 29, 2006, we had no off-balance sheet arrangements or obligations, except for operating leases entered into the ordinary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December 29, 2005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Payments Due by Period</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2007-2008</w:t>
            </w:r>
          </w:p>
        </w:tc>
        <w:tc>
          <w:tcPr>
            <w:tcW w:w="5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6"/>
              </w:rPr>
              <w:t>2009-2010</w:t>
            </w:r>
          </w:p>
        </w:tc>
        <w:tc>
          <w:tcPr>
            <w:tcW w:w="500" w:type="dxa"/>
            <w:vAlign w:val="bottom"/>
          </w:tcPr>
          <w:p>
            <w:pPr>
              <w:spacing w:after="0"/>
              <w:rPr>
                <w:sz w:val="13"/>
                <w:szCs w:val="13"/>
                <w:color w:val="auto"/>
              </w:rPr>
            </w:pPr>
          </w:p>
        </w:tc>
        <w:tc>
          <w:tcPr>
            <w:tcW w:w="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8"/>
              </w:rPr>
              <w:t>After 2010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26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60"/>
              <w:spacing w:after="0" w:line="134" w:lineRule="exact"/>
              <w:rPr>
                <w:sz w:val="20"/>
                <w:szCs w:val="20"/>
                <w:color w:val="auto"/>
              </w:rPr>
            </w:pPr>
            <w:r>
              <w:rPr>
                <w:rFonts w:ascii="Arial" w:cs="Arial" w:eastAsia="Arial" w:hAnsi="Arial"/>
                <w:sz w:val="14"/>
                <w:szCs w:val="14"/>
                <w:b w:val="1"/>
                <w:bCs w:val="1"/>
                <w:color w:val="auto"/>
                <w:w w:val="86"/>
              </w:rPr>
              <w:t>in millions)</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Office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6"/>
        </w:trPr>
        <w:tc>
          <w:tcPr>
            <w:tcW w:w="6880" w:type="dxa"/>
            <w:vAlign w:val="bottom"/>
          </w:tcPr>
          <w:p>
            <w:pPr>
              <w:spacing w:after="0"/>
              <w:rPr>
                <w:sz w:val="20"/>
                <w:szCs w:val="20"/>
                <w:color w:val="auto"/>
              </w:rPr>
            </w:pPr>
            <w:r>
              <w:rPr>
                <w:rFonts w:ascii="Arial" w:cs="Arial" w:eastAsia="Arial" w:hAnsi="Arial"/>
                <w:sz w:val="18"/>
                <w:szCs w:val="18"/>
                <w:color w:val="auto"/>
              </w:rPr>
              <w:t>Network Affiliate Agreements</w:t>
            </w: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10.6</w:t>
            </w:r>
          </w:p>
        </w:tc>
        <w:tc>
          <w:tcPr>
            <w:tcW w:w="5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w:t>
            </w:r>
          </w:p>
        </w:tc>
        <w:tc>
          <w:tcPr>
            <w:tcW w:w="160" w:type="dxa"/>
            <w:vAlign w:val="bottom"/>
          </w:tcPr>
          <w:p>
            <w:pPr>
              <w:spacing w:after="0"/>
              <w:rPr>
                <w:sz w:val="19"/>
                <w:szCs w:val="19"/>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completion of the Financing Transaction, NCM LLC will be obligated to make periodic payments on the term loan of the facility of</w:t>
      </w:r>
    </w:p>
    <w:p>
      <w:pPr>
        <w:spacing w:after="0" w:line="1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and interest, based on an interest rate that . The terms of the new senior secured credit facility will require us to hedge the cash flow variability of interest for at least % of the amount outstanding. In addition, we will have a new variable rate revolving credit agreement that will replace our existing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facility. Debt service requirements under this agreement will depend on the amounts borrowed and the level of the based interest rate.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revenues and operating results are seasonal, coinciding with the attendance patterns within the theatre exhibition industry as well as the timing of marketing expenditures by our clients. Theatrical attendance is highest during the summer and year-end holiday season, and marketing expenditures tend to be higher during the second, third, and fourth quarters, dependent upon the client’s products and marketing cycle. As a result, our first quarter typically has less revenue than the later quarters of the year. The results of one quarter are not necessarily indicative of results for the next or any other quarter.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June 29, 2006, we had $8.0 million of total debt outstanding under our existing $20.0 million revolving credit facility. To the extent we borrow under our revolving credit facility which bears interest at floating rates based either on an ABR, as defined in the credit agreement, or LIBOR, we are exposed to market risk related to changes in interest rates. At June 29, 2006, the applicable interest rate on borrowings outstanding under the credit facility was 7.2% per year. If applicable interest rates were to increase by 200 basis points, for every $1.0 million outstanding on our revolving credit facility, our income before income taxes would be reduced by approximately $20,000 per year. We are not party to any derivative financial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The following addresses the expected impact of accounting policies recently issued or proposed but not yet required to be adopted. To the extent the adoption of new accounting standards materially affects financial condition, results of operations, or liquidity, the impacts are discussed in the applicable section(s) of this discussion and the notes to the financial statements included elsewhere in this prospectus.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NCM LLC’s taxable income or loss is allocated to the Founding Members in accordance with the provisions of our operating documents. However, NCM Inc. will be a taxable entity and will be required to consider this Interpretation as it relates to both itself and NCM LLC consolidated tax position at NCM Inc. We are currently evaluating the impact the Interpretation may have on its future financial condition, results of operations and cash flows.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We will apply the statement prospectively for any fair value measurements that arise after the date of adoption.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HISTORY AND REORGANIZATION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Current Structure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January 26, 2006, AMC completed the acquisition of the Loews theatre circuit. The Loews screens will become part of our national theatre network on an exclusive basis beginning on June 1, 2008, subject to the run-out of certain pre-existing contractual obligations for on-screen advertising existing on June 1, 2008, following the expiration of Loews’ pre-existing contract with another cinema advertising provider. In accordance with a Loews Screen Integration Agreement between us and AMC to be entered into concurrently with this offering, AMC will pay us an amount that approximates the EBITDA we would have generated if we were able to sell advertising in the Loews theatre chain on an exclusive basis commencing on the date of this offering, and NCM LLC will issue NCM LLC common membership units to AMC prior to the completion of this offering in connection with the Loews screen integration. These payments will be made on a quarterly basis for a specified time period. On October 5, 2006, Cinemark completed the acquisition of the Century screens, which were added to our network on an exclusive basis as of that date, subject to limited exceptions.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Pursuant to the current terms of our agreements with our Founding Members, they receive payments from NCM LLC with respect to the sale of advertising, meeting and digital programming events within their respective theatres through agreed upon revenue sharing formulas as well as equity in income/loss of NCM LLC for their respective ownership interests. The advertising revenue sharing formula is based on the weighted average number of screens contributed by, and the number of theatre patrons of, the applicable Founding Member’s theatres for any measurement period. The revenue sharing formula for our meetings services is based on an agreed-upon rental for each theatre used, while the formula for digital programming is based upon a share of the ticket revenue and sponsorship revenue.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depicts our organizational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114300</wp:posOffset>
            </wp:positionV>
            <wp:extent cx="2967355" cy="2160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735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Based on our Founding Members’ operating data for the twelve months ended August 31, 2006, and taking into account the Loews Screen Integration Agreement, the acquisition of Century by Cinemark, and other acquisitions or dispositions of theatres by the Founding Members, but not taking into account the completion of this offering, we estimate the issued and outstanding common membership units of NCM LLC are owned approximately 33.2% by AMC, approximately 25.6% by Cinemark and approximately 41.2% by Regal.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transactions, which we refer to collectively as the “Reorganization,” will occur in connection with the completion of this offering:</w:t>
      </w:r>
    </w:p>
    <w:p>
      <w:pPr>
        <w:spacing w:after="0" w:line="113" w:lineRule="exact"/>
        <w:rPr>
          <w:sz w:val="20"/>
          <w:szCs w:val="20"/>
          <w:color w:val="auto"/>
        </w:rPr>
      </w:pPr>
    </w:p>
    <w:p>
      <w:pPr>
        <w:ind w:left="780" w:right="200" w:hanging="249"/>
        <w:spacing w:after="0" w:line="259"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NCM LLC’s agreements with its Founding Members will be amended and restated, including the Exhibitor Services Agreements and the NCM LLC Operating Agreement each as described below under “Certain Relationships and Related Party Transactions—Transactions with Our Founding Members—NCM LLC Operating Agreement”;</w:t>
      </w:r>
    </w:p>
    <w:p>
      <w:pPr>
        <w:spacing w:after="0" w:line="59" w:lineRule="exact"/>
        <w:rPr>
          <w:rFonts w:ascii="Arial" w:cs="Arial" w:eastAsia="Arial" w:hAnsi="Arial"/>
          <w:sz w:val="18"/>
          <w:szCs w:val="18"/>
          <w:color w:val="auto"/>
        </w:rPr>
      </w:pPr>
    </w:p>
    <w:p>
      <w:pPr>
        <w:ind w:left="780" w:hanging="249"/>
        <w:spacing w:after="0" w:line="256"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NCM LLC will enter into the Loews Screen Integration Agreement with AMC pursuant to which AMC will pay NCM LLC an amount that approximates the EBITDA we would have generated if we were able to sell advertising in the Loews theatre chain on an exclusive basis commencing upon the completion of this offering, and NCM LLC will issue common membership units to AMC; such Loews payments will be made quarterly for a specified time period.</w:t>
      </w:r>
    </w:p>
    <w:p>
      <w:pPr>
        <w:sectPr>
          <w:pgSz w:w="11900" w:h="16838" w:orient="portrait"/>
          <w:cols w:equalWidth="0" w:num="1">
            <w:col w:w="11420"/>
          </w:cols>
          <w:pgMar w:left="240" w:top="459" w:right="239" w:bottom="1440" w:gutter="0" w:footer="0" w:header="0"/>
        </w:sectPr>
      </w:pP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NCM LLC will be recapitalized on a non-cash basis with a distribution to the Founding Members of preferred membership units in exchange for each outstanding common membership unit;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common membership units and</w:t>
      </w:r>
    </w:p>
    <w:p>
      <w:pPr>
        <w:spacing w:after="0" w:line="340" w:lineRule="exact"/>
        <w:rPr>
          <w:sz w:val="20"/>
          <w:szCs w:val="20"/>
          <w:color w:val="auto"/>
        </w:rPr>
      </w:pPr>
    </w:p>
    <w:p>
      <w:pPr>
        <w:sectPr>
          <w:pgSz w:w="11900" w:h="16838" w:orient="portrait"/>
          <w:cols w:equalWidth="0" w:num="3">
            <w:col w:w="600" w:space="180"/>
            <w:col w:w="7040" w:space="620"/>
            <w:col w:w="2980"/>
          </w:cols>
          <w:pgMar w:left="240" w:top="459" w:right="239" w:bottom="1440" w:gutter="0" w:footer="0" w:header="0"/>
          <w:type w:val="continuous"/>
        </w:sectPr>
      </w:pPr>
    </w:p>
    <w:p>
      <w:pPr>
        <w:ind w:left="780" w:right="20" w:hanging="249"/>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NCM LLC will split the number of outstanding common membership units so that a common membership unit can be acquired with the proceeds from the initial offering of one share of our common stock after underwriting discounts and commissions;</w:t>
      </w:r>
    </w:p>
    <w:p>
      <w:pPr>
        <w:spacing w:after="0" w:line="50" w:lineRule="exact"/>
        <w:rPr>
          <w:rFonts w:ascii="Arial" w:cs="Arial" w:eastAsia="Arial" w:hAnsi="Arial"/>
          <w:sz w:val="18"/>
          <w:szCs w:val="18"/>
          <w:color w:val="auto"/>
        </w:rPr>
      </w:pPr>
    </w:p>
    <w:p>
      <w:pPr>
        <w:jc w:val="both"/>
        <w:ind w:left="780" w:right="200" w:hanging="249"/>
        <w:spacing w:after="0" w:line="306"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NCM Inc. will become a member and the sole manager of NCM LLC following the purchase from NCM LLC of a number of common membership units equal to the number of shares of common stock sold in this offering; the units will be purchased with the proceeds of this offering at a price per unit equal to the public offering price per share, less underwriting discounts and commissions;</w:t>
      </w:r>
    </w:p>
    <w:p>
      <w:pPr>
        <w:sectPr>
          <w:pgSz w:w="11900" w:h="16838" w:orient="portrait"/>
          <w:cols w:equalWidth="0" w:num="1">
            <w:col w:w="11420"/>
          </w:cols>
          <w:pgMar w:left="240" w:top="459" w:right="239" w:bottom="1440" w:gutter="0" w:footer="0" w:header="0"/>
          <w:type w:val="continuous"/>
        </w:sectPr>
      </w:pP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NCM LLC will use $ obligations under our ESAs;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of the proceeds it receives from us to compensate our Founding Members for agreeing to modify our payments</w:t>
      </w:r>
    </w:p>
    <w:p>
      <w:pPr>
        <w:spacing w:after="0" w:line="340" w:lineRule="exact"/>
        <w:rPr>
          <w:sz w:val="20"/>
          <w:szCs w:val="20"/>
          <w:color w:val="auto"/>
        </w:rPr>
      </w:pPr>
    </w:p>
    <w:p>
      <w:pPr>
        <w:sectPr>
          <w:pgSz w:w="11900" w:h="16838" w:orient="portrait"/>
          <w:cols w:equalWidth="0" w:num="3">
            <w:col w:w="600" w:space="180"/>
            <w:col w:w="2000" w:space="420"/>
            <w:col w:w="8220"/>
          </w:cols>
          <w:pgMar w:left="240" w:top="459" w:right="239" w:bottom="1440" w:gutter="0" w:footer="0" w:header="0"/>
          <w:type w:val="continuous"/>
        </w:sectPr>
      </w:pPr>
    </w:p>
    <w:p>
      <w:pPr>
        <w:ind w:left="780" w:right="380" w:hanging="249"/>
        <w:spacing w:after="0" w:line="33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options to acquire common membership units in NCM LLC held by employees of NCM LLC will be converted to options to acquire our common stock and any additional options required to be issued under the terms of the 2006 NCM LLC Option Plan will be issued to option holders; and</w:t>
      </w:r>
    </w:p>
    <w:p>
      <w:pPr>
        <w:spacing w:after="0" w:line="4" w:lineRule="exact"/>
        <w:rPr>
          <w:sz w:val="20"/>
          <w:szCs w:val="20"/>
          <w:color w:val="auto"/>
        </w:rPr>
      </w:pPr>
    </w:p>
    <w:p>
      <w:pPr>
        <w:ind w:left="780" w:right="120" w:hanging="239"/>
        <w:spacing w:after="0" w:line="259" w:lineRule="auto"/>
        <w:tabs>
          <w:tab w:leader="none" w:pos="760" w:val="left"/>
        </w:tabs>
        <w:rPr>
          <w:sz w:val="20"/>
          <w:szCs w:val="20"/>
          <w:color w:val="auto"/>
        </w:rPr>
      </w:pPr>
      <w:r>
        <w:rPr>
          <w:rFonts w:ascii="Arial" w:cs="Arial" w:eastAsia="Arial" w:hAnsi="Arial"/>
          <w:sz w:val="18"/>
          <w:szCs w:val="18"/>
          <w:color w:val="auto"/>
        </w:rPr>
        <w:t>•</w:t>
        <w:tab/>
        <w:t>NCM LLC will redeem the preferred membership units in NCM LLC at a price of $ per unit using the proceeds of a new term loan of $725 million that is a part of our senior secured credit facility, as described under “Financing Transaction” below. The size of the credit facility is subject to change prior to its closing.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5, 2006, we were organized as a Delaware corporation.</w:t>
      </w:r>
    </w:p>
    <w:p>
      <w:pPr>
        <w:spacing w:after="0" w:line="17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Promptly after the completion of this offering, we will purchase from NCM LLC a number of common membership units equal to the number of shares sold in the public offering, at a price per unit equal to the public offering price per share, less underwriting discounts and commissions. Following these</w:t>
      </w:r>
    </w:p>
    <w:p>
      <w:pPr>
        <w:ind w:right="20"/>
        <w:spacing w:after="0" w:line="281" w:lineRule="auto"/>
        <w:rPr>
          <w:sz w:val="20"/>
          <w:szCs w:val="20"/>
          <w:color w:val="auto"/>
        </w:rPr>
      </w:pPr>
      <w:r>
        <w:rPr>
          <w:rFonts w:ascii="Arial" w:cs="Arial" w:eastAsia="Arial" w:hAnsi="Arial"/>
          <w:sz w:val="16"/>
          <w:szCs w:val="16"/>
          <w:color w:val="auto"/>
        </w:rPr>
        <w:t>acquisitions, we will own % of the outstanding common membership units in NCM LLC. If the underwriters exercise their over-allotment option to purchase additional shares in full, we will acquire an equivalent number of additional units in NCM LLC promptly after issuing additional shares pursuant to the over-</w:t>
      </w:r>
    </w:p>
    <w:p>
      <w:pPr>
        <w:spacing w:after="0" w:line="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allotment option, and our aggregate ownership of NCM LLC will increase to</w:t>
      </w:r>
      <w:r>
        <w:rPr>
          <w:sz w:val="20"/>
          <w:szCs w:val="20"/>
          <w:color w:val="auto"/>
        </w:rPr>
        <w:tab/>
      </w:r>
      <w:r>
        <w:rPr>
          <w:rFonts w:ascii="Arial" w:cs="Arial" w:eastAsia="Arial" w:hAnsi="Arial"/>
          <w:sz w:val="16"/>
          <w:szCs w:val="16"/>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this purchase, we and NCM Inc. will complete the remaining steps of the Reorganization described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sell our common stock to the public in this offering. After completion of this offering, we will have no material assets other than direct ownership</w:t>
      </w:r>
    </w:p>
    <w:p>
      <w:pPr>
        <w:spacing w:after="0" w:line="38"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of approximately % of the common membership units in NCM LLC. Our Founding Members will hold the remaining % of NCM LLC’s common membership units.</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Our only source of cash flow from operations will be distributions from NCM LLC and management fees pursuant to a management services agreement between us and NCM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sole manager of NCM LLC, may authorize NCM LLC to take any of the following actions:</w:t>
      </w:r>
    </w:p>
    <w:p>
      <w:pPr>
        <w:spacing w:after="0" w:line="62" w:lineRule="exact"/>
        <w:rPr>
          <w:sz w:val="20"/>
          <w:szCs w:val="20"/>
          <w:color w:val="auto"/>
        </w:rPr>
      </w:pPr>
    </w:p>
    <w:p>
      <w:pPr>
        <w:ind w:left="780" w:hanging="24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780" w:right="300" w:hanging="249"/>
        <w:spacing w:after="0" w:line="335" w:lineRule="auto"/>
        <w:tabs>
          <w:tab w:leader="none" w:pos="7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7" w:lineRule="exact"/>
        <w:rPr>
          <w:rFonts w:ascii="Arial" w:cs="Arial" w:eastAsia="Arial" w:hAnsi="Arial"/>
          <w:sz w:val="15"/>
          <w:szCs w:val="15"/>
          <w:color w:val="auto"/>
        </w:rPr>
      </w:pPr>
    </w:p>
    <w:p>
      <w:pPr>
        <w:ind w:left="780" w:hanging="24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incur any indebtedness (including the refinancing of any indebtedness) or repay any indebtedness (other than a working capital revolving line of credit)</w:t>
      </w:r>
    </w:p>
    <w:p>
      <w:pPr>
        <w:spacing w:after="0" w:line="38" w:lineRule="exact"/>
        <w:rPr>
          <w:sz w:val="20"/>
          <w:szCs w:val="20"/>
          <w:color w:val="auto"/>
        </w:rPr>
      </w:pPr>
    </w:p>
    <w:p>
      <w:pPr>
        <w:ind w:left="780"/>
        <w:spacing w:after="0"/>
        <w:tabs>
          <w:tab w:leader="none" w:pos="4740" w:val="left"/>
        </w:tabs>
        <w:rPr>
          <w:sz w:val="20"/>
          <w:szCs w:val="20"/>
          <w:color w:val="auto"/>
        </w:rPr>
      </w:pPr>
      <w:r>
        <w:rPr>
          <w:rFonts w:ascii="Arial" w:cs="Arial" w:eastAsia="Arial" w:hAnsi="Arial"/>
          <w:sz w:val="18"/>
          <w:szCs w:val="18"/>
          <w:color w:val="auto"/>
        </w:rPr>
        <w:t>with a fixed term before due, in an amount exceeding</w:t>
      </w:r>
      <w:r>
        <w:rPr>
          <w:sz w:val="20"/>
          <w:szCs w:val="20"/>
          <w:color w:val="auto"/>
        </w:rPr>
        <w:tab/>
      </w:r>
      <w:r>
        <w:rPr>
          <w:rFonts w:ascii="Arial" w:cs="Arial" w:eastAsia="Arial" w:hAnsi="Arial"/>
          <w:sz w:val="16"/>
          <w:szCs w:val="16"/>
          <w:color w:val="auto"/>
        </w:rPr>
        <w:t>% of the fair market value of the business of NCM LLC operating as a going concern;</w:t>
      </w:r>
    </w:p>
    <w:p>
      <w:pPr>
        <w:spacing w:after="0" w:line="84" w:lineRule="exact"/>
        <w:rPr>
          <w:sz w:val="20"/>
          <w:szCs w:val="20"/>
          <w:color w:val="auto"/>
        </w:rPr>
      </w:pPr>
    </w:p>
    <w:p>
      <w:pPr>
        <w:ind w:left="780" w:right="820" w:hanging="249"/>
        <w:spacing w:after="0" w:line="332"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issue, grant or sell shares of common stock or rights with respect to common stock, except in connection with NCM Inc.’s equity incentive compensation plans or any conversion or exchange of NCM LLC membership units in accordance with NCM LLC’s Operating Agreement;</w:t>
      </w:r>
    </w:p>
    <w:p>
      <w:pPr>
        <w:spacing w:after="0" w:line="4" w:lineRule="exact"/>
        <w:rPr>
          <w:rFonts w:ascii="Arial" w:cs="Arial" w:eastAsia="Arial" w:hAnsi="Arial"/>
          <w:sz w:val="16"/>
          <w:szCs w:val="16"/>
          <w:color w:val="auto"/>
        </w:rPr>
      </w:pPr>
    </w:p>
    <w:p>
      <w:pPr>
        <w:ind w:left="780" w:hanging="24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issue, grant or sell any NCM Inc. preferred stock or rights with respect to preferred stock;</w:t>
      </w:r>
    </w:p>
    <w:p>
      <w:pPr>
        <w:spacing w:after="0" w:line="90" w:lineRule="exact"/>
        <w:rPr>
          <w:rFonts w:ascii="Arial" w:cs="Arial" w:eastAsia="Arial" w:hAnsi="Arial"/>
          <w:sz w:val="18"/>
          <w:szCs w:val="18"/>
          <w:color w:val="auto"/>
        </w:rPr>
      </w:pPr>
    </w:p>
    <w:p>
      <w:pPr>
        <w:ind w:left="780" w:right="120" w:hanging="249"/>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authorize, issue, grant or sell additional NCM LLC membership units or rights with respect to membership units (except as otherwise permitted in the NCM LLC Operating Agreement or NCM Inc.’s equity incentive compensation plans);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NCM LLC’s Operating Agreement;</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enter into, modify or terminate certain contracts not in the ordinary course of business of the type specified in Item 601(b)(10)(i) of Regulation S-K;</w:t>
      </w:r>
    </w:p>
    <w:p>
      <w:pPr>
        <w:spacing w:after="0" w:line="113" w:lineRule="exact"/>
        <w:rPr>
          <w:rFonts w:ascii="Arial" w:cs="Arial" w:eastAsia="Arial" w:hAnsi="Arial"/>
          <w:sz w:val="16"/>
          <w:szCs w:val="16"/>
          <w:color w:val="auto"/>
        </w:rPr>
      </w:pPr>
    </w:p>
    <w:p>
      <w:pPr>
        <w:jc w:val="both"/>
        <w:ind w:left="780" w:right="240" w:hanging="249"/>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dividends on, or make any other distributions that would require an adjustment to the terms of options issued pursuant to the NCM Inc. equity incentive plan in respect of, any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037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29"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80" w:type="dxa"/>
            <w:vAlign w:val="bottom"/>
            <w:vMerge w:val="restart"/>
          </w:tcPr>
          <w:p>
            <w:pPr>
              <w:ind w:left="30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0"/>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jc w:val="right"/>
              <w:ind w:right="2452"/>
              <w:spacing w:after="0"/>
              <w:rPr>
                <w:sz w:val="20"/>
                <w:szCs w:val="20"/>
                <w:color w:val="auto"/>
              </w:rPr>
            </w:pPr>
            <w:r>
              <w:rPr>
                <w:rFonts w:ascii="Arial" w:cs="Arial" w:eastAsia="Arial" w:hAnsi="Arial"/>
                <w:sz w:val="18"/>
                <w:szCs w:val="18"/>
                <w:color w:val="auto"/>
              </w:rPr>
              <w:t>68</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60"/>
        <w:spacing w:after="0" w:line="268" w:lineRule="auto"/>
        <w:rPr>
          <w:sz w:val="20"/>
          <w:szCs w:val="20"/>
          <w:color w:val="auto"/>
        </w:rPr>
      </w:pPr>
      <w:r>
        <w:rPr>
          <w:rFonts w:ascii="Arial" w:cs="Arial" w:eastAsia="Arial" w:hAnsi="Arial"/>
          <w:sz w:val="18"/>
          <w:szCs w:val="18"/>
          <w:color w:val="auto"/>
        </w:rPr>
        <w:t>stock, preferred stock, membership interests or rights (in each case as defined in the NCM LLC Operating Agreement), payable in cash, stock, property or otherwise;</w:t>
      </w:r>
    </w:p>
    <w:p>
      <w:pPr>
        <w:spacing w:after="0" w:line="64" w:lineRule="exact"/>
        <w:rPr>
          <w:sz w:val="20"/>
          <w:szCs w:val="20"/>
          <w:color w:val="auto"/>
        </w:rPr>
      </w:pPr>
    </w:p>
    <w:p>
      <w:pPr>
        <w:ind w:left="780" w:hanging="249"/>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 any material terms or provisions of NCM Inc.’s equity incentive plan or enter into or consummate any new equity incentive compensation plan;</w:t>
      </w:r>
    </w:p>
    <w:p>
      <w:pPr>
        <w:spacing w:after="0" w:line="113" w:lineRule="exact"/>
        <w:rPr>
          <w:rFonts w:ascii="Arial" w:cs="Arial" w:eastAsia="Arial" w:hAnsi="Arial"/>
          <w:sz w:val="16"/>
          <w:szCs w:val="16"/>
          <w:color w:val="auto"/>
        </w:rPr>
      </w:pPr>
    </w:p>
    <w:p>
      <w:pPr>
        <w:ind w:left="780" w:right="400" w:hanging="249"/>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a Director Designation and Voting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and only during such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any nominee designated by our Founding Members is not elected by our stockholders, then certain of the Founding Members will be entitled to vote on the following actions of NCM LLC:</w:t>
      </w:r>
    </w:p>
    <w:p>
      <w:pPr>
        <w:spacing w:after="0" w:line="51" w:lineRule="exact"/>
        <w:rPr>
          <w:sz w:val="20"/>
          <w:szCs w:val="20"/>
          <w:color w:val="auto"/>
        </w:rPr>
      </w:pPr>
    </w:p>
    <w:p>
      <w:pPr>
        <w:ind w:left="780" w:hanging="24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NCM LLC matters set forth in the bullets above;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of NCM LLC’s annual budget;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of hiring and firing certain key employees of NCM LLC.</w:t>
      </w:r>
    </w:p>
    <w:p>
      <w:pPr>
        <w:spacing w:after="0" w:line="17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For purposes of calculating the 5% ownership thresholds for the supermajority director approval rights and Director Designation and Voting Agreement provisions discussed above, shares of our common stock held by a Founding Member and received upon redemption of NCM LLC common membership units will be counted toward the threshold, but shares of our common stock otherwise acquired by the Founding Members will be excluded.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depicts our organizational structure immediately after the Reorganization and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114300</wp:posOffset>
            </wp:positionV>
            <wp:extent cx="5059680" cy="2710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5968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w w:val="92"/>
              </w:rPr>
              <w:t>Upon completion of this offering, the issued and outstanding common membership units of NCM LLC will be owned</w:t>
            </w:r>
          </w:p>
        </w:tc>
        <w:tc>
          <w:tcPr>
            <w:tcW w:w="1560" w:type="dxa"/>
            <w:vAlign w:val="bottom"/>
          </w:tcPr>
          <w:p>
            <w:pPr>
              <w:ind w:left="200"/>
              <w:spacing w:after="0"/>
              <w:rPr>
                <w:sz w:val="20"/>
                <w:szCs w:val="20"/>
                <w:color w:val="auto"/>
              </w:rPr>
            </w:pPr>
            <w:r>
              <w:rPr>
                <w:rFonts w:ascii="Arial" w:cs="Arial" w:eastAsia="Arial" w:hAnsi="Arial"/>
                <w:sz w:val="18"/>
                <w:szCs w:val="18"/>
                <w:color w:val="auto"/>
              </w:rPr>
              <w:t>% by NCM Inc.,</w:t>
            </w:r>
          </w:p>
        </w:tc>
        <w:tc>
          <w:tcPr>
            <w:tcW w:w="820" w:type="dxa"/>
            <w:vAlign w:val="bottom"/>
          </w:tcPr>
          <w:p>
            <w:pPr>
              <w:ind w:left="200"/>
              <w:spacing w:after="0"/>
              <w:rPr>
                <w:sz w:val="20"/>
                <w:szCs w:val="20"/>
                <w:color w:val="auto"/>
              </w:rPr>
            </w:pPr>
            <w:r>
              <w:rPr>
                <w:rFonts w:ascii="Arial" w:cs="Arial" w:eastAsia="Arial" w:hAnsi="Arial"/>
                <w:sz w:val="18"/>
                <w:szCs w:val="18"/>
                <w:color w:val="auto"/>
              </w:rPr>
              <w:t>% by</w:t>
            </w:r>
          </w:p>
        </w:tc>
        <w:tc>
          <w:tcPr>
            <w:tcW w:w="0" w:type="dxa"/>
            <w:vAlign w:val="bottom"/>
          </w:tcPr>
          <w:p>
            <w:pPr>
              <w:spacing w:after="0"/>
              <w:rPr>
                <w:sz w:val="1"/>
                <w:szCs w:val="1"/>
                <w:color w:val="auto"/>
              </w:rPr>
            </w:pPr>
          </w:p>
        </w:tc>
      </w:tr>
      <w:tr>
        <w:trPr>
          <w:trHeight w:val="299"/>
        </w:trPr>
        <w:tc>
          <w:tcPr>
            <w:tcW w:w="460" w:type="dxa"/>
            <w:vAlign w:val="bottom"/>
            <w:gridSpan w:val="2"/>
          </w:tcPr>
          <w:p>
            <w:pPr>
              <w:spacing w:after="0"/>
              <w:rPr>
                <w:sz w:val="20"/>
                <w:szCs w:val="20"/>
                <w:color w:val="auto"/>
              </w:rPr>
            </w:pPr>
            <w:r>
              <w:rPr>
                <w:rFonts w:ascii="Arial" w:cs="Arial" w:eastAsia="Arial" w:hAnsi="Arial"/>
                <w:sz w:val="18"/>
                <w:szCs w:val="18"/>
                <w:color w:val="auto"/>
                <w:w w:val="97"/>
              </w:rPr>
              <w:t>AMC,</w:t>
            </w:r>
          </w:p>
        </w:tc>
        <w:tc>
          <w:tcPr>
            <w:tcW w:w="2080" w:type="dxa"/>
            <w:vAlign w:val="bottom"/>
          </w:tcPr>
          <w:p>
            <w:pPr>
              <w:ind w:left="380"/>
              <w:spacing w:after="0"/>
              <w:rPr>
                <w:sz w:val="20"/>
                <w:szCs w:val="20"/>
                <w:color w:val="auto"/>
              </w:rPr>
            </w:pPr>
            <w:r>
              <w:rPr>
                <w:rFonts w:ascii="Arial" w:cs="Arial" w:eastAsia="Arial" w:hAnsi="Arial"/>
                <w:sz w:val="18"/>
                <w:szCs w:val="18"/>
                <w:color w:val="auto"/>
              </w:rPr>
              <w:t>% by Cinemark and</w:t>
            </w:r>
          </w:p>
        </w:tc>
        <w:tc>
          <w:tcPr>
            <w:tcW w:w="2520" w:type="dxa"/>
            <w:vAlign w:val="bottom"/>
            <w:gridSpan w:val="2"/>
          </w:tcPr>
          <w:p>
            <w:pPr>
              <w:ind w:left="280"/>
              <w:spacing w:after="0"/>
              <w:rPr>
                <w:sz w:val="20"/>
                <w:szCs w:val="20"/>
                <w:color w:val="auto"/>
              </w:rPr>
            </w:pPr>
            <w:r>
              <w:rPr>
                <w:rFonts w:ascii="Arial" w:cs="Arial" w:eastAsia="Arial" w:hAnsi="Arial"/>
                <w:sz w:val="18"/>
                <w:szCs w:val="18"/>
                <w:color w:val="auto"/>
              </w:rPr>
              <w:t>% by Regal.</w:t>
            </w:r>
            <w:r>
              <w:rPr>
                <w:rFonts w:ascii="Arial" w:cs="Arial" w:eastAsia="Arial" w:hAnsi="Arial"/>
                <w:sz w:val="22"/>
                <w:szCs w:val="22"/>
                <w:color w:val="auto"/>
                <w:vertAlign w:val="superscript"/>
              </w:rPr>
              <w:t>1</w:t>
            </w:r>
          </w:p>
        </w:tc>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ind w:right="48"/>
              <w:spacing w:after="0"/>
              <w:rPr>
                <w:sz w:val="20"/>
                <w:szCs w:val="20"/>
                <w:color w:val="auto"/>
              </w:rPr>
            </w:pPr>
            <w:r>
              <w:rPr>
                <w:rFonts w:ascii="Arial" w:cs="Arial" w:eastAsia="Arial" w:hAnsi="Arial"/>
                <w:sz w:val="11"/>
                <w:szCs w:val="11"/>
                <w:color w:val="auto"/>
              </w:rPr>
              <w:t>1</w:t>
            </w:r>
          </w:p>
        </w:tc>
        <w:tc>
          <w:tcPr>
            <w:tcW w:w="8000" w:type="dxa"/>
            <w:vAlign w:val="bottom"/>
            <w:gridSpan w:val="5"/>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60" w:type="dxa"/>
            <w:vAlign w:val="bottom"/>
            <w:gridSpan w:val="3"/>
            <w:vMerge w:val="restart"/>
          </w:tcPr>
          <w:p>
            <w:pPr>
              <w:ind w:left="28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8000" w:type="dxa"/>
            <w:vAlign w:val="bottom"/>
            <w:gridSpan w:val="5"/>
            <w:vMerge w:val="continue"/>
          </w:tcPr>
          <w:p>
            <w:pPr>
              <w:spacing w:after="0"/>
              <w:rPr>
                <w:sz w:val="7"/>
                <w:szCs w:val="7"/>
                <w:color w:val="auto"/>
              </w:rPr>
            </w:pPr>
          </w:p>
        </w:tc>
        <w:tc>
          <w:tcPr>
            <w:tcW w:w="2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720" w:type="dxa"/>
            <w:vAlign w:val="bottom"/>
            <w:gridSpan w:val="4"/>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40" w:type="dxa"/>
            <w:vAlign w:val="bottom"/>
            <w:gridSpan w:val="4"/>
          </w:tcPr>
          <w:p>
            <w:pPr>
              <w:ind w:left="200"/>
              <w:spacing w:after="0"/>
              <w:rPr>
                <w:sz w:val="20"/>
                <w:szCs w:val="20"/>
                <w:color w:val="auto"/>
              </w:rPr>
            </w:pPr>
            <w:r>
              <w:rPr>
                <w:rFonts w:ascii="Arial" w:cs="Arial" w:eastAsia="Arial" w:hAnsi="Arial"/>
                <w:sz w:val="18"/>
                <w:szCs w:val="18"/>
                <w:color w:val="auto"/>
                <w:w w:val="89"/>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tcPr>
          <w:p>
            <w:pPr>
              <w:jc w:val="right"/>
              <w:ind w:right="2452"/>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FINANCING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NCM LLC Senior Secured Credit Facility</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connection with the completion of this offering, NCM LLC will enter into a new $ million senior secured credit facility with a group of lenders that will include affiliates of several of the underwriters. This facility will consist of a -year, $ million revolving credit facility and an -year, $725 million term loan facility. The size of the credit facility is subject to change prior to its closing. The term loan will be due on the anniversary of funding, and will be used to redeem the preferred membership units of NCM LLC for an aggregate price of $ , to repay the outstanding amounts, if any,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NCM LLC’s existing revolving credit facility and to pay fees and expenses related to this offering. The revolving credit facility will be available, subject to certain conditions, for general corporate purposes of NCM LLC in the ordinary course of business and for other transactions permitted under the credit agreement. A portion of the revolving credit facility will be available for letters of credit. The obligations under the credit facility will be secured by a lien on substantially all of the assets of NCM LLC.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senior secured credit facility will bear interest, at the option of the borrower, at a rate equal to an applicable margin plus a variable</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base rate. The applicable margin for the term loan facility will be % with respect to base rate loans and % with respect to eurodollar loans. The applicable margins for the revolving credit facility will be subject to adjustment from time to time based on the then-current consolidated leverage ratio. Upon the occurrence of any payment default, all outstanding amounts under the senior secured credit facility will bear interest at a rate equal to the rate then in effect with</w:t>
      </w:r>
    </w:p>
    <w:p>
      <w:pPr>
        <w:spacing w:after="0" w:line="2"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respect to such borrowings, plus</w:t>
      </w:r>
      <w:r>
        <w:rPr>
          <w:sz w:val="20"/>
          <w:szCs w:val="20"/>
          <w:color w:val="auto"/>
        </w:rPr>
        <w:tab/>
      </w:r>
      <w:r>
        <w:rPr>
          <w:rFonts w:ascii="Arial" w:cs="Arial" w:eastAsia="Arial" w:hAnsi="Arial"/>
          <w:sz w:val="15"/>
          <w:szCs w:val="15"/>
          <w:color w:val="auto"/>
        </w:rPr>
        <w:t>% per annum.</w:t>
      </w:r>
    </w:p>
    <w:p>
      <w:pPr>
        <w:sectPr>
          <w:pgSz w:w="11900" w:h="16838" w:orient="portrait"/>
          <w:cols w:equalWidth="0" w:num="1">
            <w:col w:w="11380"/>
          </w:cols>
          <w:pgMar w:left="240" w:top="459" w:right="279" w:bottom="1440"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things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senior secured credit facility will contain a number of negative covenants that limit NCM LLC and its restricted subsidiaries from, among other</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ectPr>
          <w:pgSz w:w="11900" w:h="16838" w:orient="portrait"/>
          <w:cols w:equalWidth="0" w:num="2">
            <w:col w:w="440" w:space="20"/>
            <w:col w:w="109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senior secured credit facility will also require the maintenance of certain quarterly financial and operating ratios, including a</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9720" w:space="720"/>
            <w:col w:w="940"/>
          </w:cols>
          <w:pgMar w:left="240" w:top="459" w:right="27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NCM LLC Credit Facility</w:t>
      </w:r>
    </w:p>
    <w:p>
      <w:pPr>
        <w:spacing w:after="0" w:line="96" w:lineRule="exact"/>
        <w:rPr>
          <w:sz w:val="20"/>
          <w:szCs w:val="20"/>
          <w:color w:val="auto"/>
        </w:rPr>
      </w:pPr>
    </w:p>
    <w:p>
      <w:pPr>
        <w:ind w:right="80" w:firstLine="456"/>
        <w:spacing w:after="0" w:line="280" w:lineRule="auto"/>
        <w:rPr>
          <w:sz w:val="20"/>
          <w:szCs w:val="20"/>
          <w:color w:val="auto"/>
        </w:rPr>
      </w:pPr>
      <w:r>
        <w:rPr>
          <w:rFonts w:ascii="Arial" w:cs="Arial" w:eastAsia="Arial" w:hAnsi="Arial"/>
          <w:sz w:val="16"/>
          <w:szCs w:val="16"/>
          <w:color w:val="auto"/>
        </w:rPr>
        <w:t xml:space="preserve">On March 22, 2006, NCM LLC entered into a $20.0 million secured revolving credit facility, with a $2.0 million letter of credit facility, with Citicorp North America, Inc., Citigroup Global Markets, Inc., Bank of America, N.A., Credit Suisse, Cayman Islands Branch and Lehman Commercial Paper Inc. Borrowings under the facility bear interest, at NCM LLC’s option, at either Adjusted LIBOR plus 1.375% or ABR plus 0.375%. “Adjusted LIBOR” means the rate at approximately 11:00 a.m., London time, two business days before the commencement of the relevant interest period, for dollar deposits with a maturity comparable to such interest period, as adjusted for reserve requirements and rounded upwards if necessary to the next 1/100 of 1%. “ABR” means the greater of the base or prime rate of Citicorp North America, Inc. and the federal funds rate, plus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1%. The facility is secured by a first-priority lien on certain assets of NCM LLC. The facility also imposes usual and customary affirmative and negative covenants on NCM LLC. The facility matures on March 22, 2008.</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29, 2006, $8.0 million was outstanding under this facility, including none subject to outstanding letters of credit. This facility will be repaid in full with the proceeds of the Financing Transaction as discussed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Advertising Industry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U.S. advertising industry is large and consists of a diverse mix of media platforms which has demonstrated attractive long-term growth. According to </w:t>
      </w:r>
      <w:r>
        <w:rPr>
          <w:rFonts w:ascii="Arial" w:cs="Arial" w:eastAsia="Arial" w:hAnsi="Arial"/>
          <w:sz w:val="16"/>
          <w:szCs w:val="16"/>
          <w:i w:val="1"/>
          <w:iCs w:val="1"/>
          <w:color w:val="auto"/>
        </w:rPr>
        <w:t>Kagan Research</w:t>
      </w:r>
      <w:r>
        <w:rPr>
          <w:rFonts w:ascii="Arial" w:cs="Arial" w:eastAsia="Arial" w:hAnsi="Arial"/>
          <w:sz w:val="16"/>
          <w:szCs w:val="16"/>
          <w:color w:val="auto"/>
        </w:rPr>
        <w:t>, in 2005 advertisers spent approximately $240 billion in the U.S. across all media platforms, and since 1996 advertising spending has grown at a</w:t>
      </w:r>
      <w:r>
        <w:rPr>
          <w:rFonts w:ascii="Arial" w:cs="Arial" w:eastAsia="Arial" w:hAnsi="Arial"/>
          <w:sz w:val="16"/>
          <w:szCs w:val="16"/>
          <w:i w:val="1"/>
          <w:iCs w:val="1"/>
          <w:color w:val="auto"/>
        </w:rPr>
        <w:t xml:space="preserve"> </w:t>
      </w:r>
      <w:r>
        <w:rPr>
          <w:rFonts w:ascii="Arial" w:cs="Arial" w:eastAsia="Arial" w:hAnsi="Arial"/>
          <w:sz w:val="16"/>
          <w:szCs w:val="16"/>
          <w:color w:val="auto"/>
        </w:rPr>
        <w:t>compound annual growth rate, or CAGR, of approximately 4.8%. Historically, the larger components of U.S. advertising spending have been traditional media platforms such as television, radio, newspapers and direct mail, with non-traditional media representing a relatively small percentage of advertising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25400</wp:posOffset>
            </wp:positionV>
            <wp:extent cx="5994400" cy="264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9440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as set forth in the following table, over the past 10 years, the growth rates of emerging, targeted media platforms such as Internet and cinema advertising have outpaced those of the traditional mass media platforms such as television, radio and newspapers. During the period from 2001 to 2005, Internet and cinema advertising grew at a CAGR of 13.2% and 26.0%, respectively, while more traditional media platforms such as broadcast television, radio, magazines and newspapers grew slower than the overall advertising market.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205740</wp:posOffset>
            </wp:positionV>
            <wp:extent cx="5093970" cy="3327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9397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a number of technological factors have caused non-traditional media platforms, including cinema advertising, to grow faster than the overall advertising market. Technology, particularly digital technology, has significantly affected the delivery of content. The development of broadband, wireless and portable devices as well as an increase in the number of Internet websites and digital cable channels have dramatically increased the number of media platforms and resulted in substantial audience fragmentation. While technological innovations have fragmented audiences, they have also enabled advertisers to deliver more targeted advertising messages to audiences. Historically, advertising campaigns were launched as “one-to-many,” but due to advances in technology, “one-to-few” or even “one-to-one” targeted media platforms are now available. For example, advertisers now reach individual consumers directly through cell phones and video games. Technology is also providing consumers with the tools necessary to interact with content in new ways, including the ability to store content and skip advertisements with devices like MP3 players and digital video recorders.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increase in the number of media platforms available to advertisers, the enhanced ability to target narrow consumer demographics and the availability of more sophisticated return on investment measurement tools, return on investment has become a key driver for marketers in making decisions about advertising expenditures. As such, marketers are more focused on reaching specific audience segments, especially those in attractive younger demographic groups such as 18-34 year olds. Advertisers are also turning with increasing frequency to non-traditional, targeted media platforms such as cinema advertising, Internet, cellular phones and video games in order to reach their desired demographic.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Cinema Advertising</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According to </w:t>
      </w:r>
      <w:r>
        <w:rPr>
          <w:rFonts w:ascii="Arial" w:cs="Arial" w:eastAsia="Arial" w:hAnsi="Arial"/>
          <w:sz w:val="16"/>
          <w:szCs w:val="16"/>
          <w:i w:val="1"/>
          <w:iCs w:val="1"/>
          <w:color w:val="auto"/>
        </w:rPr>
        <w:t>Zenith Optimedia</w:t>
      </w:r>
      <w:r>
        <w:rPr>
          <w:rFonts w:ascii="Arial" w:cs="Arial" w:eastAsia="Arial" w:hAnsi="Arial"/>
          <w:sz w:val="16"/>
          <w:szCs w:val="16"/>
          <w:color w:val="auto"/>
        </w:rPr>
        <w:t>, for many years, cinema advertising has represented a more significant percentage of total advertising spending in Europe and Australia than it has in the U.S. Historically, cinema advertising in the U.S. has been a low-quality medium consisting of slide advertisements delivered by 35</w:t>
      </w:r>
    </w:p>
    <w:p>
      <w:pPr>
        <w:ind w:left="5620" w:right="3360" w:hanging="5612"/>
        <w:spacing w:after="0" w:line="433" w:lineRule="auto"/>
        <w:tabs>
          <w:tab w:leader="none" w:pos="3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projectors and repurposed national television advertisements played on 35 mm film. The costs associated with 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duplicating and distributing the advertisement on 35 mm film to a fragmented theatre base were high. Also, the medium required long distribution lead times to make film prints and provided advertisers very little flexibility to target specific audiences or geographic regions, or to change advertising messages once a campaign was launched. Due to the lack of scale amongst cinema advertising businesses, advertisers were unable to purchase national coverage from any one operator, with consistent delivery and pricing metrics. Most importantly, cinema advertising was not measured by a nationally recognized media measurement service, and therefore was not considered by many national advertisers.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Over the past few years, cinema advertising in the U.S. has undergone significant changes. Companies providing nationwide coverage have emerged. Some companies have deployed digital networks and fostered the development of higher quality pre-feature shows that commingle advertising and entertainment programming. The growth of cinema advertising has been further supported by the establishment of third-party market research on the medium from firms such as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and </w:t>
      </w:r>
      <w:r>
        <w:rPr>
          <w:rFonts w:ascii="Arial" w:cs="Arial" w:eastAsia="Arial" w:hAnsi="Arial"/>
          <w:sz w:val="16"/>
          <w:szCs w:val="16"/>
          <w:i w:val="1"/>
          <w:iCs w:val="1"/>
          <w:color w:val="auto"/>
        </w:rPr>
        <w:t>Arbitron</w:t>
      </w:r>
      <w:r>
        <w:rPr>
          <w:rFonts w:ascii="Arial" w:cs="Arial" w:eastAsia="Arial" w:hAnsi="Arial"/>
          <w:sz w:val="16"/>
          <w:szCs w:val="16"/>
          <w:color w:val="auto"/>
        </w:rPr>
        <w:t>. Today, cinema advertising represents an increasingly effective marketing platform for advertisers.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Cinema advertising generally consists of the following components:</w:t>
      </w:r>
    </w:p>
    <w:p>
      <w:pPr>
        <w:spacing w:after="0" w:line="90" w:lineRule="exact"/>
        <w:rPr>
          <w:sz w:val="20"/>
          <w:szCs w:val="20"/>
          <w:color w:val="auto"/>
        </w:rPr>
      </w:pPr>
    </w:p>
    <w:p>
      <w:pPr>
        <w:ind w:left="780" w:right="60" w:hanging="249"/>
        <w:spacing w:after="0" w:line="25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On-screen advertising</w:t>
      </w:r>
      <w:r>
        <w:rPr>
          <w:rFonts w:ascii="Arial" w:cs="Arial" w:eastAsia="Arial" w:hAnsi="Arial"/>
          <w:sz w:val="18"/>
          <w:szCs w:val="18"/>
          <w:color w:val="auto"/>
        </w:rPr>
        <w:t>. According to a</w:t>
      </w:r>
      <w:r>
        <w:rPr>
          <w:rFonts w:ascii="Arial" w:cs="Arial" w:eastAsia="Arial" w:hAnsi="Arial"/>
          <w:sz w:val="18"/>
          <w:szCs w:val="18"/>
          <w:i w:val="1"/>
          <w:iCs w:val="1"/>
          <w:color w:val="auto"/>
        </w:rPr>
        <w:t xml:space="preserve"> Cinema Advertising Council </w:t>
      </w:r>
      <w:r>
        <w:rPr>
          <w:rFonts w:ascii="Arial" w:cs="Arial" w:eastAsia="Arial" w:hAnsi="Arial"/>
          <w:sz w:val="18"/>
          <w:szCs w:val="18"/>
          <w:color w:val="auto"/>
        </w:rPr>
        <w:t>press release, advertising displayed before film trailers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86% of cinema advertising revenues in 2005. Advertising opportunities are available in many formats, including 35 mm slides, digital slides, 35 mm film and full motion programming displayed on digital projectors connected to local and wide area distribution networks. Opportunities exist for advertisers to purchase advertisements for local, regional or national distribution.</w:t>
      </w:r>
    </w:p>
    <w:p>
      <w:pPr>
        <w:spacing w:after="0" w:line="62" w:lineRule="exact"/>
        <w:rPr>
          <w:rFonts w:ascii="Arial" w:cs="Arial" w:eastAsia="Arial" w:hAnsi="Arial"/>
          <w:sz w:val="18"/>
          <w:szCs w:val="18"/>
          <w:color w:val="auto"/>
        </w:rPr>
      </w:pPr>
    </w:p>
    <w:p>
      <w:pPr>
        <w:ind w:left="780" w:right="40" w:hanging="249"/>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In-lobby advertising and other off-screen theatre advertising opportunities. </w:t>
      </w:r>
      <w:r>
        <w:rPr>
          <w:rFonts w:ascii="Arial" w:cs="Arial" w:eastAsia="Arial" w:hAnsi="Arial"/>
          <w:sz w:val="18"/>
          <w:szCs w:val="18"/>
          <w:color w:val="auto"/>
        </w:rPr>
        <w:t>Advertising messages are delivered in theatre lobbies via plasma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television-type screens; on posters, tickets, beverage cups and popcorn bags; and through sponsorship and sampling opportunities. Coupons are also distributed at the box office and in theatre lobbies.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Cinema advertising provides advertisers with the opportunity to integrate their on-screen advertising with other marketing and promotional products in the lobby. The integration of marketing messages throughout the theatre from the time movie patrons enter until they exit the theatre allows an advertiser to immerse customers in its brand with multiple touch points throughout their movie-going experience.</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 xml:space="preserve">Today, cinema advertising accounts for a small but growing portion of the $240 billion U.S. advertising market. According to </w:t>
      </w:r>
      <w:r>
        <w:rPr>
          <w:rFonts w:ascii="Arial" w:cs="Arial" w:eastAsia="Arial" w:hAnsi="Arial"/>
          <w:sz w:val="16"/>
          <w:szCs w:val="16"/>
          <w:i w:val="1"/>
          <w:iCs w:val="1"/>
          <w:color w:val="auto"/>
        </w:rPr>
        <w:t>Kagan Research</w:t>
      </w:r>
      <w:r>
        <w:rPr>
          <w:rFonts w:ascii="Arial" w:cs="Arial" w:eastAsia="Arial" w:hAnsi="Arial"/>
          <w:sz w:val="16"/>
          <w:szCs w:val="16"/>
          <w:color w:val="auto"/>
        </w:rPr>
        <w:t>, cinema advertising revenue grew to $514 million in 2005, representing a CAGR during 1996-2005 and 2001-2005 of 15.7% and 26.0%, respectively. We believe the acceleration in advertising spending in this medium in the last five years is largely a result of better research and overall visibility of the medium and digital technology, which have enhanced the reach and the overall value proposition of cinema advertising for local, regional and national advertisers.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2418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result of these developments, more well-known national advertisers are adding cinema advertising to their media budgets and existing advertisers are increasing their cinema advertising spending. Today, companies in the apparel / accessories, automotive, confectionary, credit card, personal care, retail, telecommunications and video game sectors, as well as branches of the armed forces, target consumers using cinema advertising.</w:t>
      </w:r>
    </w:p>
    <w:p>
      <w:pPr>
        <w:spacing w:after="0" w:line="10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Audiences are increasingly accepting of cinema advertising. A 2003 </w:t>
      </w:r>
      <w:r>
        <w:rPr>
          <w:rFonts w:ascii="Arial" w:cs="Arial" w:eastAsia="Arial" w:hAnsi="Arial"/>
          <w:sz w:val="18"/>
          <w:szCs w:val="18"/>
          <w:i w:val="1"/>
          <w:iCs w:val="1"/>
          <w:color w:val="auto"/>
        </w:rPr>
        <w:t>Arbitron</w:t>
      </w:r>
      <w:r>
        <w:rPr>
          <w:rFonts w:ascii="Arial" w:cs="Arial" w:eastAsia="Arial" w:hAnsi="Arial"/>
          <w:sz w:val="18"/>
          <w:szCs w:val="18"/>
          <w:color w:val="auto"/>
        </w:rPr>
        <w:t xml:space="preserve"> study found that two-thirds of movie-going adults strongly agree or agree with the statement “I don’t mind the advertisements shown prior to the feature film.” Source, </w:t>
      </w:r>
      <w:r>
        <w:rPr>
          <w:rFonts w:ascii="Arial" w:cs="Arial" w:eastAsia="Arial" w:hAnsi="Arial"/>
          <w:sz w:val="18"/>
          <w:szCs w:val="18"/>
          <w:i w:val="1"/>
          <w:iCs w:val="1"/>
          <w:color w:val="auto"/>
        </w:rPr>
        <w:t>Arbitron Inc., The Arbitron Cinema Advertising Study</w:t>
      </w:r>
      <w:r>
        <w:rPr>
          <w:rFonts w:ascii="Arial" w:cs="Arial" w:eastAsia="Arial" w:hAnsi="Arial"/>
          <w:sz w:val="18"/>
          <w:szCs w:val="18"/>
          <w:color w:val="auto"/>
        </w:rPr>
        <w:t>, Copyright 2003.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Cinema Advertising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advantages of cinema advertising include the following:</w:t>
      </w:r>
    </w:p>
    <w:p>
      <w:pPr>
        <w:spacing w:after="0" w:line="90" w:lineRule="exact"/>
        <w:rPr>
          <w:sz w:val="20"/>
          <w:szCs w:val="20"/>
          <w:color w:val="auto"/>
        </w:rPr>
      </w:pPr>
    </w:p>
    <w:p>
      <w:pPr>
        <w:ind w:left="780" w:right="200" w:hanging="249"/>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Effective targeting. </w:t>
      </w:r>
      <w:r>
        <w:rPr>
          <w:rFonts w:ascii="Arial" w:cs="Arial" w:eastAsia="Arial" w:hAnsi="Arial"/>
          <w:sz w:val="18"/>
          <w:szCs w:val="18"/>
          <w:color w:val="auto"/>
        </w:rPr>
        <w:t>Cinema advertising enables advertisers to target audiences by specific location or region and on a national basis by demographic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associated with a film or film-rating category.</w:t>
      </w:r>
    </w:p>
    <w:p>
      <w:pPr>
        <w:spacing w:after="0" w:line="50" w:lineRule="exact"/>
        <w:rPr>
          <w:rFonts w:ascii="Arial" w:cs="Arial" w:eastAsia="Arial" w:hAnsi="Arial"/>
          <w:sz w:val="18"/>
          <w:szCs w:val="18"/>
          <w:color w:val="auto"/>
        </w:rPr>
      </w:pPr>
    </w:p>
    <w:p>
      <w:pPr>
        <w:jc w:val="both"/>
        <w:ind w:left="780" w:right="280" w:hanging="249"/>
        <w:spacing w:after="0" w:line="30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Large addressable audience</w:t>
      </w:r>
      <w:r>
        <w:rPr>
          <w:rFonts w:ascii="Arial" w:cs="Arial" w:eastAsia="Arial" w:hAnsi="Arial"/>
          <w:sz w:val="16"/>
          <w:szCs w:val="16"/>
          <w:color w:val="auto"/>
        </w:rPr>
        <w:t>. According to</w:t>
      </w:r>
      <w:r>
        <w:rPr>
          <w:rFonts w:ascii="Arial" w:cs="Arial" w:eastAsia="Arial" w:hAnsi="Arial"/>
          <w:sz w:val="16"/>
          <w:szCs w:val="16"/>
          <w:i w:val="1"/>
          <w:iCs w:val="1"/>
          <w:color w:val="auto"/>
        </w:rPr>
        <w:t xml:space="preserve"> Kagan Research</w:t>
      </w:r>
      <w:r>
        <w:rPr>
          <w:rFonts w:ascii="Arial" w:cs="Arial" w:eastAsia="Arial" w:hAnsi="Arial"/>
          <w:sz w:val="16"/>
          <w:szCs w:val="16"/>
          <w:color w:val="auto"/>
        </w:rPr>
        <w:t xml:space="preserve">, movie-going is the number one out-of-home leisure activity for Americans. Over two-thirds of the U.S. population goes to the movies, with one-third of the population attending a movie at least once a month. According to the </w:t>
      </w:r>
      <w:r>
        <w:rPr>
          <w:rFonts w:ascii="Arial" w:cs="Arial" w:eastAsia="Arial" w:hAnsi="Arial"/>
          <w:sz w:val="16"/>
          <w:szCs w:val="16"/>
          <w:i w:val="1"/>
          <w:iCs w:val="1"/>
          <w:color w:val="auto"/>
        </w:rPr>
        <w:t>Motion</w:t>
      </w:r>
      <w:r>
        <w:rPr>
          <w:rFonts w:ascii="Arial" w:cs="Arial" w:eastAsia="Arial" w:hAnsi="Arial"/>
          <w:sz w:val="16"/>
          <w:szCs w:val="16"/>
          <w:color w:val="auto"/>
        </w:rPr>
        <w:t xml:space="preserve"> </w:t>
      </w:r>
      <w:r>
        <w:rPr>
          <w:rFonts w:ascii="Arial" w:cs="Arial" w:eastAsia="Arial" w:hAnsi="Arial"/>
          <w:sz w:val="16"/>
          <w:szCs w:val="16"/>
          <w:i w:val="1"/>
          <w:iCs w:val="1"/>
          <w:color w:val="auto"/>
        </w:rPr>
        <w:t>Picture Association of America, Inc.</w:t>
      </w:r>
      <w:r>
        <w:rPr>
          <w:rFonts w:ascii="Arial" w:cs="Arial" w:eastAsia="Arial" w:hAnsi="Arial"/>
          <w:sz w:val="16"/>
          <w:szCs w:val="16"/>
          <w:color w:val="auto"/>
        </w:rPr>
        <w:t>, or</w:t>
      </w:r>
      <w:r>
        <w:rPr>
          <w:rFonts w:ascii="Arial" w:cs="Arial" w:eastAsia="Arial" w:hAnsi="Arial"/>
          <w:sz w:val="16"/>
          <w:szCs w:val="16"/>
          <w:i w:val="1"/>
          <w:iCs w:val="1"/>
          <w:color w:val="auto"/>
        </w:rPr>
        <w:t xml:space="preserve"> MPAA</w:t>
      </w:r>
      <w:r>
        <w:rPr>
          <w:rFonts w:ascii="Arial" w:cs="Arial" w:eastAsia="Arial" w:hAnsi="Arial"/>
          <w:sz w:val="16"/>
          <w:szCs w:val="16"/>
          <w:color w:val="auto"/>
        </w:rPr>
        <w:t>, in 2005, total theatre attendance in the U.S. was approximately 1.4 billion.</w:t>
      </w:r>
    </w:p>
    <w:p>
      <w:pPr>
        <w:spacing w:after="0" w:line="25" w:lineRule="exact"/>
        <w:rPr>
          <w:rFonts w:ascii="Arial" w:cs="Arial" w:eastAsia="Arial" w:hAnsi="Arial"/>
          <w:sz w:val="16"/>
          <w:szCs w:val="16"/>
          <w:color w:val="auto"/>
        </w:rPr>
      </w:pPr>
    </w:p>
    <w:p>
      <w:pPr>
        <w:ind w:left="780" w:right="100" w:hanging="249"/>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Attractive audience demographics. </w:t>
      </w:r>
      <w:r>
        <w:rPr>
          <w:rFonts w:ascii="Arial" w:cs="Arial" w:eastAsia="Arial" w:hAnsi="Arial"/>
          <w:sz w:val="18"/>
          <w:szCs w:val="18"/>
          <w:color w:val="auto"/>
        </w:rPr>
        <w:t>According to a</w:t>
      </w:r>
      <w:r>
        <w:rPr>
          <w:rFonts w:ascii="Arial" w:cs="Arial" w:eastAsia="Arial" w:hAnsi="Arial"/>
          <w:sz w:val="18"/>
          <w:szCs w:val="18"/>
          <w:i w:val="1"/>
          <w:iCs w:val="1"/>
          <w:color w:val="auto"/>
        </w:rPr>
        <w:t xml:space="preserve"> Nielsen Media Research </w:t>
      </w:r>
      <w:r>
        <w:rPr>
          <w:rFonts w:ascii="Arial" w:cs="Arial" w:eastAsia="Arial" w:hAnsi="Arial"/>
          <w:sz w:val="18"/>
          <w:szCs w:val="18"/>
          <w:color w:val="auto"/>
        </w:rPr>
        <w:t>study, conducted in the first quarter of 2006, typical movie-goers are</w:t>
      </w:r>
      <w:r>
        <w:rPr>
          <w:rFonts w:ascii="Arial" w:cs="Arial" w:eastAsia="Arial" w:hAnsi="Arial"/>
          <w:sz w:val="18"/>
          <w:szCs w:val="18"/>
          <w:i w:val="1"/>
          <w:iCs w:val="1"/>
          <w:color w:val="auto"/>
        </w:rPr>
        <w:t xml:space="preserve"> </w:t>
      </w:r>
      <w:r>
        <w:rPr>
          <w:rFonts w:ascii="Arial" w:cs="Arial" w:eastAsia="Arial" w:hAnsi="Arial"/>
          <w:sz w:val="18"/>
          <w:szCs w:val="18"/>
          <w:color w:val="auto"/>
        </w:rPr>
        <w:t>young, with 45% between the ages of 12-34; affluent, with a mean household income of over $67,000; and well-educated, with 39% having a college or post-graduate degree.</w:t>
      </w:r>
    </w:p>
    <w:p>
      <w:pPr>
        <w:spacing w:after="0" w:line="59" w:lineRule="exact"/>
        <w:rPr>
          <w:rFonts w:ascii="Arial" w:cs="Arial" w:eastAsia="Arial" w:hAnsi="Arial"/>
          <w:sz w:val="18"/>
          <w:szCs w:val="18"/>
          <w:color w:val="auto"/>
        </w:rPr>
      </w:pPr>
    </w:p>
    <w:p>
      <w:pPr>
        <w:ind w:left="780" w:right="220" w:hanging="249"/>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Engaged audiences</w:t>
      </w:r>
      <w:r>
        <w:rPr>
          <w:rFonts w:ascii="Arial" w:cs="Arial" w:eastAsia="Arial" w:hAnsi="Arial"/>
          <w:sz w:val="18"/>
          <w:szCs w:val="18"/>
          <w:color w:val="auto"/>
        </w:rPr>
        <w:t>. Cinema advertising audiences are seated in a darkened auditorium while high-definition programming is displayed on a large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screen with digital sound that cannot be skipped or turned off. Research conducted by </w:t>
      </w:r>
      <w:r>
        <w:rPr>
          <w:rFonts w:ascii="Arial" w:cs="Arial" w:eastAsia="Arial" w:hAnsi="Arial"/>
          <w:sz w:val="18"/>
          <w:szCs w:val="18"/>
          <w:i w:val="1"/>
          <w:iCs w:val="1"/>
          <w:color w:val="auto"/>
        </w:rPr>
        <w:t>Arbitron</w:t>
      </w:r>
      <w:r>
        <w:rPr>
          <w:rFonts w:ascii="Arial" w:cs="Arial" w:eastAsia="Arial" w:hAnsi="Arial"/>
          <w:sz w:val="18"/>
          <w:szCs w:val="18"/>
          <w:color w:val="auto"/>
        </w:rPr>
        <w:t xml:space="preserve"> in 2003 has shown that audiences typically are more attentive in this type of environment.</w:t>
      </w:r>
    </w:p>
    <w:p>
      <w:pPr>
        <w:spacing w:after="0" w:line="59" w:lineRule="exact"/>
        <w:rPr>
          <w:rFonts w:ascii="Arial" w:cs="Arial" w:eastAsia="Arial" w:hAnsi="Arial"/>
          <w:sz w:val="18"/>
          <w:szCs w:val="18"/>
          <w:color w:val="auto"/>
        </w:rPr>
      </w:pPr>
    </w:p>
    <w:p>
      <w:pPr>
        <w:ind w:left="780" w:hanging="249"/>
        <w:spacing w:after="0" w:line="306"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High unaided recall rates and intent to purchase. </w:t>
      </w:r>
      <w:r>
        <w:rPr>
          <w:rFonts w:ascii="Arial" w:cs="Arial" w:eastAsia="Arial" w:hAnsi="Arial"/>
          <w:sz w:val="16"/>
          <w:szCs w:val="16"/>
          <w:color w:val="auto"/>
        </w:rPr>
        <w:t>Industry studies have found that movie-goers recall advertising messages five to six times better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television viewers. According to a 2005 </w:t>
      </w:r>
      <w:r>
        <w:rPr>
          <w:rFonts w:ascii="Arial" w:cs="Arial" w:eastAsia="Arial" w:hAnsi="Arial"/>
          <w:sz w:val="16"/>
          <w:szCs w:val="16"/>
          <w:i w:val="1"/>
          <w:iCs w:val="1"/>
          <w:color w:val="auto"/>
        </w:rPr>
        <w:t>Roper</w:t>
      </w:r>
      <w:r>
        <w:rPr>
          <w:rFonts w:ascii="Arial" w:cs="Arial" w:eastAsia="Arial" w:hAnsi="Arial"/>
          <w:sz w:val="16"/>
          <w:szCs w:val="16"/>
          <w:color w:val="auto"/>
        </w:rPr>
        <w:t xml:space="preserve"> study, cinema advertising audiences had a 73% unaided recall rate, compared with 13% for network television audiences as cited by a 2000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study commissioned by the Cable Advertising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Bureau. Unaided recall is measured by the ability of a viewer of an advertising message to name the advertiser without prompting.</w:t>
      </w:r>
    </w:p>
    <w:p>
      <w:pPr>
        <w:spacing w:after="0" w:line="104" w:lineRule="exact"/>
        <w:rPr>
          <w:sz w:val="20"/>
          <w:szCs w:val="20"/>
          <w:color w:val="auto"/>
        </w:rPr>
      </w:pPr>
    </w:p>
    <w:p>
      <w:pPr>
        <w:ind w:left="780" w:right="20" w:hanging="249"/>
        <w:spacing w:after="0" w:line="306"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Measured medium. </w:t>
      </w:r>
      <w:r>
        <w:rPr>
          <w:rFonts w:ascii="Arial" w:cs="Arial" w:eastAsia="Arial" w:hAnsi="Arial"/>
          <w:sz w:val="16"/>
          <w:szCs w:val="16"/>
          <w:color w:val="auto"/>
        </w:rPr>
        <w:t>Exhibitors can provide weekly attendance information on a film-by-film, theatre-by-theatre or film rating category basis,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allows for the accurate reporting of audience size, as opposed to the extrapolations of small sample audiences used to measure television viewership. Cinema advertising is measured by third-party media measurement firms including </w:t>
      </w:r>
      <w:r>
        <w:rPr>
          <w:rFonts w:ascii="Arial" w:cs="Arial" w:eastAsia="Arial" w:hAnsi="Arial"/>
          <w:sz w:val="16"/>
          <w:szCs w:val="16"/>
          <w:i w:val="1"/>
          <w:iCs w:val="1"/>
          <w:color w:val="auto"/>
        </w:rPr>
        <w:t>Arbitron</w:t>
      </w:r>
      <w:r>
        <w:rPr>
          <w:rFonts w:ascii="Arial" w:cs="Arial" w:eastAsia="Arial" w:hAnsi="Arial"/>
          <w:sz w:val="16"/>
          <w:szCs w:val="16"/>
          <w:color w:val="auto"/>
        </w:rPr>
        <w:t xml:space="preserve"> and </w:t>
      </w:r>
      <w:r>
        <w:rPr>
          <w:rFonts w:ascii="Arial" w:cs="Arial" w:eastAsia="Arial" w:hAnsi="Arial"/>
          <w:sz w:val="16"/>
          <w:szCs w:val="16"/>
          <w:i w:val="1"/>
          <w:iCs w:val="1"/>
          <w:color w:val="auto"/>
        </w:rPr>
        <w:t>Nielsen Media Research</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attractiveness of this medium has allowed cinema advertising providers to generate above average CPM rates as compared to more traditional media platforms. Given the high recall rates and targeted nature of this medium, advertisers can achieve their desired marketing results by more effectively reaching their chosen consumer segments while still achieving broad national reach. We believe the efficiency of this medium results in a higher return on investment for advertisers, and results in a better value proposition than traditional mass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76835</wp:posOffset>
            </wp:positionV>
            <wp:extent cx="5222875" cy="4262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2875"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attractiveness of cinema advertising relative to other media is also evident in international markets. For example, according to </w:t>
      </w:r>
      <w:r>
        <w:rPr>
          <w:rFonts w:ascii="Arial" w:cs="Arial" w:eastAsia="Arial" w:hAnsi="Arial"/>
          <w:sz w:val="18"/>
          <w:szCs w:val="18"/>
          <w:i w:val="1"/>
          <w:iCs w:val="1"/>
          <w:color w:val="auto"/>
        </w:rPr>
        <w:t>a World Advertising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Research Center </w:t>
      </w:r>
      <w:r>
        <w:rPr>
          <w:rFonts w:ascii="Arial" w:cs="Arial" w:eastAsia="Arial" w:hAnsi="Arial"/>
          <w:sz w:val="18"/>
          <w:szCs w:val="18"/>
          <w:color w:val="auto"/>
        </w:rPr>
        <w:t>study, in 2003 cinema advertising sold at a premium CPM to peak television advertising in world markets other than the U.S., commanding a</w:t>
      </w:r>
      <w:r>
        <w:rPr>
          <w:rFonts w:ascii="Arial" w:cs="Arial" w:eastAsia="Arial" w:hAnsi="Arial"/>
          <w:sz w:val="18"/>
          <w:szCs w:val="18"/>
          <w:i w:val="1"/>
          <w:iCs w:val="1"/>
          <w:color w:val="auto"/>
        </w:rPr>
        <w:t xml:space="preserve"> </w:t>
      </w:r>
      <w:r>
        <w:rPr>
          <w:rFonts w:ascii="Arial" w:cs="Arial" w:eastAsia="Arial" w:hAnsi="Arial"/>
          <w:sz w:val="18"/>
          <w:szCs w:val="18"/>
          <w:color w:val="auto"/>
        </w:rPr>
        <w:t>7.0x premium in Western Europe, a 7.7x premium in Australasia, and a 13.8x premium in Asia. In North America the comparable premium was 1.3x. The consistency of cinema advertising’s premium CPM across geographies attests to the enhanced value proposition it provides for advertisers relative to traditional media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95885</wp:posOffset>
            </wp:positionV>
            <wp:extent cx="5213985" cy="23495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Film Exhibition Industry</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The domestic motion picture exhibition industry is a mature business which has historically maintained long-term growth in revenue and attendance. According to the </w:t>
      </w:r>
      <w:r>
        <w:rPr>
          <w:rFonts w:ascii="Arial" w:cs="Arial" w:eastAsia="Arial" w:hAnsi="Arial"/>
          <w:sz w:val="18"/>
          <w:szCs w:val="18"/>
          <w:i w:val="1"/>
          <w:iCs w:val="1"/>
          <w:color w:val="auto"/>
        </w:rPr>
        <w:t>MPAA</w:t>
      </w:r>
      <w:r>
        <w:rPr>
          <w:rFonts w:ascii="Arial" w:cs="Arial" w:eastAsia="Arial" w:hAnsi="Arial"/>
          <w:sz w:val="18"/>
          <w:szCs w:val="18"/>
          <w:color w:val="auto"/>
        </w:rPr>
        <w:t>, total box office revenue and admissions have grown at a CAGR of approximately 5.6% and 1.2%, respectively, since 1970. In 2005, annual attendance was approximately 1.4 billion.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shown by the chart below, the domestic motion picture exhibition industry has experienced long-term attendance growth with numerous cycles of long-term increases followed by short-term declines during the past 35 years. We believe the cyclical nature of attendance trends in the domestic motion picture exhibition industry is largely related to the supply, perceived quality and timing of release of feature films, along with the impact of changes in theatre quality and other entertainment technology and economic factors such as recessions. The industry has been relatively unaffected by downturns in the economic cycle, with attendance growing in three of the last five recessions.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2924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on an industry publication, during the first nine months of 2006, total U.S. box office attendance was up 2.5% as compared to the first nine months of 2005,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191770</wp:posOffset>
            </wp:positionV>
            <wp:extent cx="5213985" cy="23666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60"/>
          </w:cols>
          <w:pgMar w:left="24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operate the largest digital in-theatre network in North America, which we currently use to distribute content for our advertising, meetings and events businesses. Upon completion of this offering, we will have long-term Exhibitor Services Agreements, which we refer to as ESAs, with our Founding Members— AMC, Cinemark and Regal, the three largest motion picture exhibition companies in the U. S.— and multi-year agreements with several other theatre operators whom we refer to as Network Affiliates. These ESAs grant us exclusive rights, subject to limited exceptions, to sell advertising and meeting services and distribute entertainment programming in those theatres. The Network Affiliate agreements grant us exclusive rights, subject to limited exceptions, to sell advertising on their theatre screens.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derive revenue principally from the following activities:</w:t>
      </w:r>
    </w:p>
    <w:p>
      <w:pPr>
        <w:spacing w:after="0" w:line="90" w:lineRule="exact"/>
        <w:rPr>
          <w:sz w:val="20"/>
          <w:szCs w:val="20"/>
          <w:color w:val="auto"/>
        </w:rPr>
      </w:pPr>
    </w:p>
    <w:p>
      <w:pPr>
        <w:ind w:left="780" w:right="140" w:hanging="249"/>
        <w:spacing w:after="0" w:line="332"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Advertising</w:t>
      </w:r>
      <w:r>
        <w:rPr>
          <w:rFonts w:ascii="Arial" w:cs="Arial" w:eastAsia="Arial" w:hAnsi="Arial"/>
          <w:sz w:val="16"/>
          <w:szCs w:val="16"/>
          <w:color w:val="auto"/>
        </w:rPr>
        <w:t>: We develop, produce, sell and distribute a branded, pre-feature entertainment and advertising program called “</w:t>
      </w:r>
      <w:r>
        <w:rPr>
          <w:rFonts w:ascii="Arial" w:cs="Arial" w:eastAsia="Arial" w:hAnsi="Arial"/>
          <w:sz w:val="16"/>
          <w:szCs w:val="16"/>
          <w:i w:val="1"/>
          <w:iCs w:val="1"/>
          <w:color w:val="auto"/>
        </w:rPr>
        <w:t>FirstLook</w:t>
      </w:r>
      <w:r>
        <w:rPr>
          <w:rFonts w:ascii="Arial" w:cs="Arial" w:eastAsia="Arial" w:hAnsi="Arial"/>
          <w:sz w:val="16"/>
          <w:szCs w:val="16"/>
          <w:color w:val="auto"/>
        </w:rPr>
        <w:t>,” along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program for our lobby entertainment network, or LEN, and various marketing and promotional products in theatre lobbies;</w:t>
      </w:r>
    </w:p>
    <w:p>
      <w:pPr>
        <w:spacing w:after="0" w:line="4" w:lineRule="exact"/>
        <w:rPr>
          <w:rFonts w:ascii="Arial" w:cs="Arial" w:eastAsia="Arial" w:hAnsi="Arial"/>
          <w:sz w:val="16"/>
          <w:szCs w:val="16"/>
          <w:color w:val="auto"/>
        </w:rPr>
      </w:pPr>
    </w:p>
    <w:p>
      <w:pPr>
        <w:ind w:left="780" w:hanging="249"/>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CineMeetings</w:t>
      </w:r>
      <w:r>
        <w:rPr>
          <w:rFonts w:ascii="Arial" w:cs="Arial" w:eastAsia="Arial" w:hAnsi="Arial"/>
          <w:sz w:val="16"/>
          <w:szCs w:val="16"/>
          <w:color w:val="auto"/>
        </w:rPr>
        <w:t>: We provide live and pre-recorded network and single-site meetings and events in the theatres throughout our network; and</w:t>
      </w:r>
    </w:p>
    <w:p>
      <w:pPr>
        <w:spacing w:after="0" w:line="113" w:lineRule="exact"/>
        <w:rPr>
          <w:rFonts w:ascii="Arial" w:cs="Arial" w:eastAsia="Arial" w:hAnsi="Arial"/>
          <w:sz w:val="16"/>
          <w:szCs w:val="16"/>
          <w:color w:val="auto"/>
        </w:rPr>
      </w:pPr>
    </w:p>
    <w:p>
      <w:pPr>
        <w:ind w:left="780" w:right="240" w:hanging="249"/>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Digital Programming Events</w:t>
      </w:r>
      <w:r>
        <w:rPr>
          <w:rFonts w:ascii="Arial" w:cs="Arial" w:eastAsia="Arial" w:hAnsi="Arial"/>
          <w:sz w:val="18"/>
          <w:szCs w:val="18"/>
          <w:color w:val="auto"/>
        </w:rPr>
        <w:t>: We distribute live and pre-recorded concerts, sporting events and other entertainment programming to theatres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digital network.</w:t>
      </w:r>
    </w:p>
    <w:p>
      <w:pPr>
        <w:spacing w:after="0" w:line="132"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color w:val="auto"/>
        </w:rPr>
        <w:t>We believe that the reach, scope and digital delivery capability of our network provide an effective platform for national, regional and local advertisers to reach a young, affluent and engaged audience on a highly targeted and measurable basis. Our network is currently located in 45 states and the District of Columbia and covers all of the top 25, as well as 49 of the top 50, DMAs</w:t>
      </w:r>
      <w:r>
        <w:rPr>
          <w:rFonts w:ascii="Arial" w:cs="Arial" w:eastAsia="Arial" w:hAnsi="Arial"/>
          <w:sz w:val="22"/>
          <w:szCs w:val="22"/>
          <w:color w:val="auto"/>
          <w:vertAlign w:val="superscript"/>
        </w:rPr>
        <w:t>®</w:t>
      </w:r>
      <w:r>
        <w:rPr>
          <w:rFonts w:ascii="Arial" w:cs="Arial" w:eastAsia="Arial" w:hAnsi="Arial"/>
          <w:sz w:val="18"/>
          <w:szCs w:val="18"/>
          <w:color w:val="auto"/>
        </w:rPr>
        <w:t>, and 150 DMAs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total. During 2005, approximately 500 million patrons, representing 36% of the total U.S. theatre attendance, attended theatres operated by our Founding Members. As of June 29, 2006, we had a total of 13,095 screens in our network, as set forth in the table below:</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Theatres</w:t>
            </w:r>
          </w:p>
        </w:tc>
        <w:tc>
          <w:tcPr>
            <w:tcW w:w="220" w:type="dxa"/>
            <w:vAlign w:val="bottom"/>
          </w:tcPr>
          <w:p>
            <w:pPr>
              <w:spacing w:after="0"/>
              <w:rPr>
                <w:sz w:val="14"/>
                <w:szCs w:val="14"/>
                <w:color w:val="auto"/>
              </w:rPr>
            </w:pPr>
          </w:p>
        </w:tc>
        <w:tc>
          <w:tcPr>
            <w:tcW w:w="9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77"/>
              </w:rPr>
              <w:t>Screens</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vMerge w:val="restart"/>
          </w:tcPr>
          <w:p>
            <w:pPr>
              <w:spacing w:after="0"/>
              <w:rPr>
                <w:sz w:val="20"/>
                <w:szCs w:val="20"/>
                <w:color w:val="auto"/>
              </w:rPr>
            </w:pPr>
            <w:r>
              <w:rPr>
                <w:rFonts w:ascii="Arial" w:cs="Arial" w:eastAsia="Arial" w:hAnsi="Arial"/>
                <w:sz w:val="18"/>
                <w:szCs w:val="18"/>
                <w:color w:val="auto"/>
              </w:rPr>
              <w:t>Founding Members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2"/>
                <w:szCs w:val="12"/>
                <w:color w:val="auto"/>
              </w:rPr>
            </w:pPr>
          </w:p>
        </w:tc>
        <w:tc>
          <w:tcPr>
            <w:tcW w:w="9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Digital</w:t>
            </w:r>
          </w:p>
        </w:tc>
        <w:tc>
          <w:tcPr>
            <w:tcW w:w="5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1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10,815</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12,025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Network Affiliates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rPr>
              <w:t>1,046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13,095</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Excludes Loews and Century.</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January 26, 2006, AMC acquired the Loews theatre circuit. As of June 29, 2006, Loews operated approximately 112 theatres and 1,334 screens. The Loews screens will become part of our network on an exclusive basis beginning on June 1, 2008, subject to the run-out of certain pre-existing contractual obligations for on-screen advertising existing on June 1, 2008. During 2005, approximately 66.5 million movie patrons attended Loews’ theatres in the United States.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October 5, 2006, Cinemark acquired the Century theatre circuit. As of that date, Century operated 77 theatres with 1,017 screens. The Century screens were added to our network on an exclusive basis subject to limited exceptions. During Century’s fiscal year ended September 30, 2005, approximately 47.1 million movie patrons attended Century’s theatres in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Through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LEN and other promotional products, we provide our advertisers with bundled offerings of on-screen and lobby marketing products that provide multiple touch points to interact with theatre patrons. We distribute our programming primarily through our proprietary digital content network, or DCN. We also sell 35 mm slide and film-based advertising on 1,210 non-digital screens in our network operated by our Founding Members as of June 29, 2006, which represented less than 10% of our attendance during the year ended December 29, 2005. We expect the percentage of our attendance derived from non-digital screens to decline over time as these theatres are closed, renovated or converted to digital, providing us with additional national on-screen inventory and operating efficiencies.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29, 2006, the first full quarterly period for which Cinemark, excluding Century, was included in our results, and the six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29, 2006, we generated pro forma revenue, operating income and adjusted EBITDA of $73.0 million, $36.8 million and $39.0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$114.1 million, $46.2 million and $51.5 million, respectively. Because Cinemark had a pre-existing contract with another cinema advertising provider, NCM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began selling advertising for Cinemark’s screens on an exclusive basis beginning on January 1, 2006, subject to the run-out of certain pre-existing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for on-screen advertising through April 1, 2006. For additional financial information about our business, see “Management’s Discussion and Analysis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Financial Condition and Results of Operations,” “Unaudited Pro Forma Financial Information” and NCM LLC’s historical financial statements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included elsewhere in this prospectus. See the notes to “Selected Historical Financial and Operating Data” for a discussion of the calculation of EBITDA.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historical operating and pro forma results for these periods do not include quarterly payments that will be made by AMC to us pursuant to the Loews Screen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Integration Agreement as such payments will be recorded directly to our equity account. See “Management’s Discussion and Analysis of Financial Condition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Operations—Our Company Following the Completion of this Offering—Loews Payments.”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On-Screen Advertising</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Our on-screen digital pre-feature show consists of a national and regional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and a local advertising presentation. The pre-feature show generally ranges in length from 20 to 30 minutes and ends at or about the advertised movie show time. National advertising is sold on a CPM basis, while local and regional advertising is sold on a per-screen, per-week basis. While we generally sell our network as one single national network, we also have the ability to sell portions of our network on a regional basis, offering various price points for national advertisers and expanding the range of potential buyers.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illustration below demonstrates a typical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layout: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114300</wp:posOffset>
            </wp:positionV>
            <wp:extent cx="5205730" cy="2769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0573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pre-feature show begins with a three to five-minute looping segment which consists of a digital carousel of static and moving slide images. This program can loop partially or repeatedly and provides a mechanism to contract or expand the pre-feature show depending on the time between feature film presentations. The digital slides shown at the beginning of the pre-feature show represent primarily local advertising, which generally is our lowest cost advertising inventory. We often bundle time in the digital slide presentation with other local on-screen or lobby advertising inventory.</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Following the conclusion of the digital carousel, the branded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commences with a digital full-motion presentation.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replaced the entertainment pre-shows of AMC and Regal in order to provide a more entertaining pre-feature program for theatre patrons and a more effective advertising platform.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integrates advertising with entertainment content segments from our content partners.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is comprised of up to four segments, each approximately four to seven minutes in length. Segment four, the first section of</w:t>
      </w:r>
      <w:r>
        <w:rPr>
          <w:rFonts w:ascii="Arial" w:cs="Arial" w:eastAsia="Arial" w:hAnsi="Arial"/>
          <w:sz w:val="18"/>
          <w:szCs w:val="18"/>
          <w:i w:val="1"/>
          <w:iCs w:val="1"/>
          <w:color w:val="auto"/>
        </w:rPr>
        <w:t xml:space="preserve"> FirstLook</w:t>
      </w:r>
      <w:r>
        <w:rPr>
          <w:rFonts w:ascii="Arial" w:cs="Arial" w:eastAsia="Arial" w:hAnsi="Arial"/>
          <w:sz w:val="18"/>
          <w:szCs w:val="18"/>
          <w:color w:val="auto"/>
        </w:rPr>
        <w:t>, begins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 minutes prior to the advertised show time and generally includes local and regional advertising. Segment four generally competes against the spot broadcast television market for advertising spending. Segment three typically begins approximately 15 minutes prior to the advertised show time. Segment three includes a two and one-half minute entertainment content segment from our content partners and advertising spots, usually from regional advertisers or national companies with limited advertising budgets.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Segment two and segment one run closest to the advertised show time and comprise our most valuable advertising inventory. Both segment two and segment one include a two and one-half minute entertainment content segment from our content partners and advertisements from national advertisers. Segment two and segment one begin approximately 11 minutes and six minutes, respectively, before the advertised show time.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entertainment content segments are provided to us under multi-year contractual arrangements with leading media companies that we refer to as content partners. Under the terms of these contracts, our content partners make available to us original content segments and make long term commitments to buy a portion of our advertising inventory. Our content partners currently include NBC Universal, or NBC; Sony Pictures Entertainment, or Sony; Turner Broadcasting System Inc., or TBS; Twentieth Century Fox, or Fox;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Universal City Studios, or Universal. The original content produced by these partners typically features behind-the-scenes interviews with producers, directors and actors or “making-of” segments relating to feature films or upcoming broadcast television shows.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We offer multiple versions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each month, generally tailored to a specific film rating category.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goal in creating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for a fee to enhance the quality of the content we display.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up to two minutes for Founding Member advertisements to promote various activities associated with the operation of the theatres, including concessions, ticketing partners, gift card and loyalty programs, special events presented by the Founding Member and vendors of services provided to theatres, so long as such promotion is incidental to the vendor’s service. This time is provided by us to the Founding Members at no charge and includes 45 seconds within 15 minutes of show time, 15 seconds of which will be placed within 11 minutes of show time, and the remainder placed at our discretion. We may move the placement of the Founding Member advertisements up to one minute further from the advertised movie show time if NCM LLC sells additional advertising units to third parties that follow the Founding Member advertisements.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Under the ESAs, the last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will be sold to the Founding Members to satisfy their on-screen advertising commitments under their beverage concessionaire agreements. The arrangements with our Founding Members relating to on-screen advertising for their beverage concessionaires and the agreements with our content partners represented approximately 40.8% of our advertising revenue for the six months ended June 29, 2006, on a pro forma basis.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has been well received by patrons. In a study conducted for us by </w:t>
      </w:r>
      <w:r>
        <w:rPr>
          <w:rFonts w:ascii="Arial" w:cs="Arial" w:eastAsia="Arial" w:hAnsi="Arial"/>
          <w:sz w:val="16"/>
          <w:szCs w:val="16"/>
          <w:i w:val="1"/>
          <w:iCs w:val="1"/>
          <w:color w:val="auto"/>
        </w:rPr>
        <w:t>OTX Screenings</w:t>
      </w:r>
      <w:r>
        <w:rPr>
          <w:rFonts w:ascii="Arial" w:cs="Arial" w:eastAsia="Arial" w:hAnsi="Arial"/>
          <w:sz w:val="16"/>
          <w:szCs w:val="16"/>
          <w:color w:val="auto"/>
        </w:rPr>
        <w:t xml:space="preserve"> in June 2006, 70% of those surveyed found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to be “very” or “somewhat” entertaining and nearly half said that</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had a “very” or “somewhat” positive effect on their movie-going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experience. In a separate study conducted by </w:t>
      </w:r>
      <w:r>
        <w:rPr>
          <w:rFonts w:ascii="Arial" w:cs="Arial" w:eastAsia="Arial" w:hAnsi="Arial"/>
          <w:sz w:val="16"/>
          <w:szCs w:val="16"/>
          <w:i w:val="1"/>
          <w:iCs w:val="1"/>
          <w:color w:val="auto"/>
        </w:rPr>
        <w:t>King Brown</w:t>
      </w:r>
      <w:r>
        <w:rPr>
          <w:rFonts w:ascii="Arial" w:cs="Arial" w:eastAsia="Arial" w:hAnsi="Arial"/>
          <w:sz w:val="16"/>
          <w:szCs w:val="16"/>
          <w:color w:val="auto"/>
        </w:rPr>
        <w:t xml:space="preserve"> in 2004, 74% of respondents indicated they preferred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a traditional advertising slide show.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Lobby Entertainment Network. </w:t>
      </w:r>
      <w:r>
        <w:rPr>
          <w:rFonts w:ascii="Arial" w:cs="Arial" w:eastAsia="Arial" w:hAnsi="Arial"/>
          <w:sz w:val="16"/>
          <w:szCs w:val="16"/>
          <w:color w:val="auto"/>
        </w:rPr>
        <w:t>Our lobby entertainment network, or LEN, is a network of television and high-definition plasma screens located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lobbies of most of our digitally equipped theatres. As of June 29, 2006, we had 1,733 screens in 670 theatres connected to our DCN. The LEN screens are strategically placed in high-traffic locations such as concession stands and auditorium waiting areas. Programming on our LEN consists of an approximately 30-minute loop of five branded entertainment content segments created specifically for the lobby with advertisements running between each segment. Our LEN programming is distributed by our network operating center, or NOC, and has the same programming flexibility as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on-screen programming. The LEN is currently displaying the same program simultaneously on all screens within a given theatre, which we believe provides the maximum impact for our advertisers. A study of our LEN conducted by </w:t>
      </w:r>
      <w:r>
        <w:rPr>
          <w:rFonts w:ascii="Arial" w:cs="Arial" w:eastAsia="Arial" w:hAnsi="Arial"/>
          <w:sz w:val="16"/>
          <w:szCs w:val="16"/>
          <w:i w:val="1"/>
          <w:iCs w:val="1"/>
          <w:color w:val="auto"/>
        </w:rPr>
        <w:t>RH Bruskin Marketing, Inc</w:t>
      </w:r>
      <w:r>
        <w:rPr>
          <w:rFonts w:ascii="Arial" w:cs="Arial" w:eastAsia="Arial" w:hAnsi="Arial"/>
          <w:sz w:val="16"/>
          <w:szCs w:val="16"/>
          <w:color w:val="auto"/>
        </w:rPr>
        <w:t>. in June 2005 showed that the combination of screen placement, high-impact content and advertising produced recall rates that were three times those of prime time television advertising. We sell advertising on the LEN individually or bundled with on-screen or other lobby promotions. The LEN programming includes up to two minutes for Founding Member advertisements to promote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associated with the operation of the theatres, including concessions, ticketing partners, gift card and loyalty programs, special events presented by the Founding Member, vendors of services provided to theatres, so long as such promotion is incidental to the vendor’s service. Additionally, subject to certain limitations, the LEN programming includes up to two minutes, one minute of which we provide to the Founding Member at no cost and one minute of which the Founding Member may purchase, to promote certain non-exclusive cross-marketing relationships entered into by the Founding Members for the purpose of increasing attendance or revenue, other than from advertising, which we call Strategic Programs.</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the terms of the ESAs, the Founding Members also have the right to install additional screens in their theatre lobbies, which would not display our LEN programming, and would be used to promote their theatre concessions, ticketing partners, gift card and loyalty programs, special events presented by the Founding Member and vendors of services provided to theatres, so long as such promotion is incidental to the vendor’s service.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an on-screen or LEN advertising package. Lobby promotions typically include:</w:t>
      </w:r>
    </w:p>
    <w:p>
      <w:pPr>
        <w:spacing w:after="0" w:line="51" w:lineRule="exact"/>
        <w:rPr>
          <w:sz w:val="20"/>
          <w:szCs w:val="20"/>
          <w:color w:val="auto"/>
        </w:rPr>
      </w:pPr>
    </w:p>
    <w:p>
      <w:pPr>
        <w:ind w:left="780" w:hanging="24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the terms of the ESAs, the Founding Members may conduct a limited number of lobby promotions at no charge in connection with their Strategic Programs.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CineMeetings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CineMeetings business facilitates live and pre-recorded networked and single-site business meetings and corporate events in movie theatres. These events are typically scheduled from Monday through Thursday during off-peak hours while theatre attendance for movies is traditionally low. Clients can communicate on a live basis to audiences located in auditoriums connected to our cinema broadcast network, or CBN. As of June 29, 2006, there were 119 locations set up to accommodate live broadcasts. At our DCN locations, in-person presentations or pre-recorded content can be presented. Event content broadcast over our CBN or DCN is encrypted to protect against piracy.</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offer meetings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 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We promote our CineMeetings business throughout the theatre. Recent CineMeetings events have included corporate meetings, training seminars, product launches, religious services and sales and marketing events.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Digital Programming Events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digital programming events business focuses on the licensing and distribution of entertainment programming products and the sale of sponsorships associated with live or pre-recorded programming on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event-by-event basis or for a series of events. Our DCN provides a highly attractive high-definition distribution network for this type of programming and promotional opportunities for national brands. Our digital programming events include live and pre-recorded concerts and music events, DVD product releases, marketing events, theatrical premieres, Broadway plays, live sporting events and other special events. Recent events have included concerts by musical performers such as Bruce Springsteen, the Rolling Stones, Phish and Prince, and broadcasts of sporting events such as the Tour de France and marketing events for the DVD releases of </w:t>
      </w:r>
      <w:r>
        <w:rPr>
          <w:rFonts w:ascii="Arial" w:cs="Arial" w:eastAsia="Arial" w:hAnsi="Arial"/>
          <w:sz w:val="16"/>
          <w:szCs w:val="16"/>
          <w:i w:val="1"/>
          <w:iCs w:val="1"/>
          <w:color w:val="auto"/>
        </w:rPr>
        <w:t>Wedding Crashers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Boondock Saints</w:t>
      </w:r>
      <w:r>
        <w:rPr>
          <w:rFonts w:ascii="Arial" w:cs="Arial" w:eastAsia="Arial" w:hAnsi="Arial"/>
          <w:sz w:val="16"/>
          <w:szCs w:val="16"/>
          <w:color w:val="auto"/>
        </w:rPr>
        <w:t>. Event content is broadcast over either our CBN or our DCN and encrypted for piracy protection. As of June 29, 2006, our network has the capability to deliver:</w:t>
      </w:r>
    </w:p>
    <w:p>
      <w:pPr>
        <w:spacing w:after="0" w:line="39" w:lineRule="exact"/>
        <w:rPr>
          <w:sz w:val="20"/>
          <w:szCs w:val="20"/>
          <w:color w:val="auto"/>
        </w:rPr>
      </w:pPr>
    </w:p>
    <w:p>
      <w:pPr>
        <w:ind w:left="780" w:hanging="24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live high-definition content to 119 theatres with up to four screens per theatre;</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live standard definition content to 173 theatres with up to four screens per theatre;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of the 11,076 digital screens in our network.</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advertise digital programming events on our network either through a digital trailer shown after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or during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using unsold advertising inventory. Clients who buy event sponsorships associated with digital programming events may use any one of our other advertising services in order to market their brands or products.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2005, our digital programming events business held 15 events. In 2006, we plan to hold approximately 20 events. In May 2006, we signed music content and cross-marketing agreements with Live Nation and Network LIVE, two of the largest concert promoters in the world, based on the number of tickets sold worldwide in 2005. We believe these new partnerships will provide us with a consistent supply of music programming and an additional marketing channel.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Targeted National Advertising Network</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national advertising network delivers a young and affluent audience that we believe allows for effective targeting of marketing messages and measurable results, yielding a superior return on investment for advertisers as compared to many traditional media platforms. As a result, we are able to compete effectively for marketing spending by advertisers and have developed relationships with a diversified group of local, regional and national advertising brands and agencies throughout the United States.</w:t>
      </w:r>
    </w:p>
    <w:p>
      <w:pPr>
        <w:spacing w:after="0" w:line="56" w:lineRule="exact"/>
        <w:rPr>
          <w:sz w:val="20"/>
          <w:szCs w:val="20"/>
          <w:color w:val="auto"/>
        </w:rPr>
      </w:pPr>
    </w:p>
    <w:p>
      <w:pPr>
        <w:ind w:left="780" w:hanging="249"/>
        <w:spacing w:after="0" w:line="297" w:lineRule="auto"/>
        <w:tabs>
          <w:tab w:leader="none" w:pos="78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 xml:space="preserve">Extensive National Market Coverage. </w:t>
      </w:r>
      <w:r>
        <w:rPr>
          <w:rFonts w:ascii="Arial" w:cs="Arial" w:eastAsia="Arial" w:hAnsi="Arial"/>
          <w:sz w:val="15"/>
          <w:szCs w:val="15"/>
          <w:color w:val="auto"/>
        </w:rPr>
        <w:t>Our contractual agreements with our Founding Members provide exclusive access, subject to limited</w:t>
      </w:r>
      <w:r>
        <w:rPr>
          <w:rFonts w:ascii="Arial" w:cs="Arial" w:eastAsia="Arial" w:hAnsi="Arial"/>
          <w:sz w:val="15"/>
          <w:szCs w:val="15"/>
          <w:b w:val="1"/>
          <w:bCs w:val="1"/>
          <w:color w:val="auto"/>
        </w:rPr>
        <w:t xml:space="preserve"> </w:t>
      </w:r>
      <w:r>
        <w:rPr>
          <w:rFonts w:ascii="Arial" w:cs="Arial" w:eastAsia="Arial" w:hAnsi="Arial"/>
          <w:sz w:val="15"/>
          <w:szCs w:val="15"/>
          <w:color w:val="auto"/>
        </w:rPr>
        <w:t>exceptions, to the largest network of digitally equipped theatres in the United States and allow us to sell advertising nationwide. We also have contractual agreements with our Network Affiliates that give us the exclusive right, subject to limited exceptions, to sell advertising on their theatre screens. As of June 29, 2006, our network included 11,076 digital screens and 13,095 screens in total, located in 1,046 theatres in 45 states and the District of Columbia. The attendance of the 949 theatres operated by our Founding Members totaled approximately 500 million during 2005, which represented approximately 36% of the total U.S. theatre attendance for that year, as reported by the MPAA. Our network also provides us with access to some of the most modern and highly attended theatres in the industry, as measured by screens per location and attendance per screen operated by our Founding Members. The average screens per theatre in our network was 12.5, twice the U.S. theatre industry average, the aggregate attendance per screen of theatres operated by our Founding Members as of June 29, 2006 was 41,530, 12% higher than the U.S. theatre industry of 37,096, as reported by the National Association of Theatre Owners, or NATO, as of December 31, 2005. Also, our theatre network has access to key media markets, including all of the top 25, as well as, 49 of the top 50, U.S. DMAs</w:t>
      </w:r>
      <w:r>
        <w:rPr>
          <w:rFonts w:ascii="Arial" w:cs="Arial" w:eastAsia="Arial" w:hAnsi="Arial"/>
          <w:sz w:val="19"/>
          <w:szCs w:val="19"/>
          <w:color w:val="auto"/>
          <w:vertAlign w:val="superscript"/>
        </w:rPr>
        <w:t>®</w:t>
      </w:r>
      <w:r>
        <w:rPr>
          <w:rFonts w:ascii="Arial" w:cs="Arial" w:eastAsia="Arial" w:hAnsi="Arial"/>
          <w:sz w:val="15"/>
          <w:szCs w:val="15"/>
          <w:color w:val="auto"/>
        </w:rPr>
        <w:t>, and 150 DMAs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in total. Approximately 75% of our screens are located within the top 50 U.S. DMAs</w:t>
      </w:r>
      <w:r>
        <w:rPr>
          <w:rFonts w:ascii="Arial" w:cs="Arial" w:eastAsia="Arial" w:hAnsi="Arial"/>
          <w:sz w:val="19"/>
          <w:szCs w:val="19"/>
          <w:color w:val="auto"/>
          <w:vertAlign w:val="superscript"/>
        </w:rPr>
        <w:t>®</w:t>
      </w:r>
      <w:r>
        <w:rPr>
          <w:rFonts w:ascii="Arial" w:cs="Arial" w:eastAsia="Arial" w:hAnsi="Arial"/>
          <w:sz w:val="15"/>
          <w:szCs w:val="15"/>
          <w:color w:val="auto"/>
        </w:rPr>
        <w:t>. The addition of the Loews and Century theatres will expand our national market coverage and presence in key U.S. DMAs</w:t>
      </w:r>
      <w:r>
        <w:rPr>
          <w:rFonts w:ascii="Arial" w:cs="Arial" w:eastAsia="Arial" w:hAnsi="Arial"/>
          <w:sz w:val="19"/>
          <w:szCs w:val="19"/>
          <w:color w:val="auto"/>
          <w:vertAlign w:val="superscript"/>
        </w:rPr>
        <w:t>®</w:t>
      </w:r>
      <w:r>
        <w:rPr>
          <w:rFonts w:ascii="Arial" w:cs="Arial" w:eastAsia="Arial" w:hAnsi="Arial"/>
          <w:sz w:val="15"/>
          <w:szCs w:val="15"/>
          <w:color w:val="auto"/>
        </w:rPr>
        <w: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right="360" w:hanging="249"/>
        <w:spacing w:after="0" w:line="301"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Targeted, Flexible Advertising Medium. </w:t>
      </w:r>
      <w:r>
        <w:rPr>
          <w:rFonts w:ascii="Arial" w:cs="Arial" w:eastAsia="Arial" w:hAnsi="Arial"/>
          <w:sz w:val="16"/>
          <w:szCs w:val="16"/>
          <w:color w:val="auto"/>
        </w:rPr>
        <w:t>Our digital network technology gives us flexibility in distributing content to our entire audience, or to</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theatres, geographic regions, or demographic groups based on film or film rating category. As a result, our clients can deliver a targeted advertising message utilizing sight, sound and motion across our expansive network. Our technology also shortens distribution lead times, reduces operating costs and enables us to respond quickly to client requests to change advertising content.</w:t>
      </w:r>
    </w:p>
    <w:p>
      <w:pPr>
        <w:spacing w:after="0" w:line="22" w:lineRule="exact"/>
        <w:rPr>
          <w:rFonts w:ascii="Arial" w:cs="Arial" w:eastAsia="Arial" w:hAnsi="Arial"/>
          <w:sz w:val="16"/>
          <w:szCs w:val="16"/>
          <w:color w:val="auto"/>
        </w:rPr>
      </w:pPr>
    </w:p>
    <w:p>
      <w:pPr>
        <w:ind w:left="780" w:hanging="249"/>
        <w:spacing w:after="0" w:line="301"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Access to a Highly Attractive Demographic Segment. </w:t>
      </w:r>
      <w:r>
        <w:rPr>
          <w:rFonts w:ascii="Arial" w:cs="Arial" w:eastAsia="Arial" w:hAnsi="Arial"/>
          <w:sz w:val="16"/>
          <w:szCs w:val="16"/>
          <w:color w:val="auto"/>
        </w:rPr>
        <w:t>We offer advertisers the ability to reach young and affluent consumers. According to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Nielsen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Media Research </w:t>
      </w:r>
      <w:r>
        <w:rPr>
          <w:rFonts w:ascii="Arial" w:cs="Arial" w:eastAsia="Arial" w:hAnsi="Arial"/>
          <w:sz w:val="16"/>
          <w:szCs w:val="16"/>
          <w:color w:val="auto"/>
        </w:rPr>
        <w:t>study conducted in the first quarter of 2006, typical movie-goers are young, with 45% between the ages of 12-34; affluent,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mean household income of over $67,000; and well-educated, 39% having a college or post-graduate degree. We believe that this demographic is highly sought after by advertisers and is difficult to reach effectively using traditional media platforms.</w:t>
      </w:r>
    </w:p>
    <w:p>
      <w:pPr>
        <w:spacing w:after="0" w:line="22" w:lineRule="exact"/>
        <w:rPr>
          <w:rFonts w:ascii="Arial" w:cs="Arial" w:eastAsia="Arial" w:hAnsi="Arial"/>
          <w:sz w:val="16"/>
          <w:szCs w:val="16"/>
          <w:color w:val="auto"/>
        </w:rPr>
      </w:pPr>
    </w:p>
    <w:p>
      <w:pPr>
        <w:ind w:left="780" w:right="180" w:hanging="249"/>
        <w:spacing w:after="0" w:line="25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visual quality and impact of the “big screen” and digital surround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sound presented in a distraction-free environment. According to a study by </w:t>
      </w:r>
      <w:r>
        <w:rPr>
          <w:rFonts w:ascii="Arial" w:cs="Arial" w:eastAsia="Arial" w:hAnsi="Arial"/>
          <w:sz w:val="18"/>
          <w:szCs w:val="18"/>
          <w:i w:val="1"/>
          <w:iCs w:val="1"/>
          <w:color w:val="auto"/>
        </w:rPr>
        <w:t>IAG Research</w:t>
      </w:r>
      <w:r>
        <w:rPr>
          <w:rFonts w:ascii="Arial" w:cs="Arial" w:eastAsia="Arial" w:hAnsi="Arial"/>
          <w:sz w:val="18"/>
          <w:szCs w:val="18"/>
          <w:color w:val="auto"/>
        </w:rPr>
        <w:t xml:space="preserve"> in 2005, theatre advertising is two to five times more effective than advertising shown on television in terms of unaided recall rates. Cinema advertising is one of the few media platforms that the viewer does not have the ability to skip or turn off.</w:t>
      </w:r>
    </w:p>
    <w:p>
      <w:pPr>
        <w:spacing w:after="0" w:line="55" w:lineRule="exact"/>
        <w:rPr>
          <w:rFonts w:ascii="Arial" w:cs="Arial" w:eastAsia="Arial" w:hAnsi="Arial"/>
          <w:sz w:val="18"/>
          <w:szCs w:val="18"/>
          <w:color w:val="auto"/>
        </w:rPr>
      </w:pPr>
    </w:p>
    <w:p>
      <w:pPr>
        <w:ind w:left="780" w:right="80" w:hanging="249"/>
        <w:spacing w:after="0" w:line="293"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film-by-film, rating-by-rating and theatre-by-theatre attendance information weekly from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Founding Members, which allows us to report to clients the audience size that viewed an advertisement. We believe this unique ability to provide advertisers with actual audience counts gives us a distinct competitive advantage over traditional media platforms.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and </w:t>
      </w:r>
      <w:r>
        <w:rPr>
          <w:rFonts w:ascii="Arial" w:cs="Arial" w:eastAsia="Arial" w:hAnsi="Arial"/>
          <w:sz w:val="16"/>
          <w:szCs w:val="16"/>
          <w:i w:val="1"/>
          <w:iCs w:val="1"/>
          <w:color w:val="auto"/>
        </w:rPr>
        <w:t>Arbitron</w:t>
      </w:r>
      <w:r>
        <w:rPr>
          <w:rFonts w:ascii="Arial" w:cs="Arial" w:eastAsia="Arial" w:hAnsi="Arial"/>
          <w:sz w:val="16"/>
          <w:szCs w:val="16"/>
          <w:color w:val="auto"/>
        </w:rPr>
        <w:t>. We also work closely with third-party research companies to measure the recall, likeability, and brand message of our cinema advertisements.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90" w:lineRule="exact"/>
        <w:rPr>
          <w:sz w:val="20"/>
          <w:szCs w:val="20"/>
          <w:color w:val="auto"/>
        </w:rPr>
      </w:pPr>
    </w:p>
    <w:p>
      <w:pPr>
        <w:jc w:val="both"/>
        <w:ind w:right="100" w:firstLine="456"/>
        <w:spacing w:after="0" w:line="314" w:lineRule="auto"/>
        <w:rPr>
          <w:sz w:val="20"/>
          <w:szCs w:val="20"/>
          <w:color w:val="auto"/>
        </w:rPr>
      </w:pPr>
      <w:r>
        <w:rPr>
          <w:rFonts w:ascii="Arial" w:cs="Arial" w:eastAsia="Arial" w:hAnsi="Arial"/>
          <w:sz w:val="15"/>
          <w:szCs w:val="15"/>
          <w:color w:val="auto"/>
        </w:rPr>
        <w:t xml:space="preserve">We believe that our digital entertainment and advertising pre-feature program,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provides a high-quality entertainment experience for patrons and an effective marketing platform for advertisers. We have branded our pre-feature show,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to reinforce our goal of creating the “first release window” for advertising into the marketplace, similar to the way that films are released first in cinemas. This strategy will provide more original content for the audience and more impact for the advertiser. We have also designed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program to ensure that advertisements of similar production quality are shown together and that all advertisements end by the advertised show time. According to customer research conducted by us and independent research companies, the production of higher quality branded pre-feature program improves the entertainment experience for patrons and the effectiveness of the advertising message.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addition to providing on-screen advertising opportunities,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July 2005, movie patrons across our network theatres spend, on average, nine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 is not available with broadcast television or traditional display advertising. Our marketing team assists advertisers in creating entertaining, fully integrated cinema marketing campaigns with maximum impact.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State-of-the-Art Content Distribution Technology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Our proprietary software provides many distribution, scheduling, reporting and auditing features. The flexibility of our digital content system, or DCS, allows us to create different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our LEN programming and to distribute these programs by theatre, region, film or film-rating category. Our technology also provides the ability to electronically change advertisements from our NOC as needed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NOC, DCS and other network software provide us with the capability to monitor over 35,000 network devices and more than 142,000 alarm points within our theatre network on a real-time 24/7 basis, providing the high network reliability and timely reporting required by our advertising clients. Our use of satellite network technology, combined with the design and functionality of our DCS software and NOC infrastructure make our network efficient and scalable, providing the capacity to expand as needed. While our network capabilities are now primarily used within the theatre environment, we believe they could be easily adapted to other out-of-home environments.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Attractive Financial Characteristics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significant portion of our advertising inventory is covered by multi-year contracts with our content partners and arrangements to satisfy our Founding Members’ on-screen marketing obligations to their beverage concessionaires. These contracts accounted for 41.4% of our total pro forma revenue in the three months ended June 29, 2006, and 40.8% of our total pro forma revenue in the six months ended June 29, 2006, each on a pro forma basis. Our operating margins, before circuit share expense to our Founding Members, have been consistently strong since our inception, at 67.4% for the three months ended June 29, 2006, and 61.1% in the six months ended June 29, 2006, on a pro forma basis. Our Founding Members have also invested substantial capital to deploy, expand and upgrade the network within their theatres. Due to the network investments made by our Founding Members in new and acquired theatres and the scalable nature of our business model, we do not expect to make major capital investments to maintain and grow our operations as our network of theatres expands. The combination of our strong operating margins and our limited capital expenditures has allowed us to generate significant free cash flow before distributions to our Founding Members. In the six months ended June 29, 2006, our pro forma cash flow from operations excluding circuit share expense was $37.5 million and our capital expenditures were $2.4 million. We believe our expected level of free cash flow generation will provide us with the strategic and financial flexibility to pursue growth opportunities, support our debt payments and make dividend payments to our stockholders.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management team has significant experience in advertising sales and marketing, theatre operations, digital network design and operations, and finance. The majority of our senior management team was assembled during the formation of RCM, our predecessor company, in early 2002 and thus has worked together for several years building our business. Our senior management has many years of experience in their respective areas of expertise. We believe that our senior management team will be able to effectively grow our business through continued operating improvement and expansion of our products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strategic initiatives are to:</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Inventory Utilization</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intend to increase our market share of U.S. advertising spending by expanding commercial relationships with our existing advertising clients and by growing our advertising client base. We also intend to continue to improve our level of client service, including the development of new research and return on investment, or ROI, measurement tools. While an increasing number of companies now make cinema advertising part of their media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buying plan, there are still many large advertisers and product categories, such as packaged goods companies, quick—service restaurants, big-box retailers and financial services firms, that do not yet include meaningful cinema advertising expenditures in their marketing budgets. We believe that over time, as awareness of and third-party data on the effectiveness of cinema advertising grows, we will be able to increase our revenues from these advertising categories.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Since our formation, we increased the amount of regional advertising in our pre-feature show from those of our predecessor company and have begun to more aggressively market and grow our local and regional advertising business. For example, we recently created a new senior sales position to focus exclusively on larger regional clients such as car dealer associations, and quick-service restaurant advertising co-ops. We have also started to experiment with direct marketing campaigns to businesses within a specified radius of our network theatres, with very positive results. For example, we created a marketing plan for Six Flags, Inc. by selling advertising on screens within a 150-mile radius of all of its theme parks. This campaign was combined with theatre lobby promotions and advertising. Due to the relatively low percentage of local and regional advertising inventory sold today, we believe that a growth opportunity exists for further development of this business segment.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Our National CPM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2005, our national on-screen advertising CPM was approximately 1.2 times the average U.S. primetime network television CPM as reported by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Dynamics, Inc</w:t>
      </w:r>
      <w:r>
        <w:rPr>
          <w:rFonts w:ascii="Arial" w:cs="Arial" w:eastAsia="Arial" w:hAnsi="Arial"/>
          <w:sz w:val="16"/>
          <w:szCs w:val="16"/>
          <w:color w:val="auto"/>
        </w:rPr>
        <w:t>. We believe that this premium does not yet fully reflect the highly targeted nature of our impressions, higher recall rates,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informative audience data to our clients and, most importantly, the inability to turn off or skip our advertising messages. According to a </w:t>
      </w:r>
      <w:r>
        <w:rPr>
          <w:rFonts w:ascii="Arial" w:cs="Arial" w:eastAsia="Arial" w:hAnsi="Arial"/>
          <w:sz w:val="16"/>
          <w:szCs w:val="16"/>
          <w:i w:val="1"/>
          <w:iCs w:val="1"/>
          <w:color w:val="auto"/>
        </w:rPr>
        <w:t>World Advertising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Center </w:t>
      </w:r>
      <w:r>
        <w:rPr>
          <w:rFonts w:ascii="Arial" w:cs="Arial" w:eastAsia="Arial" w:hAnsi="Arial"/>
          <w:sz w:val="16"/>
          <w:szCs w:val="16"/>
          <w:color w:val="auto"/>
        </w:rPr>
        <w:t>study, cinema advertising CPMs as a multiple of primetime network television CPMs in more mature cinema advertising markets such as Europe</w:t>
      </w:r>
      <w:r>
        <w:rPr>
          <w:rFonts w:ascii="Arial" w:cs="Arial" w:eastAsia="Arial" w:hAnsi="Arial"/>
          <w:sz w:val="16"/>
          <w:szCs w:val="16"/>
          <w:i w:val="1"/>
          <w:iCs w:val="1"/>
          <w:color w:val="auto"/>
        </w:rPr>
        <w:t xml:space="preserve"> </w:t>
      </w:r>
      <w:r>
        <w:rPr>
          <w:rFonts w:ascii="Arial" w:cs="Arial" w:eastAsia="Arial" w:hAnsi="Arial"/>
          <w:sz w:val="16"/>
          <w:szCs w:val="16"/>
          <w:color w:val="auto"/>
        </w:rPr>
        <w:t>and Australia are as much as 7 times higher than they are in the United States. Therefore, we believe that there is an opportunity for continued CPM growth, especially as our inventory utilization increases, providing a more favorable supply-demand dynamic.</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Geographic Coverage and Reach</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intend to expand the reach and geographic coverage of our national digital network by connecting additional theatres to our network that our Founding Members buy or build and through additional network affiliate agreements with other theatre circuits. Our strategy for attracting new network affiliates is to focus primarily on larger regional circuits in the larger metropolitan areas or in geographic areas where we do not currently have significant market coverage.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Provide Integrated Marketing Solutions to our Clients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strive to differentiate ourselves amongst other media platforms. Advertising clients are increasingly seeking new ways to create direct relationships and touch points with customers, which our lobby advertising facilitates. We allow clients to benefit from the brand exposure provided by the high impact of the “big screen,” while at the same time allowing theatre patrons an opportunity to actually experience the advertised product through sampling or displays in the lobbies. We believe that our ability to provide both sight, sound and motion brand advertising and direct consumer touch points on an integrated basis in the same location is something that no other advertising medium can provide as effectively. Also, since many of these lobby products have not been available across our entire network until recently, we believe that there is an opportunity to further increase the sale of these products in the future.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Market Awareness Of Our CineMeetings Business to Expand Our Client Base and Increase Revenue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CineMeetings business provides a new type of venue for corporate meetings that offers advantages over hotels and other traditional meeting venues. Unlike traditional venues, we provide a single point of contact for national event booking and coordination and utilize digital distribution and projection technology. In addition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have the ability to bundle meetings with the screening of a film, sometimes before the film opens to the general public, in a product known as “Meeting and a Movie.</w:t>
      </w:r>
      <w:r>
        <w:rPr>
          <w:rFonts w:ascii="Arial" w:cs="Arial" w:eastAsia="Arial" w:hAnsi="Arial"/>
          <w:sz w:val="16"/>
          <w:szCs w:val="16"/>
          <w:i w:val="1"/>
          <w:iCs w:val="1"/>
          <w:color w:val="auto"/>
        </w:rPr>
        <w:t>”</w:t>
      </w:r>
      <w:r>
        <w:rPr>
          <w:rFonts w:ascii="Arial" w:cs="Arial" w:eastAsia="Arial" w:hAnsi="Arial"/>
          <w:sz w:val="16"/>
          <w:szCs w:val="16"/>
          <w:color w:val="auto"/>
        </w:rPr>
        <w:t xml:space="preserve"> We believe we can attract more clients to our network theatres and increase the revenues of our CineMeetings business by raising market awareness of the unique benefits of hosting meetings at our locations and increasing the number of theatres equipped to host live broadcasts. We have employed several local and national marketing strategies to communicate the value proposition associated with our CineMeetings business, including advertising in theatres within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program, improving the focus of our Internet advertising, implementing a direct mailing effort to Fortune 500 CEOs and holding demand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seminars for meeting planners in our network theatres.</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These and other marketing strategies, including more aggressive efforts by our CineMeetings sales force and cross-selling by our advertising sales force, have lead to an expansion of our client base and a 8.0% and 26.7% increase in CineMeetings event sites and revenue, respectively, for the three months ended June 29, 2006 versus the three months ended June 29, 2005. In addition, during August 2006, we contracted with a nationally recognized company to host the largest event in the history of the CineMeetings business for an estimated 1,000 meeting sites during the fourth quarter.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Live and Pre-Recorded Digital Programming Events Businesses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will continue to expand and improve the technical capabilities of our DCN and CBN. Today, virtually all of our digitally equipped screens have the capability to show pre-recorded content. We are upgrading our DCS software so that it can handle distribution of large digital files associated with our digital programming events business. While the opportunity to participate in distribution of content in a digital cinema environment is in its infancy today, we believe that our existing network and DCN technology position us well to be able to expand these uses of our network theatres in the future. We expect the improvements to and expansion of our network will broaden our capabilities to distribute various kinds of live and pre-recorded meeting services and entertainment programming to a larger audience. By expanding our live distribution capabilities, we believe we will be able to attract more non-film live and pre-recorded digital programming events, and, as a result, increase our event ticket and sponsorship revenue. We will also look to form strategic alliances to gain access to high quality content. For example, in May 2006, we signed content supply and cross-marketing agreements with Live Nation and Network LIVE. In fall 2006, Network LIVE dissolved and NCM LLC began working with Control Room, which has taken over production of the content formerly produced by Network LIVE. NCM LLC intends to negotiate a term sheet with Control Room, and already has distributed content produced by Control Room across our network.</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Advertising Sales and Inventory Management Systems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are currently upgrading and improving our advertising sales and inventory management systems. We believe that these upgrades and improvements will enable us to respond more promptly to client requests for proposals, and will provide real-time access to pricing and availability information that allows us to manage our inventory more efficiently, improve our management reporting and data analysis and increase the number of our Network Affiliates at a quicker pace.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 New Marketing and Distribution Platforms that Leverage Our Existing Assets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exploring several initiatives that are meant to leverage our existing technology, distribution platform and sales and marketing infrastructure, including the following:</w:t>
      </w:r>
    </w:p>
    <w:p>
      <w:pPr>
        <w:spacing w:after="0" w:line="51"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i w:val="1"/>
          <w:iCs w:val="1"/>
          <w:color w:val="auto"/>
        </w:rPr>
        <w:t>Entertainment Magazine</w:t>
      </w:r>
      <w:r>
        <w:rPr>
          <w:rFonts w:ascii="Arial" w:cs="Arial" w:eastAsia="Arial" w:hAnsi="Arial"/>
          <w:sz w:val="16"/>
          <w:szCs w:val="16"/>
          <w:color w:val="auto"/>
        </w:rPr>
        <w:t>—We are currently negotiating a joint venture with a well-known entertainment magazine to create a similar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magazine that will be distributed in our Founding Members’ theatres in the United States. This magazine is already a successful publication in the film exhibition market outside of the United States. The magazine will include advertising sold by the joint venture’s sales force and by our sales force. We currently intend to launch the magazine late in 2007. In exchange for making the theatres in our network available for distribution of the magazine, we will receive an ownership interest in the venture, which we expect to be funded by private equity or a strategic partner.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firstLine="438"/>
        <w:spacing w:after="0" w:line="323" w:lineRule="auto"/>
        <w:rPr>
          <w:sz w:val="20"/>
          <w:szCs w:val="20"/>
          <w:color w:val="auto"/>
        </w:rPr>
      </w:pPr>
      <w:r>
        <w:rPr>
          <w:rFonts w:ascii="Arial" w:cs="Arial" w:eastAsia="Arial" w:hAnsi="Arial"/>
          <w:sz w:val="15"/>
          <w:szCs w:val="15"/>
          <w:i w:val="1"/>
          <w:iCs w:val="1"/>
          <w:color w:val="auto"/>
        </w:rPr>
        <w:t>New Out-of-Home Networks</w:t>
      </w:r>
      <w:r>
        <w:rPr>
          <w:rFonts w:ascii="Arial" w:cs="Arial" w:eastAsia="Arial" w:hAnsi="Arial"/>
          <w:sz w:val="15"/>
          <w:szCs w:val="15"/>
          <w:color w:val="auto"/>
        </w:rPr>
        <w:t>—Retail businesses including department stores, convenience stores and health clubs have begun to deploy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networks consisting of in-store televisions and plasma screens. We believe that targeted advertising will continue to grow in importance as a percentage of advertising spending and that networks in other retail environments will continue to develop. Importantly, we believe that our distribution technology, sales force, other existing operating infrastructure and client relationships could create growth opportunities for us in these other retail environments.</w:t>
      </w:r>
    </w:p>
    <w:p>
      <w:pPr>
        <w:spacing w:after="0" w:line="17"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i w:val="1"/>
          <w:iCs w:val="1"/>
          <w:color w:val="auto"/>
        </w:rPr>
        <w:t>Internet Sites</w:t>
      </w:r>
      <w:r>
        <w:rPr>
          <w:rFonts w:ascii="Arial" w:cs="Arial" w:eastAsia="Arial" w:hAnsi="Arial"/>
          <w:sz w:val="18"/>
          <w:szCs w:val="18"/>
          <w:color w:val="auto"/>
        </w:rPr>
        <w:t>—We have developed and maintain several web sites including our corporate site and sites for our various businesses. As we expand</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our consumer-oriented businesses such as our planned magazine business and digital programming events business, we expect that the traffic on those sites to increase to a level that could provide an opportunity to sell advertising and provide research data. For example, we plan to create a branded entertainment web site in connection with the entertainment magazine, on which we and the venture will sell advertising. By selling the advertising through our existing sales forces and bundling the Internet offerings with our existing in-theatre advertising products, we believe that a new high margin revenue stream could be developed.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 (ESAs)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NCM LLC has been the exclusive provider of in-theater advertising (subject to certain pre-existing contractual obligations for on-screen advertising and other limited exceptions for the benefit of the Founding Members) to the Founding Members pursuant to agreements entered into with AMC and Regal in March 2005 and with Cinemark in July 2005. These agreements contain NCM LLC’s obligation to provide on-screen and lobby advertising services, and the Founding Members’ obligation to exhibit advertising on the theatre and lobby screens and in theatre lobbies. They also set forth the terms on which the Founding Members participate in our CineMeetings and digital programming events businesses.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completion of this offering, we will enter into amended and restated Exhibitor Services Agreements with our Founding Members.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new agreements, which we refer to as ESAs, will include:</w:t>
      </w:r>
    </w:p>
    <w:p>
      <w:pPr>
        <w:spacing w:after="0" w:line="84" w:lineRule="exact"/>
        <w:rPr>
          <w:sz w:val="20"/>
          <w:szCs w:val="20"/>
          <w:color w:val="auto"/>
        </w:rPr>
      </w:pPr>
    </w:p>
    <w:p>
      <w:pPr>
        <w:ind w:left="780" w:right="640" w:hanging="249"/>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term of 30 years (the term relating to CineMeetings will be five years with provisions for automatic renewal if certain financial performance conditions are met);</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five-year right of first refusal, which begins one year prior to the end of the term of the ESA;</w:t>
      </w:r>
    </w:p>
    <w:p>
      <w:pPr>
        <w:spacing w:after="0" w:line="90" w:lineRule="exact"/>
        <w:rPr>
          <w:rFonts w:ascii="Arial" w:cs="Arial" w:eastAsia="Arial" w:hAnsi="Arial"/>
          <w:sz w:val="18"/>
          <w:szCs w:val="18"/>
          <w:color w:val="auto"/>
        </w:rPr>
      </w:pPr>
    </w:p>
    <w:p>
      <w:pPr>
        <w:ind w:left="780" w:right="180" w:hanging="249"/>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360" w:right="80" w:hanging="392"/>
        <w:spacing w:after="0" w:line="268" w:lineRule="auto"/>
        <w:rPr>
          <w:rFonts w:ascii="Arial" w:cs="Arial" w:eastAsia="Arial" w:hAnsi="Arial"/>
          <w:sz w:val="18"/>
          <w:szCs w:val="18"/>
          <w:color w:val="auto"/>
        </w:rPr>
      </w:pPr>
      <w:r>
        <w:rPr>
          <w:rFonts w:ascii="Arial" w:cs="Arial" w:eastAsia="Arial" w:hAnsi="Arial"/>
          <w:sz w:val="18"/>
          <w:szCs w:val="18"/>
          <w:color w:val="auto"/>
        </w:rPr>
        <w:t>— promote activities associated with theatre operations, on screen, on the LEN and in the lobby (including on additional video screens in theatre lobbies); and</w:t>
      </w:r>
    </w:p>
    <w:p>
      <w:pPr>
        <w:spacing w:after="0" w:line="50" w:lineRule="exact"/>
        <w:rPr>
          <w:rFonts w:ascii="Arial" w:cs="Arial" w:eastAsia="Arial" w:hAnsi="Arial"/>
          <w:sz w:val="18"/>
          <w:szCs w:val="18"/>
          <w:color w:val="auto"/>
        </w:rPr>
      </w:pPr>
    </w:p>
    <w:p>
      <w:pPr>
        <w:ind w:left="1360" w:right="300" w:hanging="392"/>
        <w:spacing w:after="0" w:line="332" w:lineRule="auto"/>
        <w:rPr>
          <w:rFonts w:ascii="Arial" w:cs="Arial" w:eastAsia="Arial" w:hAnsi="Arial"/>
          <w:sz w:val="18"/>
          <w:szCs w:val="18"/>
          <w:color w:val="auto"/>
        </w:rPr>
      </w:pPr>
      <w:r>
        <w:rPr>
          <w:rFonts w:ascii="Arial" w:cs="Arial" w:eastAsia="Arial" w:hAnsi="Arial"/>
          <w:sz w:val="16"/>
          <w:szCs w:val="16"/>
          <w:color w:val="auto"/>
        </w:rPr>
        <w:t>— promote, on the LEN and in theatre lobbies only, certain non-exclusive cross-marketing arrangements with third parties entered into by the Founding Members which is designed to promote the theatres and the movie-going experience to increase attendance and revenue;</w:t>
      </w:r>
    </w:p>
    <w:p>
      <w:pPr>
        <w:spacing w:after="0" w:line="4" w:lineRule="exact"/>
        <w:rPr>
          <w:rFonts w:ascii="Arial" w:cs="Arial" w:eastAsia="Arial" w:hAnsi="Arial"/>
          <w:sz w:val="18"/>
          <w:szCs w:val="18"/>
          <w:color w:val="auto"/>
        </w:rPr>
      </w:pPr>
    </w:p>
    <w:p>
      <w:pPr>
        <w:ind w:left="780" w:hanging="24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780" w:hanging="249"/>
        <w:spacing w:after="0" w:line="259"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requirement that the Founding Members purchase up to 90 seconds of on-screen advertising time during the pre-feature program at a negotiated rate (intended to approximate a market rate) in order to satisfy the Founding Members’ obligation to provide certain on-screen advertising to their beverage concessionaires pursuant to their beverage concessionaire agreements; and</w:t>
      </w:r>
    </w:p>
    <w:p>
      <w:pPr>
        <w:spacing w:after="0" w:line="59" w:lineRule="exact"/>
        <w:rPr>
          <w:rFonts w:ascii="Arial" w:cs="Arial" w:eastAsia="Arial" w:hAnsi="Arial"/>
          <w:sz w:val="18"/>
          <w:szCs w:val="18"/>
          <w:color w:val="auto"/>
        </w:rPr>
      </w:pPr>
    </w:p>
    <w:p>
      <w:pPr>
        <w:ind w:left="780" w:right="520" w:hanging="249"/>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primary responsibility of NCM LLC to obtain, repair and replace the equipment necessary to operate the DCN and primary responsibility of the Founding Members to fund the installation and replacement of the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“Certain Relationships and Related Party Transactions—Transactions with Founding Members—Exhibitor Services Agreements (ESAs)”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Network Affiliates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NCM LLC has assumed agreements with certain Network Affiliates from a subsidiary of AMC, pursuant to which NCM LLC provides them with advertising services. The relationship between NCM LLC and three of the Network Affiliates is governed by the terms of three substantially similar agreements. Each of these three agreements provides that NCM LLC will pay the Network Affiliate a portion of the revenue from the advertising sold by NCM LLC, or at least a minimum annual payment per screen per year in exchange for showing NCM LLC advertisements in the theatres. The agreements allow for NCM LLC to be the exclusive provider of on-screen advertising for the Network Affiliates, subject to certain limitations, and each agreement expires during 2007. Pursuant to the fourth agreement, NCM LLC agrees to pay this Network Affiliate a monthly share of the proceeds from advertising sold by NCM LLC, or at least a minimum annual payment. The Network Affiliate agrees not to distribute any on-screen or in-theatre advertising product that competes with NCM LLC. This agreement will renew for a three-year term on December 31, 2007, unless written notice is given at least 90 days before December 31, 2007. Pursuant to the fifth agreement, NCM LLC agrees to pay this Network Affiliate a monthly share of the proceeds from advertising sold by NCM LLC, or at least a minimum annual payment. NCM LLC is the exclusive provider of any on-screen 35 mm “rolling stock” advertising for this Network Affiliate. This agreement expires October 31, 2006. NCM LLC will have six-month run out rights which will allow NCM LLC to display advertising sold on or before October 31, 2006 on the Network Affiliate screens through April 30, 2007. NCM had assumed from a subsidiary of AMC agreements with two additional Network Affiliates. These agreements were terminated in 2005 and 2006.</w:t>
      </w:r>
    </w:p>
    <w:p>
      <w:pPr>
        <w:spacing w:after="0" w:line="12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NCM LLC has assumed from a subsidiary of Regal an agreement with an additional Network Affiliate that had the DCN installed. Pursuant to this agreement, NCM LLC agrees to pay the Network Affiliate a percentage of the revenues generated by the advertising offset by a minimum annual payment paid to the Network Affiliate annually. NCM LLC is the exclusive representative with respect to procurement of advertising for the pre-feature program and video display program in the Network Affiliate’s theatres. This agreement expires on September 16, 2009, or upon giving notice in specified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Cinema Services Agreement</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the completion of this offering, we anticipate that we will enter into the Digital Cinema Services Agreement with a newly-formed entity to be formed and owned by our Founding Members, to govern our activities related to design, planning and management related to development and procurement of digital cinema systems for our Founding Members. This effort will include system design, equipment procurement and the development of financing agreements with the studios and third-party financing sources. In connection with our entry into the Digital Cinema Services Agreement, we anticipate that we will assign to the newly formed entity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 We anticipate that the newly formed entity will manage the implementation of the business plan, including the establishment of an unrelated entity to purchase digital cinema equipment and enter into the associated financings. Neither NCM Inc. nor any of our subsidiaries will have an ownership interest in the unrelated entity. The financing arrangements are intended to be non-recourse to us. These future developments are subject to the plans of our Founding Members.</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involvement in this venture would provide us with several benefits, including additional revenue from the Digital Cinema Services Agreement. If our Founding Members choose to deploy the plans that we develop, we will be better positioned to integrate the operational and technological needs of our advertising and digital programming events businesses into the digital cinema systems that may be deployed into theatres.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In-Theatre Advertising</w:t>
      </w:r>
      <w:r>
        <w:rPr>
          <w:rFonts w:ascii="Arial" w:cs="Arial" w:eastAsia="Arial" w:hAnsi="Arial"/>
          <w:sz w:val="18"/>
          <w:szCs w:val="18"/>
          <w:color w:val="auto"/>
        </w:rPr>
        <w:t>. We sell and market our in-theatre advertising through our national and regional/local sales and marketing groups.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national sales staff of 28 people is located across the country in our four national sales offices in New York, Woodland Hills (outside Los Angeles), Chicago and Detroit. Approximately 33% of the compensation for the national sales staff is variable and commission-based, with commissions shared across the team in order to enhance coordination and teamwork. Our national sales organization is highly scalable and has successfully increased sales per person by approximately 28% over the past two years. We expect this trend to continue as our products and services gain greater acceptance by advertisers and continue to expand our customer and revenue base.</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Our regional and local sales staff of approximately 105 people is located throughout the country, covering approximately 125 screens each and selling directly to our regional and local clients. Approximately 75% of the compensation for local sales staff is variable based on a commission of collected sales.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2005, we created a new senior sales position to focus exclusively on larger regional clients (such as car dealer associations, quick-service restaurant advertising co-ops and state lotteries). We believe sales to regional clients represent a significant growth opportunity and will allow us to increase utilization in the earlier segments of our pre-feature show.</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Over the past four years we have increased our advertising revenue base by expanding the number of clients and product categories through sales outreach. We aggressively plan meetings directly with clients and with advertising agencies to educate them on the merits of cinema advertising. We also have a three-person public relations department and a seven-person research department and have commissioned third-party market research on the effectiveness of cinema advertising. This research has provided our customers with compelling statistical evidence of the superiority of our product relative to other broadcast advertising based on metrics such as brand recognition, message recall, and likeability. We believe we are making significant progress toward establishing cinema advertising as a more accountable and effective advertising medium relative to other traditional advertising media and capturing increasing market share from those media.</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CineMeetings</w:t>
      </w:r>
      <w:r>
        <w:rPr>
          <w:rFonts w:ascii="Arial" w:cs="Arial" w:eastAsia="Arial" w:hAnsi="Arial"/>
          <w:sz w:val="18"/>
          <w:szCs w:val="18"/>
          <w:color w:val="auto"/>
        </w:rPr>
        <w:t>. We have a staff of approximately 40 people who are dedicated to sales and marketing of our meetings business. In fiscal 2005, we facilitated</w:t>
      </w:r>
      <w:r>
        <w:rPr>
          <w:rFonts w:ascii="Arial" w:cs="Arial" w:eastAsia="Arial" w:hAnsi="Arial"/>
          <w:sz w:val="18"/>
          <w:szCs w:val="18"/>
          <w:i w:val="1"/>
          <w:iCs w:val="1"/>
          <w:color w:val="auto"/>
        </w:rPr>
        <w:t xml:space="preserve"> </w:t>
      </w:r>
      <w:r>
        <w:rPr>
          <w:rFonts w:ascii="Arial" w:cs="Arial" w:eastAsia="Arial" w:hAnsi="Arial"/>
          <w:sz w:val="18"/>
          <w:szCs w:val="18"/>
          <w:color w:val="auto"/>
        </w:rPr>
        <w:t>over 6,900 meetings.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Digital Programming Events</w:t>
      </w:r>
      <w:r>
        <w:rPr>
          <w:rFonts w:ascii="Arial" w:cs="Arial" w:eastAsia="Arial" w:hAnsi="Arial"/>
          <w:sz w:val="18"/>
          <w:szCs w:val="18"/>
          <w:color w:val="auto"/>
        </w:rPr>
        <w:t>. We have a staff of approximately seven people who are dedicated to sales and marketing of our digital programming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year, we have successfully expanded this business segment from 15 events attended by approximately 88,000 patrons throughout 2005, to nine events attended by approximately 100,000 patrons in the first half of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Creative Services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media and creative services division uses state of the art, proprietary technologies and practices to ensure the highest possible cinema quality presentation of all on-screen content. We believe the expertise of this group in optimizing content for cinema playback has been instrumental in our ability to provide a better experience for the theatre patron and to enhance our ability to attract and retain our on-screen advertising customers. We provide a full spectrum of post-production services to our clients for a fee, including audio enhancements, color correction and noise reduction and will also upconvert standard definition content to the high-definition, surround sound cinema quality format we distribute over our DCN, ensuring a pristine, high impact presentation of our clients’ content. Our expertise in tailoring advertisements developed for television for high-definition cinema playback facilitates the ability of national advertisers to display content that optimizes the big-screen format. We also offer creative services to our clients, developing full sight, sound and motion high-definition advertisements from concept to completion. Our Founding Members and significant number of regional advertisers engage us for the production of their on-screen advertisements. This service substantially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the overall quality of movie-goers’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utilize digital media, software and network technologies to deliver high-quality cinema advertising, meeting services and digital programming events to screens at our network theatres. These technologies facilitate a higher quality entertainment experience than the slide projectors and 35 mm “rolling stock” traditionally used in cinema advertising. Moreover, our technology allows us to deliver targeted, measurable advertising messages to consumers and efficiently monitor the on-screen playback.</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employ two satellite networks to distribute content to our theatres. Our DCN satellite, which is operated by Hughes, is used to distribute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to 11,076 screens, 834 theatres and over 2 million seats. Our CBN satellite is used to support our digital programming efforts by broadcasting live feeds to 292 screens in 119 theatres and over 82,000 seats. We contract for transponder time on the CBN satellite only when we have digital programming events to distribute over the CBN.</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satellite technology we use to deliver data provides a cost-effective means to deliver content to theatres. We employ a variety of technologies that “wrap” around the satellite process to help ensure uninterrupted service to theatres. For example, our DCS has automated implementation capabilities that allow for data files to be multicast to theatres over a large footprint. Our DCS interfaced with the Hughes software also possesses the ability to dynamically control the quality, timing and completeness of content. The integrated DCN/DCS is controlled by our NOC, which supports and monitors over 35,000 in-theatre hardware devices and more than 142,000 alarm points on the network.</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Through our NOC, we have access to and can monitor and initiate repairs to the equipment in our entire digital network of theatres. Our NOC operates 24 hours a day, seven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88900</wp:posOffset>
            </wp:positionV>
            <wp:extent cx="4528185" cy="3224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2818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shown in the above diagram, the finalized content is uploaded from our NOC through the DCN to theatres well in advance of use. The content will be delivered via multicast technology to all theatres in our network and received by our theatre management system, or TMS, where it is held until displayed according to its contract terms in specified theatre auditoriums. Each theatre auditorium has a client-server architecture that controls the content to be shown in the auditoriums or in the lobby. After the TMS receives digital content from the DCN, confirmation of content playback is returned via the Hughes satellite to our NOC.</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 disaster recovery project underway that will provide backup for critical applications at an off-site facility in the event of a catastrophic failure at our NOC. This facility, to be located in Salt Lake City, will co-locate our servers in an environmentally secure data center. Installation and testing of the data circuits, server and other equipment began in September 2006 and is expected to be completed by December 2006. We expect to execute the disaster recovery test plan in 2007 and execute it annually thereafter.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Advertising Customers. </w:t>
      </w:r>
      <w:r>
        <w:rPr>
          <w:rFonts w:ascii="Arial" w:cs="Arial" w:eastAsia="Arial" w:hAnsi="Arial"/>
          <w:sz w:val="18"/>
          <w:szCs w:val="18"/>
          <w:color w:val="auto"/>
        </w:rPr>
        <w:t>Our advertising business has a diverse customer base, consisting of national, regional and local advertisers. We have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many national advertisers across a wide variety of industries, such as apparel / accessories, automotive, confectionary, credit card, entertainment, personal care, retail, telecommunications and video games, as well as branches of the armed forces. We derived 77% of our advertising revenues from our national accounts during the six months ended June 29, 2006. We also have relationships with many regional and local advertisers across the country and with advertising agencies.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Each of our Founding Members have a relationship with a beverage concessionaire under which they are obligated to provide up to 90 seconds of on-screen advertising time as part of their agreement to purchase syrup. Under our prior agreements with our Founding Members, NCM LLC was to satisfy the Founding Members’ obligation without charge through December 2009. The ESAs will provide for the Founding Members’ purchase of this on-screen advertising time at a negotiated rate (intended to approximate a market rate) in order to satisfy the Founding Members’ obligation to provide this advertising.</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Content Partners. </w:t>
      </w:r>
      <w:r>
        <w:rPr>
          <w:rFonts w:ascii="Arial" w:cs="Arial" w:eastAsia="Arial" w:hAnsi="Arial"/>
          <w:sz w:val="16"/>
          <w:szCs w:val="16"/>
          <w:color w:val="auto"/>
        </w:rPr>
        <w:t>We have contractual relationships that provide entertainment content segments in the</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program and minimum annual</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spending commitments with NBC, Sony, Fox, TBS and Universal. These agreements generally provide that the non-commercial content segments are to be entertaining, informative or educational in nature. Each of the agreements provides for the purchase of a specified amount of advertising over a two-year period with options to renew, exercisable at the content partner’s option. Four out of the five agreements expire at the end of the 2007 or 2008 calendar year. The fifth agreement expires at the end of 2006 and negotiations for renewal are ongoing.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compete in the $240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mass media to more targeted forms of media. As the number of media platforms continues to increase, the ability to target narrow consumer demographics and to provide measurable third-party marketing information has become increasingly important. We believe that proliferation of digital technology enabling improved data collection and ROI measurement will increase advertisers’ demand for digital advertising platforms and that cinema advertising is well positioned to address these trends.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also compete with other providers of cinema advertising, which vary substantially in size, including Screenvision, Cinema Screen Media and Unique Screen Media. As one of the largest providers of cinema advertising in the United States, we believe that we are able to generate economies of scale, operating efficiencies and enhanced opportunities for our customers to access a national and regional audience, giving us a competitive advantage over many of our cinema advertising competitors. Through the visual quality and impact of the “big screen” and surround sound, we are able to display high impact impressions to our audiences. According to a study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IAG Research</w:t>
      </w:r>
      <w:r>
        <w:rPr>
          <w:rFonts w:ascii="Arial" w:cs="Arial" w:eastAsia="Arial" w:hAnsi="Arial"/>
          <w:sz w:val="16"/>
          <w:szCs w:val="16"/>
          <w:color w:val="auto"/>
        </w:rPr>
        <w:t xml:space="preserve"> in 2005, our cinema advertising generated recall rates two to five times greater than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10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offers customers an attractive venue for meetings. Also, we offer a single point of contact and standardized pricing for our services, which is a competitive advantage when booking multi-location events. In addition, we offer clients the ability to combine a movie with the meeting, which also differentiates us from other meeting venues.</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digital programming events business competes with other broadcast and cable networks, large-scale public venues, including concert halls and other public meeting venues and on-demand events. We believe that the combination of our national theatre network, geographic distribution and high quality sight and sound presentation offers content owners and sponsors an effective venue for events such as concerts and sporting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our Founding Members to use certain proprietary software for the delivery of digital advertising content through our DCN to specific screens or markets throughout our national theatre network. We have made improvements to this software and we own those improvements, except for improvements that were developed jointly by us and the Founding Members.</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 See “Certain Relationships and Related Party Transactions—Transactions with Founding Members—Software License Agreement.”</w:t>
      </w:r>
    </w:p>
    <w:p>
      <w:pPr>
        <w:spacing w:after="0" w:line="107"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We have applied for several U.S. trademark registrations, including for NATIONAL CINEMEDIA and FIRSTLOOK. It is our practice to defend our trademarks and the associated goodwill from infringement by others. We are aware of a number of other companies that use names and marks containing variations of the words contained in our existing trademarks. There could be potential trademark infringement claims brought against us by the users of these names and marks. If any of these infringement claims were to prove successful in preventing us from using our existing trademarks or preventing us from stopping a competitor from using our existing trademarks, our ability to build brand identity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Currently, we are not subject to regulations specific to sale and distribution of cinema advertising that we need to comply with in our operations. We are subject to federal, state and local laws that govern businesses generally such as wage and hour and worker compensation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employed approximately 435 people as of June 29, 2006. Approximately 240 employees were engaged in overall management and general administration at our corporate headquarters in Centennial, Colorado, and the remainder included approximately 70 people employed in our regional offices, approximately 105 local advertising account executives and approximately 20 field maintenance technicians. None of our employees are covered by collective bargaining agreements. We believe that our relationship with our employees is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Theatre Network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details the locations of the screens in our theatre network in the top 50 DMAs</w:t>
      </w:r>
      <w:r>
        <w:rPr>
          <w:rFonts w:ascii="Arial" w:cs="Arial" w:eastAsia="Arial" w:hAnsi="Arial"/>
          <w:sz w:val="21"/>
          <w:szCs w:val="21"/>
          <w:color w:val="auto"/>
          <w:vertAlign w:val="superscript"/>
        </w:rPr>
        <w:t>®</w:t>
      </w:r>
      <w:r>
        <w:rPr>
          <w:rFonts w:ascii="Arial" w:cs="Arial" w:eastAsia="Arial" w:hAnsi="Arial"/>
          <w:sz w:val="17"/>
          <w:szCs w:val="17"/>
          <w:color w:val="auto"/>
        </w:rPr>
        <w:t>, ranked by DMA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as of June 29, 2006:</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205740</wp:posOffset>
            </wp:positionV>
            <wp:extent cx="5137150" cy="6654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37150" cy="665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45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with respect to our corporate headquarters and regional offices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Size</w:t>
            </w:r>
          </w:p>
        </w:tc>
      </w:tr>
      <w:tr>
        <w:trPr>
          <w:trHeight w:val="195"/>
        </w:trPr>
        <w:tc>
          <w:tcPr>
            <w:tcW w:w="5020" w:type="dxa"/>
            <w:vAlign w:val="bottom"/>
          </w:tcPr>
          <w:p>
            <w:pPr>
              <w:spacing w:after="0" w:line="195" w:lineRule="exact"/>
              <w:rPr>
                <w:sz w:val="20"/>
                <w:szCs w:val="20"/>
                <w:color w:val="auto"/>
              </w:rPr>
            </w:pPr>
            <w:r>
              <w:rPr>
                <w:rFonts w:ascii="Arial" w:cs="Arial" w:eastAsia="Arial" w:hAnsi="Arial"/>
                <w:sz w:val="18"/>
                <w:szCs w:val="18"/>
                <w:color w:val="auto"/>
              </w:rPr>
              <w:t>Centennial, CO(1)</w:t>
            </w:r>
          </w:p>
        </w:tc>
        <w:tc>
          <w:tcPr>
            <w:tcW w:w="22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Headquarters (including the NOC)</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58,894 sq. ft.</w:t>
            </w:r>
          </w:p>
        </w:tc>
        <w:tc>
          <w:tcPr>
            <w:tcW w:w="20" w:type="dxa"/>
            <w:vAlign w:val="bottom"/>
          </w:tcPr>
          <w:p>
            <w:pPr>
              <w:spacing w:after="0"/>
              <w:rPr>
                <w:sz w:val="16"/>
                <w:szCs w:val="16"/>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Chicago, IL(2)</w:t>
            </w:r>
          </w:p>
        </w:tc>
        <w:tc>
          <w:tcPr>
            <w:tcW w:w="2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1,936 sq. ft.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New York, NY(3)</w:t>
            </w:r>
          </w:p>
        </w:tc>
        <w:tc>
          <w:tcPr>
            <w:tcW w:w="2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7,966 sq. ft.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Woodland Hills, CA(4)</w:t>
            </w:r>
          </w:p>
        </w:tc>
        <w:tc>
          <w:tcPr>
            <w:tcW w:w="2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5,700 sq. ft.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Detroit, MI(5)</w:t>
            </w:r>
          </w:p>
        </w:tc>
        <w:tc>
          <w:tcPr>
            <w:tcW w:w="2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721 sq. ft.</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Minneapolis, MN(6)</w:t>
            </w:r>
          </w:p>
        </w:tc>
        <w:tc>
          <w:tcPr>
            <w:tcW w:w="2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10,363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9037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3" w:lineRule="exact"/>
        <w:rPr>
          <w:sz w:val="20"/>
          <w:szCs w:val="20"/>
          <w:color w:val="auto"/>
        </w:rPr>
      </w:pPr>
    </w:p>
    <w:p>
      <w:pPr>
        <w:ind w:left="440" w:right="320" w:hanging="421"/>
        <w:spacing w:after="0" w:line="25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leased through December 31, 2013 with a termination option at December 31, 2010 and an option to extend the lease until December 31, 2018.</w:t>
      </w:r>
    </w:p>
    <w:p>
      <w:pPr>
        <w:ind w:left="440" w:hanging="421"/>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subleased from RCM through July 31, 2009.</w:t>
      </w:r>
    </w:p>
    <w:p>
      <w:pPr>
        <w:spacing w:after="0" w:line="9" w:lineRule="exact"/>
        <w:rPr>
          <w:rFonts w:ascii="Arial" w:cs="Arial" w:eastAsia="Arial" w:hAnsi="Arial"/>
          <w:sz w:val="18"/>
          <w:szCs w:val="18"/>
          <w:color w:val="auto"/>
        </w:rPr>
      </w:pPr>
    </w:p>
    <w:p>
      <w:pPr>
        <w:ind w:left="440" w:hanging="421"/>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subleased from RCM through April 30, 2010.</w:t>
      </w:r>
    </w:p>
    <w:p>
      <w:pPr>
        <w:spacing w:after="0" w:line="9" w:lineRule="exact"/>
        <w:rPr>
          <w:rFonts w:ascii="Arial" w:cs="Arial" w:eastAsia="Arial" w:hAnsi="Arial"/>
          <w:sz w:val="18"/>
          <w:szCs w:val="18"/>
          <w:color w:val="auto"/>
        </w:rPr>
      </w:pPr>
    </w:p>
    <w:p>
      <w:pPr>
        <w:ind w:left="440" w:right="120" w:hanging="421"/>
        <w:spacing w:after="0" w:line="250"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subleased from American Multi-Cinema, Inc. through May 30, 2007. On June 6, 2006, NCM LLC entered into a lease for the property with a term from June 1, 2007 to May 31, 2012.</w:t>
      </w:r>
    </w:p>
    <w:p>
      <w:pPr>
        <w:ind w:left="440" w:hanging="421"/>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leased through December 31, 2009.</w:t>
      </w:r>
    </w:p>
    <w:p>
      <w:pPr>
        <w:spacing w:after="0" w:line="9" w:lineRule="exact"/>
        <w:rPr>
          <w:rFonts w:ascii="Arial" w:cs="Arial" w:eastAsia="Arial" w:hAnsi="Arial"/>
          <w:sz w:val="18"/>
          <w:szCs w:val="18"/>
          <w:color w:val="auto"/>
        </w:rPr>
      </w:pPr>
    </w:p>
    <w:p>
      <w:pPr>
        <w:ind w:left="440" w:hanging="421"/>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facility is leased through December 31, 2007, with an option to extend the lease for two additional five-year periods.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sometimes involved in legal proceedings arising in the ordinary course of business. We are not aware of any litigation currently pending.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revenues and operating results are seasonal, coinciding with the attendance patterns within the theatre exhibition industry as well as the timing of marketing expenditures by our clients. Theatrical attendance is highest during the summer and year-end holiday season, and marketing expenditures tend to be higher during the second, third, and fourth quarters, dependent upon the client’s products and marketing cycle. As a result, our first quarter typically has less revenue than the later quarters of the year. The results of one quarter are not necessarily indicative of results for the next or any other quarter.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Set forth below is certain information with respect to NCM Inc.’s current executive officers and directors. We expect to appoint additional directors who are not our employees or employees of our Founding Members. See “— Board Composition Following the Offering”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540" w:type="dxa"/>
            <w:vAlign w:val="bottom"/>
          </w:tcPr>
          <w:p>
            <w:pPr>
              <w:spacing w:after="0" w:line="195" w:lineRule="exact"/>
              <w:rPr>
                <w:sz w:val="20"/>
                <w:szCs w:val="20"/>
                <w:color w:val="auto"/>
              </w:rPr>
            </w:pPr>
            <w:r>
              <w:rPr>
                <w:rFonts w:ascii="Arial" w:cs="Arial" w:eastAsia="Arial" w:hAnsi="Arial"/>
                <w:sz w:val="18"/>
                <w:szCs w:val="18"/>
                <w:color w:val="auto"/>
              </w:rPr>
              <w:t>Kurt C. Hall</w:t>
            </w:r>
          </w:p>
        </w:tc>
        <w:tc>
          <w:tcPr>
            <w:tcW w:w="200" w:type="dxa"/>
            <w:vAlign w:val="bottom"/>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6"/>
                <w:szCs w:val="16"/>
                <w:color w:val="auto"/>
              </w:rPr>
            </w:pPr>
          </w:p>
        </w:tc>
        <w:tc>
          <w:tcPr>
            <w:tcW w:w="7180" w:type="dxa"/>
            <w:vAlign w:val="bottom"/>
          </w:tcPr>
          <w:p>
            <w:pPr>
              <w:spacing w:after="0" w:line="195" w:lineRule="exact"/>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Clifford E. Marks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President of Sales and Chief Marketing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Gary W. Ferrera</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Thomas C. Galley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and Chief Technology and Operations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Ralph E. Hardy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Peter C. Brown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Michael L. Campbell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Lee Roy Mitchell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Kurt C. Hall. </w:t>
      </w:r>
      <w:r>
        <w:rPr>
          <w:rFonts w:ascii="Arial" w:cs="Arial" w:eastAsia="Arial" w:hAnsi="Arial"/>
          <w:sz w:val="16"/>
          <w:szCs w:val="16"/>
          <w:color w:val="auto"/>
        </w:rPr>
        <w:t>Mr. Hall was appointed President, Chief Executive Officer and Chairman of NCM LLC in May 2005 and following the completion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will assume the same positions with NCM Inc. He has also served as Chairman of NCM Inc. since October 2006. Prior to his current position, from May 2002 to May 2005, Mr. Hall served as Co-Chairman and Co-Chief Executive Officer of Regal Entertainment Group and President and Chief Executive Officer of its media subsidiary Regal CineMedia Corporation. Mr. Hall served as President and Chief Executive Officer of United Artists Theatre Company from March 1998 to August 2002, and a director from May 1992 to August 2002. Mr. Hall served as Chief Operating Officer of United Artists Theatre Company from February 1997 to March 1998, and as Executive Vice President and Chief Financial Officer of United Artists Theatre Company from May 1992 to March 1998.</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LLC’s President of Sales and Chief Marketing Officer in May 2005 and following the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offering, will assume the same positions with NCM Inc. He has been an advertising, marketing and sales professional for 23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 Mr. Marks joined ESPN in April 1989 and served in a variety of sales and marketing positions throughout his tenure. From 1986 through 1989, Mr. Marks was an advertising sales executive at The Nashville Network (now known as Spike TV). He began his career at the New York advertising agencies Young &amp; Rubicam (1985-86) and BBDO (1983-85).</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Gary W. Ferrera. </w:t>
      </w:r>
      <w:r>
        <w:rPr>
          <w:rFonts w:ascii="Arial" w:cs="Arial" w:eastAsia="Arial" w:hAnsi="Arial"/>
          <w:sz w:val="18"/>
          <w:szCs w:val="18"/>
          <w:color w:val="auto"/>
        </w:rPr>
        <w:t>Mr. Ferrera joined NCM LLC in May 2006 as Executive Vice President and Chief Financial Officer and following the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will assume the same positions with NCM Inc. Mr. Ferrera has held positions in accounting and finance since 1991. Most recently, Mr. Ferrera served as the interim Chief Financial Officer of the German cable company iesy Hessen, GmbH (now known as Unity Media), from March to October 2005. From February 2000 to February 2005, Mr. Ferrera held positions in both the United States and Europe with Citigroup’s Global Corporate and Investment Bank where he spent the majority of that time advising and financing European media companies. Mr. Ferrera also held positions as an investment banker at Bear Stearns and as an international tax consultant at Arthur Andersen. Prior to his business career, Mr. Ferrera served for over seven years in U.S. Army Special Operations and Intelligence.</w:t>
      </w:r>
    </w:p>
    <w:p>
      <w:pPr>
        <w:spacing w:after="0" w:line="14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Thomas C. Galley. </w:t>
      </w:r>
      <w:r>
        <w:rPr>
          <w:rFonts w:ascii="Arial" w:cs="Arial" w:eastAsia="Arial" w:hAnsi="Arial"/>
          <w:sz w:val="16"/>
          <w:szCs w:val="16"/>
          <w:color w:val="auto"/>
        </w:rPr>
        <w:t>Mr. Galley joined NCM LLC in May 2005 as Executive Vice President and Chief Technology and Operations Officer and following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 will assume the same positions with NCM Inc. In this role, Mr. Galley oversees all operational, technical and production divisions for National CineMedia. He also manages the CineMeetings and digital programming events divisions. Mr. Galley led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original development of National CineMedia’s Digital Content Network, a high definition digital and satellite distribution system linking AMC, Cinemark and Regal theatres nationwide.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 From 2000 to January 2002, he served as an independent consultant. From 1986 to 2000, Mr. Galley was President and Chief Executive Officer and co-founder of Internet Communications Corporation, a network (WAN/LAN) systems integration company, where he developed business applications, sales, marketing, technology, operations and revenue centers around technology.</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joined NCM LLC in May 2005 as Executive Vice President and General Counsel and following the completion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assume the same positions with NCM Inc. Prior to his current position, from May 2002 to May 2005, Mr. Hardy served as Executive Vice President and General Counsel for Regal CineMedia Corporation. Previously, from September 1994 to May 2002, Mr. Hardy was Executive Vice President, General Counsel and Secretary of United Artists Theatre Circuit, Inc., and was Senior Vice President, General Counsel and Secretary of United Artists Theatre Circuit, Inc. from May 1992 to September 1994.</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Peter C. Brown. </w:t>
      </w:r>
      <w:r>
        <w:rPr>
          <w:rFonts w:ascii="Arial" w:cs="Arial" w:eastAsia="Arial" w:hAnsi="Arial"/>
          <w:sz w:val="16"/>
          <w:szCs w:val="16"/>
          <w:color w:val="auto"/>
        </w:rPr>
        <w:t>Mr. Brown has served as a director of NCM LLC since March 2005 and as a director of NCM Inc. since October 2006. Mr. Brown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Chairman of the Board and Chief Executive Officer of AMC Entertainment, Inc. since July 1999 and as President of AMC Entertainment, Inc. since January 1997. Mr. Brown served as Co-Chairman of the Board of AMC Entertainment, Inc. from May 1998 through July 1999 and as Executive Vice President of AMC Entertainment, Inc. from August 1994 to January 1997. Mr. Brown is also Chairman of the Board, Chief Executive Officer and a Director of American Multi-Cinema, Inc. Mr. Brown is also on the Board of Directors of Midway Games, Inc.</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Michael L. Campbell. </w:t>
      </w:r>
      <w:r>
        <w:rPr>
          <w:rFonts w:ascii="Arial" w:cs="Arial" w:eastAsia="Arial" w:hAnsi="Arial"/>
          <w:sz w:val="16"/>
          <w:szCs w:val="16"/>
          <w:color w:val="auto"/>
        </w:rPr>
        <w:t>Mr. Campbell has served as a director of NCM LLC since March 2005 and as a director of NCM Inc. since October 2006.</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Campbell has served as Chairman and Chief Executive Officer of Regal Entertainment Group since May 2005 and as a director since March 2002. Prior thereto, Mr. Campbell served as Regal Entertainment Group’s Co-Chairman and Co-Chief Executive Officer. Mr. Campbell also has served as Chief Executive Officer of Regal Cinemas Corporation since January 2002. Mr. Campbell founded Regal Cinemas, Inc. in November 1989, and has served as Chief Executive Officer of Regal Cinemas, Inc. since its inception. Mr. Campbell served as a director and executive officer of Regal Cinemas, Inc. when it filed for bankruptcy on October 11, 2001 and throughout its bankruptcy proceedings. Mr. Campbell currently serves as a director of the National Association of Theatre Owners, Fandango, Inc. and Regal Entertainment Group.</w:t>
      </w:r>
    </w:p>
    <w:p>
      <w:pPr>
        <w:spacing w:after="0" w:line="1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Lee Roy Mitchell. </w:t>
      </w:r>
      <w:r>
        <w:rPr>
          <w:rFonts w:ascii="Arial" w:cs="Arial" w:eastAsia="Arial" w:hAnsi="Arial"/>
          <w:sz w:val="16"/>
          <w:szCs w:val="16"/>
          <w:color w:val="auto"/>
        </w:rPr>
        <w:t>Mr. Mitchell has served as a director of NCM LLC since July 2005 and as a director of NCM Inc. since October 2006. Mr. Mitchell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Chairman of the Board of Cinemark USA, Inc. since March 1996 and as a Director and Chief Executive Officer of Cinemark USA, Inc. since its inception in 1987. Mr. Mitchell has served as Chairman of the Board and Chief Executive Officer of Cinemark, Inc. since its inception in May 2002. Mr. Mitchell serves on the Board of Directors of Texas Capital Bancshares, Inc., Champions for Life and Dallas County Community College.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Following the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completion of this offering, NCM Inc. will become a member and the sole manager of NCM LLC. NCM LLC’s board will cease to exist at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NCM Inc.’s bylaws will authorize ten directors to serve on our board of directors. The directors will be divided into three classes, designated as Class I, Class II and Class III. The members of each class shall serve for a staggered two-year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stockholders for the election of directors for the year in which the director’s term expires or at a special meeting called for that purpose.</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Pursuant to a Director Designation and Voting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and only during such time, any Founding Member owns less than 5% of NCM LLC’s then issued and outstanding common membership units, then such Founding Member shall cease to have any rights of designation. One of the two designees from each of the Founding Members must qualify as an independent director under Nasdaq rules.</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We expect that, upon completion of this offering, our board will consist of Mr. Hall, our Chief Executive Officer, Mr. Brown, Mr. Campbell and Mr. Mitchell and six independent directors who have not been appointed yet. Pursuant to the terms of the Director Designation and Voting Agreement, each of our Founding Members will designate an independent director to our board. The remaining three independent directors will be identified and recommended to our board prior to the completion of this offering by a committee comprised of the four current NCM Inc. directors and three directors from the NCM LLC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board of directors will have an Audit Committee, a Compensation Committee and a Nominating and Corporate Governance Committee. The board of directors also will establish such other committees as it deems appropriate, in accordance with applicable law and our certificate of incorporation and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expect that the members of the audit committee will be appointed promptly following this offering. All of the members of the audit committee will be independent, as determined in accordance with Nasdaq rules and relevant federal securities laws and regulations. We expect our board to have one “audit committee financial expert” as defined in the federal securities laws and regulations. The audit committee will assist our board of directors in monitoring the integrity of the financial statements, the independent auditors’ qualifications, independence and performance, the performance of our company’s internal audit function and compliance by our company with certain legal and regulatory requirements.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expect that the members of the compensation committee will be appointed promptly following this offering. All of the members of our compensation committee will be independent, as determined in accordance with Nasdaq rules and relevant federal securities laws and regulations. The compensation committee will oversee the compensation plans, policies and programs of our company and will have full authority to determine and approve the compensation of our chief executive officer, as well as to make recommendations with respect to compensation of our other executive officers. The compensation committee also will be responsible for producing an annual report on executive compensation for inclusion in our proxy statement.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that the members of the nominating and corporate governance committee will be appointed promptly following this offering. All of the members of our nominating and corporate governance committee will be independent as determined in accordance with Nasdaq rules and relevant federal securities laws and regulations. We expect that the nominating and corporate governance committee will have three directors. The nominating and corporate governance committee will assist our board of directors in promoting the best interests of our company and our stockholders through the implementation of sound corporate governance principles and practices.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Other than the director candidates designated by our Founding Members, the nominating and corporate governance committee will identify individuals qualified to become board members and recommend to our board of directors the director nominees for each annual meeting of stockholders. It also will review the qualifications and independence of the members of our board of directors and its various committees on a regular basis and make any recommendations the committee members may deem appropriate from time to time concerning any changes in the composition of our board of directors and its committees. The nominating and corporate governance committee also will recommend to our board of directors the corporate governance guidelines and standards regarding the independence of outside directors applicable to our company and review such guidelines and standards and the provisions of the nominating and corporate governance committee charter on a regular basis to confirm that such guidelines, standards and charter remain consistent with sound corporate governance practices and with any legal, regulatory or Nasdaq requirements. The nominating and corporate governance committee also will monitor our board of directors and our company’s compliance with any commitments made to regulators or otherwise regarding changes in corporate governance practices and will lead our board of directors in its annual review of our board of directors’ performance.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do not anticipate any interlocking relationships between any member of our compensation committee or our nominating and corporate governance committee and any of our executive officers that would require disclosure under the applicable rules promulgated under the U.S. federal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anticipate that directors who are not our employees or employees of our Founding Members will receive a reasonable and customary annual retainer consisting of cash and equity for service on our board of directors, and additional fees per meeting to be paid in cash. All or a portion of the equity awards may be subject to vesting requirements.</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also anticipate that the chairpersons of the audit committee, compensation committee and nominating and corporate governance committee will receive reasonable and customary additional annual equity retainers. No other remuneration will be paid to our board members in their capacity as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employees who also serve as directors will receive compensation for their services as employees, but they will not receive any additional compensation for their service as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sets forth the compensation awarded to, earned by or paid to NCM LLC’s chief executive officer and each of the next four highly compensated executive officers during NCM LLC’s nine months ended December 29, 2005. We refer to these individuals in this prospectus as named executive officers.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86"/>
              </w:rPr>
              <w:t>Annual Compensation</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Long Term Compensation</w:t>
            </w:r>
          </w:p>
        </w:tc>
        <w:tc>
          <w:tcPr>
            <w:tcW w:w="6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Securities</w:t>
            </w:r>
          </w:p>
        </w:tc>
        <w:tc>
          <w:tcPr>
            <w:tcW w:w="6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2"/>
                <w:szCs w:val="12"/>
                <w:color w:val="auto"/>
              </w:rPr>
            </w:pPr>
          </w:p>
        </w:tc>
        <w:tc>
          <w:tcPr>
            <w:tcW w:w="14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3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Restricted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Compensation($)</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auto"/>
            </w:tcBorders>
            <w:vMerge w:val="continue"/>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u w:val="single" w:color="auto"/>
                <w:color w:val="auto"/>
                <w:w w:val="87"/>
              </w:rPr>
              <w:t>Salary($</w:t>
            </w:r>
            <w:r>
              <w:rPr>
                <w:rFonts w:ascii="Arial" w:cs="Arial" w:eastAsia="Arial" w:hAnsi="Arial"/>
                <w:sz w:val="14"/>
                <w:szCs w:val="14"/>
                <w:b w:val="1"/>
                <w:bCs w:val="1"/>
                <w:color w:val="auto"/>
                <w:w w:val="87"/>
              </w:rPr>
              <w: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132"/>
              <w:spacing w:after="0" w:line="148" w:lineRule="exact"/>
              <w:rPr>
                <w:sz w:val="20"/>
                <w:szCs w:val="20"/>
                <w:color w:val="auto"/>
              </w:rPr>
            </w:pPr>
            <w:r>
              <w:rPr>
                <w:rFonts w:ascii="Arial" w:cs="Arial" w:eastAsia="Arial" w:hAnsi="Arial"/>
                <w:sz w:val="14"/>
                <w:szCs w:val="14"/>
                <w:b w:val="1"/>
                <w:bCs w:val="1"/>
                <w:color w:val="auto"/>
              </w:rPr>
              <w:t>(1)</w:t>
            </w:r>
          </w:p>
        </w:tc>
        <w:tc>
          <w:tcPr>
            <w:tcW w:w="620" w:type="dxa"/>
            <w:vAlign w:val="bottom"/>
          </w:tcPr>
          <w:p>
            <w:pPr>
              <w:spacing w:after="0"/>
              <w:rPr>
                <w:sz w:val="12"/>
                <w:szCs w:val="12"/>
                <w:color w:val="auto"/>
              </w:rPr>
            </w:pPr>
          </w:p>
        </w:tc>
        <w:tc>
          <w:tcPr>
            <w:tcW w:w="1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u w:val="single" w:color="auto"/>
                <w:color w:val="auto"/>
              </w:rPr>
              <w:t>Compensation($</w:t>
            </w: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Options(#)</w:t>
            </w:r>
          </w:p>
        </w:tc>
        <w:tc>
          <w:tcPr>
            <w:tcW w:w="1640" w:type="dxa"/>
            <w:vAlign w:val="bottom"/>
            <w:gridSpan w:val="2"/>
          </w:tcPr>
          <w:p>
            <w:pPr>
              <w:jc w:val="center"/>
              <w:ind w:left="572"/>
              <w:spacing w:after="0" w:line="148" w:lineRule="exact"/>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line="145" w:lineRule="exact"/>
              <w:rPr>
                <w:sz w:val="20"/>
                <w:szCs w:val="20"/>
                <w:color w:val="auto"/>
              </w:rPr>
            </w:pPr>
            <w:r>
              <w:rPr>
                <w:rFonts w:ascii="Arial" w:cs="Arial" w:eastAsia="Arial" w:hAnsi="Arial"/>
                <w:sz w:val="14"/>
                <w:szCs w:val="14"/>
                <w:color w:val="auto"/>
              </w:rPr>
              <w:t>Kurt C. Hall(2)</w:t>
            </w:r>
          </w:p>
        </w:tc>
        <w:tc>
          <w:tcPr>
            <w:tcW w:w="62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gridSpan w:val="2"/>
          </w:tcPr>
          <w:p>
            <w:pPr>
              <w:jc w:val="right"/>
              <w:spacing w:after="0" w:line="125" w:lineRule="exact"/>
              <w:rPr>
                <w:sz w:val="20"/>
                <w:szCs w:val="20"/>
                <w:color w:val="auto"/>
              </w:rPr>
            </w:pPr>
            <w:r>
              <w:rPr>
                <w:rFonts w:ascii="Arial" w:cs="Arial" w:eastAsia="Arial" w:hAnsi="Arial"/>
                <w:sz w:val="14"/>
                <w:szCs w:val="14"/>
                <w:color w:val="auto"/>
                <w:w w:val="83"/>
              </w:rPr>
              <w:t>$ 447,065</w:t>
            </w:r>
          </w:p>
        </w:tc>
        <w:tc>
          <w:tcPr>
            <w:tcW w:w="620" w:type="dxa"/>
            <w:vAlign w:val="bottom"/>
            <w:vMerge w:val="continue"/>
          </w:tcPr>
          <w:p>
            <w:pPr>
              <w:spacing w:after="0"/>
              <w:rPr>
                <w:sz w:val="10"/>
                <w:szCs w:val="10"/>
                <w:color w:val="auto"/>
              </w:rPr>
            </w:pPr>
          </w:p>
        </w:tc>
        <w:tc>
          <w:tcPr>
            <w:tcW w:w="540" w:type="dxa"/>
            <w:vAlign w:val="bottom"/>
            <w:gridSpan w:val="2"/>
          </w:tcPr>
          <w:p>
            <w:pPr>
              <w:jc w:val="right"/>
              <w:spacing w:after="0" w:line="125" w:lineRule="exact"/>
              <w:rPr>
                <w:sz w:val="20"/>
                <w:szCs w:val="20"/>
                <w:color w:val="auto"/>
              </w:rPr>
            </w:pPr>
            <w:r>
              <w:rPr>
                <w:rFonts w:ascii="Arial" w:cs="Arial" w:eastAsia="Arial" w:hAnsi="Arial"/>
                <w:sz w:val="14"/>
                <w:szCs w:val="14"/>
                <w:color w:val="auto"/>
                <w:w w:val="83"/>
              </w:rPr>
              <w:t>$ 656,250</w:t>
            </w:r>
          </w:p>
        </w:tc>
        <w:tc>
          <w:tcPr>
            <w:tcW w:w="620" w:type="dxa"/>
            <w:vAlign w:val="bottom"/>
            <w:vMerge w:val="continue"/>
          </w:tcPr>
          <w:p>
            <w:pPr>
              <w:spacing w:after="0"/>
              <w:rPr>
                <w:sz w:val="10"/>
                <w:szCs w:val="10"/>
                <w:color w:val="auto"/>
              </w:rPr>
            </w:pPr>
          </w:p>
        </w:tc>
        <w:tc>
          <w:tcPr>
            <w:tcW w:w="80" w:type="dxa"/>
            <w:vAlign w:val="bottom"/>
          </w:tcPr>
          <w:p>
            <w:pPr>
              <w:spacing w:after="0" w:line="125"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400"/>
              <w:spacing w:after="0" w:line="125" w:lineRule="exact"/>
              <w:rPr>
                <w:sz w:val="20"/>
                <w:szCs w:val="20"/>
                <w:color w:val="auto"/>
              </w:rPr>
            </w:pPr>
            <w:r>
              <w:rPr>
                <w:rFonts w:ascii="Arial" w:cs="Arial" w:eastAsia="Arial" w:hAnsi="Arial"/>
                <w:sz w:val="14"/>
                <w:szCs w:val="14"/>
                <w:color w:val="auto"/>
              </w:rPr>
              <w:t>7,258(3)</w:t>
            </w:r>
          </w:p>
        </w:tc>
        <w:tc>
          <w:tcPr>
            <w:tcW w:w="320" w:type="dxa"/>
            <w:vAlign w:val="bottom"/>
            <w:vMerge w:val="continue"/>
          </w:tcPr>
          <w:p>
            <w:pPr>
              <w:spacing w:after="0"/>
              <w:rPr>
                <w:sz w:val="10"/>
                <w:szCs w:val="10"/>
                <w:color w:val="auto"/>
              </w:rPr>
            </w:pPr>
          </w:p>
        </w:tc>
        <w:tc>
          <w:tcPr>
            <w:tcW w:w="720" w:type="dxa"/>
            <w:vAlign w:val="bottom"/>
          </w:tcPr>
          <w:p>
            <w:pPr>
              <w:jc w:val="right"/>
              <w:ind w:right="597"/>
              <w:spacing w:after="0"/>
              <w:rPr>
                <w:sz w:val="20"/>
                <w:szCs w:val="20"/>
                <w:color w:val="auto"/>
              </w:rPr>
            </w:pPr>
            <w:r>
              <w:rPr>
                <w:rFonts w:ascii="Arial" w:cs="Arial" w:eastAsia="Arial" w:hAnsi="Arial"/>
                <w:sz w:val="10"/>
                <w:szCs w:val="10"/>
                <w:color w:val="auto"/>
                <w:w w:val="71"/>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0</w:t>
            </w:r>
          </w:p>
        </w:tc>
        <w:tc>
          <w:tcPr>
            <w:tcW w:w="640" w:type="dxa"/>
            <w:vAlign w:val="bottom"/>
            <w:vMerge w:val="continue"/>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President, Chief Executive Officer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40"/>
              <w:spacing w:after="0"/>
              <w:rPr>
                <w:sz w:val="20"/>
                <w:szCs w:val="20"/>
                <w:color w:val="auto"/>
              </w:rPr>
            </w:pPr>
            <w:r>
              <w:rPr>
                <w:rFonts w:ascii="Arial" w:cs="Arial" w:eastAsia="Arial" w:hAnsi="Arial"/>
                <w:sz w:val="14"/>
                <w:szCs w:val="14"/>
                <w:color w:val="auto"/>
              </w:rPr>
              <w:t>and Chairman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Clifford E. Marks(4)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$ 391,692</w:t>
            </w:r>
          </w:p>
        </w:tc>
        <w:tc>
          <w:tcPr>
            <w:tcW w:w="178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$ 508,750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6,352(5)</w:t>
            </w:r>
          </w:p>
        </w:tc>
        <w:tc>
          <w:tcPr>
            <w:tcW w:w="1040" w:type="dxa"/>
            <w:vAlign w:val="bottom"/>
            <w:gridSpan w:val="2"/>
          </w:tcPr>
          <w:p>
            <w:pPr>
              <w:jc w:val="right"/>
              <w:ind w:right="597"/>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President of Sales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40"/>
              <w:spacing w:after="0"/>
              <w:rPr>
                <w:sz w:val="20"/>
                <w:szCs w:val="20"/>
                <w:color w:val="auto"/>
              </w:rPr>
            </w:pPr>
            <w:r>
              <w:rPr>
                <w:rFonts w:ascii="Arial" w:cs="Arial" w:eastAsia="Arial" w:hAnsi="Arial"/>
                <w:sz w:val="14"/>
                <w:szCs w:val="14"/>
                <w:color w:val="auto"/>
              </w:rPr>
              <w:t>and Chief Marketing Officer</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Gary W. Ferrera(6)</w:t>
            </w: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597"/>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Executive Vice President And Chief</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40"/>
              <w:spacing w:after="0"/>
              <w:rPr>
                <w:sz w:val="20"/>
                <w:szCs w:val="20"/>
                <w:color w:val="auto"/>
              </w:rPr>
            </w:pPr>
            <w:r>
              <w:rPr>
                <w:rFonts w:ascii="Arial" w:cs="Arial" w:eastAsia="Arial" w:hAnsi="Arial"/>
                <w:sz w:val="14"/>
                <w:szCs w:val="14"/>
                <w:color w:val="auto"/>
              </w:rPr>
              <w:t>Financial Officer</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Thomas C. Galley(7)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$ 219,327</w:t>
            </w:r>
          </w:p>
        </w:tc>
        <w:tc>
          <w:tcPr>
            <w:tcW w:w="178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$ 255,938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6,212(8)</w:t>
            </w:r>
          </w:p>
        </w:tc>
        <w:tc>
          <w:tcPr>
            <w:tcW w:w="1040" w:type="dxa"/>
            <w:vAlign w:val="bottom"/>
            <w:gridSpan w:val="2"/>
          </w:tcPr>
          <w:p>
            <w:pPr>
              <w:jc w:val="right"/>
              <w:ind w:right="597"/>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Executive Vice President and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Chief Technology</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40"/>
              <w:spacing w:after="0"/>
              <w:rPr>
                <w:sz w:val="20"/>
                <w:szCs w:val="20"/>
                <w:color w:val="auto"/>
              </w:rPr>
            </w:pPr>
            <w:r>
              <w:rPr>
                <w:rFonts w:ascii="Arial" w:cs="Arial" w:eastAsia="Arial" w:hAnsi="Arial"/>
                <w:sz w:val="14"/>
                <w:szCs w:val="14"/>
                <w:color w:val="auto"/>
              </w:rPr>
              <w:t>and Operations Officer</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Ralph E. Hardy(9)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$ 152,731</w:t>
            </w:r>
          </w:p>
        </w:tc>
        <w:tc>
          <w:tcPr>
            <w:tcW w:w="178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$ 109,725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4,873(10)</w:t>
            </w:r>
          </w:p>
        </w:tc>
        <w:tc>
          <w:tcPr>
            <w:tcW w:w="1040" w:type="dxa"/>
            <w:vAlign w:val="bottom"/>
            <w:gridSpan w:val="2"/>
          </w:tcPr>
          <w:p>
            <w:pPr>
              <w:jc w:val="right"/>
              <w:ind w:right="597"/>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440"/>
              <w:spacing w:after="0" w:line="149" w:lineRule="exact"/>
              <w:rPr>
                <w:sz w:val="20"/>
                <w:szCs w:val="20"/>
                <w:color w:val="auto"/>
              </w:rPr>
            </w:pPr>
            <w:r>
              <w:rPr>
                <w:rFonts w:ascii="Arial" w:cs="Arial" w:eastAsia="Arial" w:hAnsi="Arial"/>
                <w:sz w:val="14"/>
                <w:szCs w:val="14"/>
                <w:color w:val="auto"/>
              </w:rPr>
              <w:t>Executive Vice President and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440"/>
              <w:spacing w:after="0"/>
              <w:rPr>
                <w:sz w:val="20"/>
                <w:szCs w:val="20"/>
                <w:color w:val="auto"/>
              </w:rPr>
            </w:pPr>
            <w:r>
              <w:rPr>
                <w:rFonts w:ascii="Arial" w:cs="Arial" w:eastAsia="Arial" w:hAnsi="Arial"/>
                <w:sz w:val="14"/>
                <w:szCs w:val="14"/>
                <w:color w:val="auto"/>
              </w:rPr>
              <w:t>General Counsel</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David J. Giesler(11)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$ 152,654</w:t>
            </w:r>
          </w:p>
        </w:tc>
        <w:tc>
          <w:tcPr>
            <w:tcW w:w="178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$ 100,371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4,376(12)</w:t>
            </w:r>
          </w:p>
        </w:tc>
        <w:tc>
          <w:tcPr>
            <w:tcW w:w="1040" w:type="dxa"/>
            <w:vAlign w:val="bottom"/>
            <w:gridSpan w:val="2"/>
          </w:tcPr>
          <w:p>
            <w:pPr>
              <w:jc w:val="right"/>
              <w:ind w:right="597"/>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tcPr>
          <w:p>
            <w:pPr>
              <w:ind w:left="440"/>
              <w:spacing w:after="0"/>
              <w:rPr>
                <w:sz w:val="20"/>
                <w:szCs w:val="20"/>
                <w:color w:val="auto"/>
              </w:rPr>
            </w:pPr>
            <w:r>
              <w:rPr>
                <w:rFonts w:ascii="Arial" w:cs="Arial" w:eastAsia="Arial" w:hAnsi="Arial"/>
                <w:sz w:val="14"/>
                <w:szCs w:val="14"/>
                <w:color w:val="auto"/>
              </w:rPr>
              <w:t>Former Executive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40"/>
        <w:spacing w:after="0" w:line="221" w:lineRule="auto"/>
        <w:rPr>
          <w:sz w:val="20"/>
          <w:szCs w:val="20"/>
          <w:color w:val="auto"/>
        </w:rPr>
      </w:pPr>
      <w:r>
        <w:rPr>
          <w:rFonts w:ascii="Arial" w:cs="Arial" w:eastAsia="Arial" w:hAnsi="Arial"/>
          <w:sz w:val="14"/>
          <w:szCs w:val="14"/>
          <w:color w:val="auto"/>
        </w:rPr>
        <w:t>Vice President and</w:t>
      </w:r>
    </w:p>
    <w:p>
      <w:pPr>
        <w:ind w:left="44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037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1" w:lineRule="exact"/>
        <w:rPr>
          <w:sz w:val="20"/>
          <w:szCs w:val="20"/>
          <w:color w:val="auto"/>
        </w:rPr>
      </w:pPr>
    </w:p>
    <w:p>
      <w:pPr>
        <w:ind w:left="440" w:hanging="421"/>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Bonus amounts represent amounts paid in the following fiscal year for bonuses earned in the entire prior fiscal year.</w:t>
      </w:r>
    </w:p>
    <w:p>
      <w:pPr>
        <w:spacing w:after="0" w:line="15" w:lineRule="exact"/>
        <w:rPr>
          <w:rFonts w:ascii="Arial" w:cs="Arial" w:eastAsia="Arial" w:hAnsi="Arial"/>
          <w:sz w:val="18"/>
          <w:szCs w:val="18"/>
          <w:color w:val="auto"/>
        </w:rPr>
      </w:pPr>
    </w:p>
    <w:p>
      <w:pPr>
        <w:ind w:left="440" w:right="160" w:hanging="421"/>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Hall became NCM LLC’s President and Chief Executive Officer on May 25, 2005. Salary includes $90,631 paid by RCM during pay periods covered by a Transition Services Agreement between NCM LLC and RCM.</w:t>
      </w:r>
    </w:p>
    <w:p>
      <w:pPr>
        <w:ind w:left="440" w:right="80" w:hanging="421"/>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employer 401(k) contributions ($5,600), group term life insurance imputed income ($739), long-term disability imputed income ($386) and short-term disability imputed income ($533).</w:t>
      </w:r>
    </w:p>
    <w:p>
      <w:pPr>
        <w:ind w:left="440" w:right="540" w:hanging="421"/>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Marks became NCM LLC’s President of Sales and Chief Marketing Officer on May 25, 2005. Salary includes $78,769 paid by RCM during pay periods covered by a Transition Services Agreement between NCM LLC and RCM.</w:t>
      </w:r>
    </w:p>
    <w:p>
      <w:pPr>
        <w:ind w:left="440" w:right="80" w:hanging="421"/>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employer 401(k) contributions ($5,007), group term life insurance imputed income ($426), long-term disability imputed income ($386) and short-term disability imputed income ($533).</w:t>
      </w:r>
    </w:p>
    <w:p>
      <w:pPr>
        <w:ind w:left="440" w:hanging="421"/>
        <w:spacing w:after="0"/>
        <w:tabs>
          <w:tab w:leader="none" w:pos="4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Ferrera became NCM LLC’s Executive Vice President and Chief Financial Officer on May 1, 2006. His annual salary in 2006 will be $275,000.</w:t>
      </w:r>
    </w:p>
    <w:p>
      <w:pPr>
        <w:spacing w:after="0" w:line="32" w:lineRule="exact"/>
        <w:rPr>
          <w:rFonts w:ascii="Arial" w:cs="Arial" w:eastAsia="Arial" w:hAnsi="Arial"/>
          <w:sz w:val="16"/>
          <w:szCs w:val="16"/>
          <w:color w:val="auto"/>
        </w:rPr>
      </w:pPr>
    </w:p>
    <w:p>
      <w:pPr>
        <w:ind w:left="440" w:right="40" w:hanging="421"/>
        <w:spacing w:after="0" w:line="250"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Galley became NCM LLC’s Executive Vice President and Chief Technology and Operations Officer on May 25, 2005. Salary includes $39,615 paid by RCM during pay periods covered by a Transition Services Agreement between NCM LLC and RCM.</w:t>
      </w:r>
    </w:p>
    <w:p>
      <w:pPr>
        <w:ind w:left="440" w:right="80" w:hanging="421"/>
        <w:spacing w:after="0" w:line="261"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employer 401(k) contributions ($4,788), group term life insurance imputed income ($505), long-term disability imputed income ($386) and short-term disability imputed income ($533).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20" w:hanging="421"/>
        <w:spacing w:after="0" w:line="254"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Hardy became NCM LLC’s Executive Vice President and General Counsel on May 25, 2005. Salary includes $32,154 paid by RCM during pay periods covered by a Transition Services Agreement between NCM LLC and RCM.</w:t>
      </w:r>
    </w:p>
    <w:p>
      <w:pPr>
        <w:ind w:left="520" w:hanging="507"/>
        <w:spacing w:after="0" w:line="250"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employer 401(k) contributions ($3,627), group term life insurance imputed income ($321), long-term disability imputed income ($336) and short-term disability imputed income ($589).</w:t>
      </w:r>
    </w:p>
    <w:p>
      <w:pPr>
        <w:jc w:val="both"/>
        <w:ind w:left="520" w:right="120" w:hanging="501"/>
        <w:spacing w:after="0" w:line="250"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Mr. Giesler resigned as NCM LLC’s Executive Vice President and Chief Financial Officer effective April 30, 2006 and resigned as an employee of NCM LLC on September 20, 2006. Salary includes $31,500 paid by RCM during pay periods covered by a Transition Services Agreement between NCM LLC and RCM.</w:t>
      </w:r>
    </w:p>
    <w:p>
      <w:pPr>
        <w:spacing w:after="0" w:line="1" w:lineRule="exact"/>
        <w:rPr>
          <w:rFonts w:ascii="Arial" w:cs="Arial" w:eastAsia="Arial" w:hAnsi="Arial"/>
          <w:sz w:val="18"/>
          <w:szCs w:val="18"/>
          <w:color w:val="auto"/>
        </w:rPr>
      </w:pPr>
    </w:p>
    <w:p>
      <w:pPr>
        <w:ind w:left="520" w:hanging="507"/>
        <w:spacing w:after="0" w:line="261"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employer 401(k) contributions ($3,295), group term life insurance imputed income ($210), long-term disability imputed income ($338) and short-term disability imputed income ($533).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Grants in Last Fiscal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NCM LLC did not grant any options to our named executive officers during the nine months ended December 29, 2005.</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Aggregated Option Exercises in Last Fiscal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named executive officers exercised any stock options during the nine months ended December 29,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Other Agreements</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b w:val="1"/>
          <w:bCs w:val="1"/>
          <w:i w:val="1"/>
          <w:iCs w:val="1"/>
          <w:color w:val="auto"/>
        </w:rPr>
        <w:t xml:space="preserve">Kurt C. Hall. </w:t>
      </w:r>
      <w:r>
        <w:rPr>
          <w:rFonts w:ascii="Arial" w:cs="Arial" w:eastAsia="Arial" w:hAnsi="Arial"/>
          <w:sz w:val="16"/>
          <w:szCs w:val="16"/>
          <w:color w:val="auto"/>
        </w:rPr>
        <w:t>On May 25, 2005, NCM LLC entered into an employment agreement with Kurt C. Hall to serve as President,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of NCM LLC, for a term of three years. On each May 25, beginning in 2006, one year will be added to the term of the agreement. The agreement provides that Mr. Hall be paid a base salary at the rate of $625,000 per year, subject to annual increases at the discretion of the compensation committee. In addition to base salary, Mr. Hall is eligible to receive an annual cash target bonus of at least 100% of his base salary and an additional stretch bonus of at least 50% of his base salary upon attainment of performance goals determined by the compensation committee. Mr. Hall will also be reimbursed for reasonable out-of-pocket expenses. If Mr. Hall is terminated from NCM LLC, for reasons other than permanent disability, death or cause, Mr. Hall will be entitled to severance equal to two times his base salary paid over 24 months and a prorated portion of any bonus he would have received in the fiscal year in which his termination occurs. Mr. Hall would also be entitled to continued coverage under any employee medical, health and life insurance plans for a 24-month period. If Mr. Hall resigns from NCM LLC with good reason, as defined in the agreement, he will be entitled to severance equal to two times his base salary and one times his target bonus payable in a lump sum, and a prorated portion of any bonus he would have received in the fiscal year in which his resignation occurs. Mr. Hall would also be entitled to continued coverage under any employee medical, health and life insurance plans for a 24-month period. If, within three months before or one year after a change of control, as defined in the agreement, Mr. Hall resigns for good reason or is terminated for reasons other than permanent disability, death or cause, Mr. Hall would be entitled to two and one half times his base salary and two times his target bonus payable in a lump sum. Mr. Hall would also be entitled to a prorated portion of any bonus he would have received in the fiscal year in which the termination occurs, and would also be entitled to continued coverage under any employee medical, health and life insurance plans for a 30-month period. Under the agreement, during his employment and for 12 months thereafter, Mr. Hall, subject to certain limitations, has agreed not to compete with NCM LLC or any of its affiliates or subsidiaries or solicit anyone who was employed by these entities. Under the agreement, Mr. Hall has also agreed not to divulge or disclose confidential information of NCM LLC or its affiliates or subsidiaries except while employed by NCM LLC, in the business of and for the benefit of NCM LLC, or as required by law.</w:t>
      </w:r>
    </w:p>
    <w:p>
      <w:pPr>
        <w:spacing w:after="0" w:line="13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Clifford E. Marks. </w:t>
      </w:r>
      <w:r>
        <w:rPr>
          <w:rFonts w:ascii="Arial" w:cs="Arial" w:eastAsia="Arial" w:hAnsi="Arial"/>
          <w:sz w:val="18"/>
          <w:szCs w:val="18"/>
          <w:color w:val="auto"/>
        </w:rPr>
        <w:t>NCM LLC entered into a first amended and restated employment agreement with Mr. Marks effective as of October 1, 2006.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has a term of 24 months. On the last day of the term, 24 months will be added to the termination date of the agreement. Under the agreement, Mr. Marks is paid a base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salary at the rate of $675,000 per year with increases of 1% annually assuming an initial public offering occurs. In addition to base salary, Mr. Marks is eligible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an annual cash bonus equal to 25% of his base salary upon attainment of certain performance goals as determined by the chief executive officer and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annual cash bonus up to 80% of his base salary based upon attainment of certain sales targets as determined by the chief executive officer.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of the board will review Mr. Marks’ bonus structure and may adjust the bonus structure in its sole discretion. If Mr. Marks is terminated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NCM LLC, for reasons other than disability, death or cause, as defined in the agreement, or if Mr. Marks resigns for good reason,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 Mr. Marks will be entitled to severance equal the greater of his base salary paid over the remaining existing term of the 24 month contract and a bonus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equal to the last bonus paid per month applied against the remaining contract period or one year of base salary plus 100% of the bonus amount paid for the last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full year of employment. Mr. Marks would also be entitled to continued coverage under any employee benefit plans until the date he receives equivalent coverage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but not longer than the period for which his base salary is paid after termination. Under the agreement, during his employment and for 12 months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Marks has agreed not to compete with NCM LLC, its affiliates or subsidiaries, or solicit anyone who is an employee, officer or agent of these entities.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Mr. Marks has also agreed not to divulge or disclose customer lists or trade secrets of NCM LLC or its affiliates or subsidiaries except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course of carrying out his duties under the agreement or as required by law.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Gary W. Ferrera. </w:t>
      </w:r>
      <w:r>
        <w:rPr>
          <w:rFonts w:ascii="Arial" w:cs="Arial" w:eastAsia="Arial" w:hAnsi="Arial"/>
          <w:sz w:val="16"/>
          <w:szCs w:val="16"/>
          <w:color w:val="auto"/>
        </w:rPr>
        <w:t>On April 17, 2006, NCM LLC entered into an employment agreement with Gary W. Ferrera to serve as Executive Vice President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of NCM LLC, for a term of 12 months commencing on May 1, 2006. On the last day of the term, 12 months will be added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termination date. The agreement provides that Mr. Ferrera be paid a base salary of $275,000 per year, increasing to $300,000 per year as of January 1, 2007 and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subject to further annual increases at the discretion of the compensation committee. In addition to base salary, Mr. Ferrera is eligible to receive an annual bonus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up to 75% of his base salary upon attainment of certain objective financial and subjective non-financial goals as determined by the chief executive officer.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Ferrera is terminated from NCM LLC, for reasons other than disability, death or cause, as defined in the agreement, or if Mr. Ferrera resigns for good reason,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defined in the agreement, Mr. Ferrera will be entitled to severance equal to his base salary paid over 12 months and any annual bonuses awarded but not yet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Mr. Ferrera would also be entitled to continued coverage under any employee medical, health and life insurance plans for a 12-month period,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economic equivalent of such coverage. Under the agreement, during his employment and for 12 months thereafter, Mr. Ferrera has agreed not to compete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NCM LLC or any of its affiliates or subsidiaries, or solicit any of the employees, officers or agents of these entities. Under the agreement, Mr. Ferrera has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not to divulge or disclose customer lists or trade secrets of NCM LLC or its affiliates or subsidiaries except in the course of carrying out his duties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or as required by law.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Thomas C. Galley. </w:t>
      </w:r>
      <w:r>
        <w:rPr>
          <w:rFonts w:ascii="Arial" w:cs="Arial" w:eastAsia="Arial" w:hAnsi="Arial"/>
          <w:sz w:val="16"/>
          <w:szCs w:val="16"/>
          <w:color w:val="auto"/>
        </w:rPr>
        <w:t>On May 25, 2005, NCM LLC entered into an employment agreement with Thomas C. Galley to serve as the Executive Vice President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Chief Technology and Operations Officer of NCM LLC, for a term of 18 months. On the last day of the term, 18 months will be added to the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The agreement provides that Mr. Galley be paid a base salary at the rate of $257,500 per year, increasing to $325,000 per year as of July 6, 2005,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$375,000 beginning on January 4, 2006. In addition to base salary, Mr. Galley is eligible to receive an annual cash bonus of up to 75% of his base salary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attainment of certain objective financial and subjective non-financial goals as determined by the chief executive officer. If Mr. Galley is terminated from NCM</w:t>
      </w:r>
    </w:p>
    <w:p>
      <w:pPr>
        <w:spacing w:after="0" w:line="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LLC, for reasons other than disability, death or cause, as defined in the agreement, or if Mr. Galley resigns for good reason, as defined in the agreement, Mr. Galley will be entitled to severance equal to one and a half times his base salary paid over 18 months and any annual bonuses awarded but not yet paid. Mr. Galley would also be entitled to continued coverage under any employee medical, health and life insurance plans for an 18-month period, or the economic equivalent of such coverage. Under the agreement, during his employment and for 12 months thereafter, Mr. Galley has agreed not to compete with NCM LLC or any of its affiliates or subsidiaries, or solicit any of the employees, officers or agents of these entities. Under this agreement, Mr. Galley has also agreed not to divulge or disclose customer lists or trade secrets of NCM LLC or its affiliates or subsidiaries except in the course of carrying out his duties under the agreement or as required by law.</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Ralph E. Hardy. </w:t>
      </w:r>
      <w:r>
        <w:rPr>
          <w:rFonts w:ascii="Arial" w:cs="Arial" w:eastAsia="Arial" w:hAnsi="Arial"/>
          <w:sz w:val="16"/>
          <w:szCs w:val="16"/>
          <w:color w:val="auto"/>
        </w:rPr>
        <w:t>On May 25, 2005, NCM LLC entered into an employment agreement with Ralph E. Hardy to serve as the Executive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NCM LLC. The term of employment terminates on each December 31, but will be considered automatically renewed unless notice of termination is given by either party. The agreement provides that Mr. Hardy be paid a base salary at the rate of $210,000 per year, subject to annual review by the board. In addition to base salary, Mr. Hardy is eligible to receive an annual bonus as determined by the board. If Mr. Hardy is terminated from NCM LLC, for reasons other than disability, death or cause, as defined in the agreement, or if Mr. Hardy resigns for good reason, as defined in the agreement, Mr. Hardy will be entitled to severance equal to his base salary paid over 12 months and any annual bonuses awarded but not yet paid. Mr. Hardy would also be entitled to continued coverage under any employee medical, health and life insurance plans for a 12-month period, or the economic equivalent of such coverage. Under the agreement, during his employment and for so long as he is entitled to receive any benefits or payment under the agreement (but in no event less than 12 months), Mr. Hardy has agreed not to compete with NCM LLC or any of its affiliates or subsidiaries, or solicit any of the employees, officers or agents of these entities. Under the agreement, Mr. Hardy has also agreed not to divulge or disclose customer lists or trade secrets of NCM LLC or its affiliates or subsidiaries except in the course of carrying out his duties under the agreement or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the completion of this offering, we plan to adopt a new equity incentive plan, the National CineMedia Inc. 2006 Equity Incentive Plan, which we refer to as the “equity incentive plan.” The equity incentive plan will assist us in attracting, motivating, rewarding and retaining employees, directors and consultants, and promoting the creation of long-term value for our stockholders by aligning the interests of these individuals with those of our stockholders. We anticipate that the equity incentive plan will provide for the grant of options, stock appreciation rights, restricted stock, restricted stock units, and other equity-based and cash incentive awards to directors, officers, employees, consultants and other individuals (including advisory board members) who perform services for us or for our affiliates.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use all proceeds received by us upon the exercise of options under the equity incentive plan to acquire NCM LLC common membership units at a price per unit equal to the exercise price of such option.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Reserve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number of shares of our common stock that we plan to make available for issuance or delivery under the equity incentive plan will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subject to adjustment in the event of any stock dividend or split, reorganization, recapitalization, merger, share exchange or any other similar corporate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event. For purposes of determining the number of shares remaining available for issuance under the equity incentive plan, to the extent that an award expires or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canceled, forfeited, settled in cash or otherwise terminated without delivery to the participant of the full number of shares to which the award related,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undelivered shares will again be available for grant. Shares withheld in payment of the exercise price or taxes relating to an award and shares equal to the number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surrendered in payment of any exercise price or taxes relating to an award will be deemed to constitute shares not delivered to the participant and will be deemed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again be available for awards under the plan. Shares issued under the equity incentive plan may be authorized and unissued shares or treasury shares.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anticipate that the maximum number of shares that may be covered by an award granted under the equity incentive plan to any single participant in any</w:t>
      </w:r>
    </w:p>
    <w:p>
      <w:pPr>
        <w:spacing w:after="0" w:line="50" w:lineRule="exact"/>
        <w:rPr>
          <w:sz w:val="20"/>
          <w:szCs w:val="20"/>
          <w:color w:val="auto"/>
        </w:rPr>
      </w:pPr>
    </w:p>
    <w:p>
      <w:pPr>
        <w:spacing w:after="0"/>
        <w:tabs>
          <w:tab w:leader="none" w:pos="2620" w:val="left"/>
          <w:tab w:leader="none" w:pos="11060" w:val="left"/>
        </w:tabs>
        <w:rPr>
          <w:sz w:val="20"/>
          <w:szCs w:val="20"/>
          <w:color w:val="auto"/>
        </w:rPr>
      </w:pPr>
      <w:r>
        <w:rPr>
          <w:rFonts w:ascii="Arial" w:cs="Arial" w:eastAsia="Arial" w:hAnsi="Arial"/>
          <w:sz w:val="18"/>
          <w:szCs w:val="18"/>
          <w:color w:val="auto"/>
        </w:rPr>
        <w:t>calendar year will not exceed</w:t>
      </w:r>
      <w:r>
        <w:rPr>
          <w:sz w:val="20"/>
          <w:szCs w:val="20"/>
          <w:color w:val="auto"/>
        </w:rPr>
        <w:tab/>
      </w:r>
      <w:r>
        <w:rPr>
          <w:rFonts w:ascii="Arial" w:cs="Arial" w:eastAsia="Arial" w:hAnsi="Arial"/>
          <w:sz w:val="16"/>
          <w:szCs w:val="16"/>
          <w:color w:val="auto"/>
        </w:rPr>
        <w:t>. The maximum dollar amount that may be awarded to a single participant in any calendar year will not exceed $</w:t>
      </w:r>
      <w:r>
        <w:rPr>
          <w:sz w:val="20"/>
          <w:szCs w:val="20"/>
          <w:color w:val="auto"/>
        </w:rPr>
        <w:tab/>
      </w:r>
      <w:r>
        <w:rPr>
          <w:rFonts w:ascii="Arial" w:cs="Arial" w:eastAsia="Arial" w:hAnsi="Arial"/>
          <w:sz w:val="14"/>
          <w:szCs w:val="14"/>
          <w:color w:val="auto"/>
        </w:rPr>
        <w: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NCM LLC Options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completion of this offering, options previously granted by NCM LLC to its employees under the National CineMedia, LLC 2006 Unit Option Plan that remain outstanding as of the date of the completion of the offering will be substituted with options granted under this equity incentive plan.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addition, the NCM LLC plan provides that under certain conditions, option holders will receive an additional equity award of options or restricted units at the time of an initial public offering, which we refer to as the “IPO awards.” We expect to issue options to purchase shares of our common stock under this equity incentive plan in substitution for options previously granted under the National CineMedia, LLC 2006 Unit Option Plan. See “—Substitution of NCM LLC Options” below for additional information.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Generally, the compensation committee, or the committee, will administer the equity incentive plan and will designate those persons who will be granted awards and the amount, type and other terms and conditions of the awards. The committee will have full authority to administer the equity incentive plan, including the authority to interpret and construe any provision in the plan and the terms of any award agreement and to adopt such rules and regulations for administering the plan that it may deem necessary or appropriate. Pursuant to this authority, on or after the date of grant of an award, the committee may:</w:t>
      </w:r>
    </w:p>
    <w:p>
      <w:pPr>
        <w:spacing w:after="0" w:line="32" w:lineRule="exact"/>
        <w:rPr>
          <w:sz w:val="20"/>
          <w:szCs w:val="20"/>
          <w:color w:val="auto"/>
        </w:rPr>
      </w:pPr>
    </w:p>
    <w:p>
      <w:pPr>
        <w:ind w:left="780" w:hanging="24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accelerate the date on which the award becomes vested, exercisable or transferable;</w:t>
      </w:r>
    </w:p>
    <w:p>
      <w:pPr>
        <w:spacing w:after="0" w:line="90" w:lineRule="exact"/>
        <w:rPr>
          <w:rFonts w:ascii="Arial" w:cs="Arial" w:eastAsia="Arial" w:hAnsi="Arial"/>
          <w:sz w:val="18"/>
          <w:szCs w:val="18"/>
          <w:color w:val="auto"/>
        </w:rPr>
      </w:pPr>
    </w:p>
    <w:p>
      <w:pPr>
        <w:ind w:left="780" w:right="560" w:hanging="249"/>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extend the term of any award, including, without limitation, extending the period following termination of a participant’s service with us or our affiliates during which the incentive award may remain outstanding;</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waive any conditions to the vesting, exercisability or transferability of an award; or</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for the payment of dividends or dividend equivalents with respect to an award.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Features of Incentive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the significant terms we expect to apply to each type of award issued under the equity incentive plan: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Options and Stock Appreciation Rights</w:t>
      </w:r>
      <w:r>
        <w:rPr>
          <w:rFonts w:ascii="Arial" w:cs="Arial" w:eastAsia="Arial" w:hAnsi="Arial"/>
          <w:sz w:val="16"/>
          <w:szCs w:val="16"/>
          <w:color w:val="auto"/>
        </w:rPr>
        <w:t>. Each option will entitle the holder to purchase a specified number of shares at a specified exercise price. Each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agreement will specify whether the option is an “incentive stock option” or “ISO” (within the meaning of Section 422 of the Internal Revenue Code of 1986, as amended, or the Code) or a nonqualified stock option. Each stock appreciation right will entitle the holder to receive, upon exercise, the excess of the fair market value of a share at the time of exercise over the base price of the stock appreciation right multiplied by the specified number of shares to which the stock appreciation right is being exercised. The exercise or base price of each option and stock appreciation right will be at least 100% of the fair market value of a share on the date the award is granted. The term of any option or stock appreciation right will not exceed ten years and the option or stock appreciation right will vest over a period determined by the committee. Each option or stock appreciation right agreement will specify the consequences to the award with respect to a termination of service with us and our affiliates.</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Restricted Stock and Restricted Stock Units. </w:t>
      </w:r>
      <w:r>
        <w:rPr>
          <w:rFonts w:ascii="Arial" w:cs="Arial" w:eastAsia="Arial" w:hAnsi="Arial"/>
          <w:sz w:val="16"/>
          <w:szCs w:val="16"/>
          <w:color w:val="auto"/>
        </w:rPr>
        <w:t>The committee may grant a restricted stock award, which is a grant of actual shares subject to a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and restrictions on transfer. The committee may also grant an award of restricted stock units, a contractual commitment to deliver shares at a future date. The terms and conditions of any restricted stock award or award of restricted stock units will be determined by the committee.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Other Equity-Based Awards. </w:t>
      </w:r>
      <w:r>
        <w:rPr>
          <w:rFonts w:ascii="Arial" w:cs="Arial" w:eastAsia="Arial" w:hAnsi="Arial"/>
          <w:sz w:val="18"/>
          <w:szCs w:val="18"/>
          <w:color w:val="auto"/>
        </w:rPr>
        <w:t>The committee may grant other types of equity-based awards in such amounts and subject to such terms and conditions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determines. Each such award may, among other things, (i) involve the transfer of actual shares, either at the time of grant or thereafter, or payment in cash of amounts based on the value of shares; (ii) be subject to performance-based and/or service-based conditions; and (iii) be in the form of phantom stock, performance shares, deferred share units or other full value stock awards.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committee may grant awards that are intended to qualify as performance-based compensation under Section 162(m) of the Code. The performance goals upon which the payment or vesting of any award that is intended to qualify as performance-based compensation may relate to one or more specified performance measures: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Performance periods may not be less than one fiscal year of NCM Inc. and may be overlapping periods. The committee will establish (i) performance goals for each performance period; (ii) target awards for each participant; and (iii) an objective method for determining the applicable performance percentage to be applied to each target award.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Withholding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plan will provide that participants may elect to satisfy certain federal income tax withholding requirements by remitting to us cash or, subject to certain conditions, shares or by instructing us to withhold shares payable to the participant.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may amend, suspend, discontinue, or terminate the equity incentive plan or the committee’s authority to grant awards under the equity incentive plan in any respect, except that, to the extent that any applicable law, regulation or rule of a stock exchange requires stockholder approval for any revision or amendment to be effective, the revision or amendment will not be effective without stockholder approval. We will not make any grants under the equity incentive plan following the tenth anniversary of the date the plan becomes effective, but awards outstanding at that time will continue in accordance with their terms.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intended only as a brief summary of the material U.S. federal income tax consequences of the equity incentive plan. The tax consequences to a participant will generally depend upon the type of award issued to the participant. In general, if a participant recognizes ordinary income in connection with the grant, vesting or exercise of an award, we will be entitled to a corresponding deduction equal to the amount of the income recognized by the participant. This summary does not address the effects of other federal taxes (including possible “golden parachute” excise taxes) or taxes imposed under state, local or foreign tax laws.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Options and Stock Appreciation Rights. </w:t>
      </w:r>
      <w:r>
        <w:rPr>
          <w:rFonts w:ascii="Arial" w:cs="Arial" w:eastAsia="Arial" w:hAnsi="Arial"/>
          <w:sz w:val="16"/>
          <w:szCs w:val="16"/>
          <w:color w:val="auto"/>
        </w:rPr>
        <w:t>In general, a participant does not have taxable income upon the grant of an option or a stock appreciation right.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recognize ordinary income upon exercise of a nonqualified stock option equal to the excess of the fair market value of shares acquired on exercise over the aggregate option price for the shares. Upon exercising a stock appreciation right, the participant will recognize ordinary income equal to the cash or fair market value of the shares received. A participant will not recognize ordinary income upon exercise of an ISO, except that the alternative minimum tax may apply. If a participant disposes of shares acquired upon exercise of an ISO before the end of the applicable holding periods, the participant will recognize ordinary income. Otherwise, a sale of shares acquired by exercise of an option or a stock appreciation right generally will result in short-term or long-term capital gain or loss measured by the difference between the sale price and the participant’s tax basis in the shares. We normally can claim a tax deduction equal to the amount recognized as ordinary income by a participant in connection with an option or stock appreciation right, but no tax deduction relating to a participant’s capital gains. We will not be entitled to any tax deduction with respect to an ISO if the participant holds the shares for the applicable ISO holding periods before selling or transferring the shares.</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Restricted Stock, Restricted Stock Units and Other Equity-Based Awards. </w:t>
      </w:r>
      <w:r>
        <w:rPr>
          <w:rFonts w:ascii="Arial" w:cs="Arial" w:eastAsia="Arial" w:hAnsi="Arial"/>
          <w:sz w:val="18"/>
          <w:szCs w:val="18"/>
          <w:color w:val="auto"/>
        </w:rPr>
        <w:t>If an award is subject to a restriction on transferability and a substantial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(for example, restricted stock), the participant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generally must recognize ordinary income equal to the fair market value of the transferred amounts at the earliest time either the transferability restriction or risk of forfeiture lapses. If an award has no restriction on transferability or is not subject to a substantial risk of forfeiture, the participant generally must recognize ordinary income equal to the cash or the fair market value of shares received. We can ordinarily claim a tax deduction in an amount equal to the ordinary income recognized by the participant, except as discussed below regarding Section 162(m). A participant may irrevocably elect to accelerate the taxable income to the time of grant of restricted stock rather than upon lapse of restrictions on transferability or the risk of forfeiture (Section 83(b) election).</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Section 409A of the Code imposes election, payment and funding requirements on “nonqualified deferred compensation” plans. If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arrangement subject to Section 409A of the Code fails to meet, or is not operated in accordance with, the requirements of Section 409A, then compensation deferred under the arrangement may become immediately taxable and subject to a 20% additional tax. Certain awards that may be issued under the plan may constitute a “deferral of compensation” subject to the requirements of Section 409A of the Code.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Compensation that qualifies as “performance-based” compensation is excluded from the $1 million deduction limitation of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Code. Under the equity incentive plan, options and stock appreciation rights granted with an exercise price at least equal to 100% of the fair market value of the underlying shares on the date of grant and certain other awards that are conditioned upon achievement of performance goals are intended to qualify as “performance-based” compensation. A number of requirements must be met in order for particular compensation to qualify, and we cannot assure you that compensation under the equity incentive plan will be fully deductible by us under all circumstances.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Substitution of NCM LLC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NCM LLC has issued to employees of NCM LLC, options to purchase common membership units of NCM LLC. In connection with the completion of this</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offering, approximately employees of NCM LLC will be offered employment by and (if they accept the offers) become employed by NCM Inc. Following the Reorganization, we anticipate that NCM Inc. will own % of the voting power of all outstanding membership units of NCM LLC. As a result, we</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anticipate that NCM Inc. will be considered an employer corporation with respect to employees of NCM Inc. and a related corporation with respect to employees of NCM LLC, both within the meaning of Section 424 of the Code. Upon completion of this offering, we anticipate issuing options to holders of outstanding options of NCM LLC in substitution of the NCM LLC options under the following terms and conditions:</w:t>
      </w:r>
    </w:p>
    <w:p>
      <w:pPr>
        <w:spacing w:after="0" w:line="63" w:lineRule="exact"/>
        <w:rPr>
          <w:sz w:val="20"/>
          <w:szCs w:val="20"/>
          <w:color w:val="auto"/>
        </w:rPr>
      </w:pPr>
    </w:p>
    <w:p>
      <w:pPr>
        <w:ind w:left="780" w:hanging="24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option holder’s rights with respect to the NCM LLC option will be cancelled;</w:t>
      </w:r>
    </w:p>
    <w:p>
      <w:pPr>
        <w:spacing w:after="0" w:line="90" w:lineRule="exact"/>
        <w:rPr>
          <w:rFonts w:ascii="Arial" w:cs="Arial" w:eastAsia="Arial" w:hAnsi="Arial"/>
          <w:sz w:val="18"/>
          <w:szCs w:val="18"/>
          <w:color w:val="auto"/>
        </w:rPr>
      </w:pPr>
    </w:p>
    <w:p>
      <w:pPr>
        <w:ind w:left="780" w:right="460" w:hanging="249"/>
        <w:spacing w:after="0" w:line="259"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excess of the aggregate fair market value of the shares subject to each NCM Inc. option immediately after the substitution over the aggregate option price for the shares (the “spread”) will not exceed the spread with respect to each NCM LLC option determined immediately before the substitution (the “spread test”); and</w:t>
      </w:r>
    </w:p>
    <w:p>
      <w:pPr>
        <w:spacing w:after="0" w:line="59" w:lineRule="exact"/>
        <w:rPr>
          <w:rFonts w:ascii="Arial" w:cs="Arial" w:eastAsia="Arial" w:hAnsi="Arial"/>
          <w:sz w:val="18"/>
          <w:szCs w:val="18"/>
          <w:color w:val="auto"/>
        </w:rPr>
      </w:pPr>
    </w:p>
    <w:p>
      <w:pPr>
        <w:ind w:left="780" w:hanging="249"/>
        <w:spacing w:after="0" w:line="259"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a share by share comparison, the ratio of the option price to the fair market value of the NCM Inc. shares subject to the option immediately after the substitution will not be more favorable to the option holder than the ratio of the option price to the fair market value of NCM LLC units before the substitution (the “ratio test”).</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will enter into an option substitution agreement with each NCM LLC option holder that sets forth the terms and conditions related to the substitution of the option.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permitted by the Delaware General Corporation Law, or DGCL, we have adopted provisions in our certificate of incorporation that limit or eliminate the personal liability of our directors and officers for monetary damages for a breach of their fiduciary duty of care as a director or officer. The duty of care generally requires that, when acting on behalf of the corporation, directors and officers exercise an informed business judgment based on all material information reasonably available to them. Consequently, a director or officer will not be personally liable to us or our stockholders for monetary damages for breach of fiduciary duty as a director or officer, except for liability for:</w:t>
      </w:r>
    </w:p>
    <w:p>
      <w:pPr>
        <w:spacing w:after="0" w:line="62" w:lineRule="exact"/>
        <w:rPr>
          <w:sz w:val="20"/>
          <w:szCs w:val="20"/>
          <w:color w:val="auto"/>
        </w:rPr>
      </w:pPr>
    </w:p>
    <w:p>
      <w:pPr>
        <w:ind w:left="780" w:hanging="24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the person’s duty of loyalty to us or our stockholders;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transaction from which the person derived an improper personal benefit.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limitations of liability do not generally affect the availability of equitable remedies such as injunctive relief or rescission.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permitted by the DGCL, our certificate of incorporation and bylaws provide that:</w:t>
      </w:r>
    </w:p>
    <w:p>
      <w:pPr>
        <w:spacing w:after="0" w:line="90" w:lineRule="exact"/>
        <w:rPr>
          <w:sz w:val="20"/>
          <w:szCs w:val="20"/>
          <w:color w:val="auto"/>
        </w:rPr>
      </w:pPr>
    </w:p>
    <w:p>
      <w:pPr>
        <w:jc w:val="both"/>
        <w:ind w:left="780" w:right="180" w:hanging="249"/>
        <w:spacing w:after="0" w:line="259"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will indemnify our current and former directors and officers and anyone who is or was serving at our request as the director, officer, employee or agent of another entity, and may indemnify our current or former employees and other agents, to the fullest extent permitted by the DGCL, subject to limited exceptions; and</w:t>
      </w:r>
    </w:p>
    <w:p>
      <w:pPr>
        <w:spacing w:after="0" w:line="59" w:lineRule="exact"/>
        <w:rPr>
          <w:rFonts w:ascii="Arial" w:cs="Arial" w:eastAsia="Arial" w:hAnsi="Arial"/>
          <w:sz w:val="18"/>
          <w:szCs w:val="18"/>
          <w:color w:val="auto"/>
        </w:rPr>
      </w:pPr>
    </w:p>
    <w:p>
      <w:pPr>
        <w:ind w:left="780" w:right="480" w:hanging="249"/>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may purchase and maintain insurance on behalf of our current or former directors, officers, employees or agents against any liability asserted against them and incurred by them in any such capacity, or arising out of their status as such.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currently maintain liability insurance for our directors and officers.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certificate of incorporation requires us to advance expenses to our directors and officers in connection with a legal proceeding, subject to receiving an undertaking from such director or officer to repay advanced amounts if it is determined he or she is not entitled to indemnification. Our bylaws provide that we may advance expenses to our employees and other agents, upon such terms and conditions, if any, as we deem appropriate.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enter into separate indemnification agreements with each of our directors and officers, which may be broader than the specific indemnification provisions contained in the DGCL. These indemnification agreements may require us, among other things, to indemnify our directors and officers against liabilities that may arise by reason of their status or service as directors or officers, other than liabilities arising from willful misconduct. 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certificate of incorporation expressly provides that we renounce any interest in business opportunities, or options to participate in such opportunities, that relate to our business and that are presented to our directors, officers (except officers approached in their capacity as an officer of NCM Inc.), and stockholders, both direct and indirect, or members of NCM LLC. Our certificate of incorporation further provides that no such person will be liable for breach of any obligation to present any such business opportunity to us, even if that opportunity is one which we might reasonably have the ability or desire to pursue, unless that opportunity was offered to such person in his or her capacity as our officer.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Third Restated LLC Agreement of NCM LLC, which will become effective upon the completion of this offering and is described in more detail under “Certain Relationships and Related Party Transactions—Transactions with Founding Members—NCM LLC Operating Agreement” below, NCM LLC will indemnify managers, members and officers against liabilities that arise in connection with the business of NCM LLC and any activities of any managers, members and officers involving actions taken on behalf of NCM LLC, provided that the indemnification will not apply to acts of gross negligence or willful misconduct or a breach of any agreement between the indemnitee and us.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Third Restated LLC Agreement also provides that, while no member may have other business interests that compete with NCM LLC, any affiliate of a member or stockholder of NCM Inc. may have other business interests and may engage in any other businesses of any kind, including businesses that compete with our business and purpose.</w:t>
      </w:r>
    </w:p>
    <w:p>
      <w:pPr>
        <w:spacing w:after="0" w:line="140"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Currently, to our knowledge,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officers and controlling persons under the foregoing provisions or otherwise, we have been informed that, in the opinion of the SEC, such indemnification is against public policy as expressed in the Securities Act and is, therefore, unenforceable.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Before the completion of this offering, NCM LLC has been wholly owned by our Founding Members. In connection with the completion of this offering, we will purchase from NCM LLC a number of newly issued common membership units equal to the number of shares sold in the public offering, at a price per</w:t>
      </w:r>
    </w:p>
    <w:p>
      <w:pPr>
        <w:ind w:right="100"/>
        <w:spacing w:after="0" w:line="281" w:lineRule="auto"/>
        <w:rPr>
          <w:sz w:val="20"/>
          <w:szCs w:val="20"/>
          <w:color w:val="auto"/>
        </w:rPr>
      </w:pPr>
      <w:r>
        <w:rPr>
          <w:rFonts w:ascii="Arial" w:cs="Arial" w:eastAsia="Arial" w:hAnsi="Arial"/>
          <w:sz w:val="16"/>
          <w:szCs w:val="16"/>
          <w:color w:val="auto"/>
        </w:rPr>
        <w:t>unit equal to the public offering price per share, less underwriting discounts and commissions. NCM LLC will use of the proceeds it receives from us to compensate our Founding Members for agreeing to modify our payment obligations under our ESAs. Following this acquisition, we will own % of the outstanding common membership units in NCM LLC, and the Founding Members collectively will own % of the outstanding common membership units in</w:t>
      </w:r>
    </w:p>
    <w:p>
      <w:pPr>
        <w:spacing w:after="0" w:line="235" w:lineRule="auto"/>
        <w:rPr>
          <w:sz w:val="20"/>
          <w:szCs w:val="20"/>
          <w:color w:val="auto"/>
        </w:rPr>
      </w:pPr>
      <w:r>
        <w:rPr>
          <w:rFonts w:ascii="Arial" w:cs="Arial" w:eastAsia="Arial" w:hAnsi="Arial"/>
          <w:sz w:val="16"/>
          <w:szCs w:val="16"/>
          <w:color w:val="auto"/>
        </w:rPr>
        <w:t>NCM LLC.</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If the underwriters exercise their over-allotment option to purchase additional shares in full, we will acquire an equivalent number of additional units</w:t>
      </w:r>
    </w:p>
    <w:p>
      <w:pPr>
        <w:spacing w:after="0" w:line="1" w:lineRule="exact"/>
        <w:rPr>
          <w:sz w:val="20"/>
          <w:szCs w:val="20"/>
          <w:color w:val="auto"/>
        </w:rPr>
      </w:pPr>
    </w:p>
    <w:p>
      <w:pPr>
        <w:spacing w:after="0"/>
        <w:tabs>
          <w:tab w:leader="none" w:pos="11060" w:val="left"/>
        </w:tabs>
        <w:rPr>
          <w:sz w:val="20"/>
          <w:szCs w:val="20"/>
          <w:color w:val="auto"/>
        </w:rPr>
      </w:pPr>
      <w:r>
        <w:rPr>
          <w:rFonts w:ascii="Arial" w:cs="Arial" w:eastAsia="Arial" w:hAnsi="Arial"/>
          <w:sz w:val="16"/>
          <w:szCs w:val="16"/>
          <w:color w:val="auto"/>
        </w:rPr>
        <w:t>in NCM LLC promptly after issuing additional shares pursuant to the over-allotment option, and our aggregate ownership of NCM LLC will increase to</w:t>
      </w:r>
      <w:r>
        <w:rPr>
          <w:sz w:val="20"/>
          <w:szCs w:val="20"/>
          <w:color w:val="auto"/>
        </w:rPr>
        <w:tab/>
      </w:r>
      <w:r>
        <w:rPr>
          <w:rFonts w:ascii="Arial" w:cs="Arial" w:eastAsia="Arial" w:hAnsi="Arial"/>
          <w:sz w:val="16"/>
          <w:szCs w:val="16"/>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We will be the sole managing member of NCM LLC.</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intend to enter into several agreements to effect the Reorganization and the Financing Transaction and to define and regulate the relationships among us, NCM LLC and the Founding Members after the completion of the Reorganization and this offering. Except as described in this section, we do not expect to have any material arrangements with NCM LLC, the Founding Members or any of our or their respective directors, officers or other affiliates after the completion of the Reorganization and this offering, other than ordinary course business relationships on arm’s length terms.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summaries of the agreements contained in this prospectus are qualified by reference to the complete text of agreements which have been or will be filed with the SEC as exhibits to the registration statement of which this prospectus is a part. For information on how to obtain copies of these agreements or other exhibits, see “Where You Can Find More Information” on page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 (ESAs)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ESAs to be entered into in connection with the completion of this offering will govern the terms by which NCM LLC provides advertising services, meeting events and digital programming events to the Founding Members. Each Founding Member is party to a separate ESA with NCM LLC. The terms of each Founding Member’s ESA are substantially the same.</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Agreement in Effect Before the Reorganization</w:t>
      </w:r>
      <w:r>
        <w:rPr>
          <w:rFonts w:ascii="Arial" w:cs="Arial" w:eastAsia="Arial" w:hAnsi="Arial"/>
          <w:sz w:val="16"/>
          <w:szCs w:val="16"/>
          <w:color w:val="auto"/>
        </w:rPr>
        <w:t>. Each of the Founding Members is party to an agreement with NCM LLC dated as of July 15, 2005, which</w:t>
      </w:r>
      <w:r>
        <w:rPr>
          <w:rFonts w:ascii="Arial" w:cs="Arial" w:eastAsia="Arial" w:hAnsi="Arial"/>
          <w:sz w:val="16"/>
          <w:szCs w:val="16"/>
          <w:i w:val="1"/>
          <w:iCs w:val="1"/>
          <w:color w:val="auto"/>
        </w:rPr>
        <w:t xml:space="preserve"> </w:t>
      </w:r>
      <w:r>
        <w:rPr>
          <w:rFonts w:ascii="Arial" w:cs="Arial" w:eastAsia="Arial" w:hAnsi="Arial"/>
          <w:sz w:val="16"/>
          <w:szCs w:val="16"/>
          <w:color w:val="auto"/>
        </w:rPr>
        <w:t>governs the provision of advertising, meetings and digital programming events by NCM LLC. In the case of AMC and Regal, these agreements were amended and restated to reflect Cinemark’s new participation as a Founding Member. For the nine months ended December 29, 2005 and the six months ended June 29, 2006, the aggregate amounts payable to Founding Members pursuant to these agreements were approximately $95.8 million and $58.0 million, respectively. In connection with the completion of this offering, we will enter into amended and restated agreements with each Founding Member that will be in effect following the Reorganization, which we refer to as the ESAs.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903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9"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80" w:type="dxa"/>
            <w:vAlign w:val="bottom"/>
            <w:vMerge w:val="restart"/>
          </w:tcPr>
          <w:p>
            <w:pPr>
              <w:ind w:left="30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0"/>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jc w:val="right"/>
              <w:ind w:right="2412"/>
              <w:spacing w:after="0"/>
              <w:rPr>
                <w:sz w:val="20"/>
                <w:szCs w:val="20"/>
                <w:color w:val="auto"/>
              </w:rPr>
            </w:pPr>
            <w:r>
              <w:rPr>
                <w:rFonts w:ascii="Arial" w:cs="Arial" w:eastAsia="Arial" w:hAnsi="Arial"/>
                <w:sz w:val="18"/>
                <w:szCs w:val="18"/>
                <w:color w:val="auto"/>
              </w:rPr>
              <w:t>110</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Agreement in Effect After the Reorganization. </w:t>
      </w:r>
      <w:r>
        <w:rPr>
          <w:rFonts w:ascii="Arial" w:cs="Arial" w:eastAsia="Arial" w:hAnsi="Arial"/>
          <w:sz w:val="18"/>
          <w:szCs w:val="18"/>
          <w:color w:val="auto"/>
        </w:rPr>
        <w:t>Certain basic terms of the ESAs are discussed below:</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u w:val="single" w:color="auto"/>
          <w:color w:val="auto"/>
        </w:rPr>
        <w:t>Services Provided</w:t>
      </w:r>
      <w:r>
        <w:rPr>
          <w:rFonts w:ascii="Arial" w:cs="Arial" w:eastAsia="Arial" w:hAnsi="Arial"/>
          <w:sz w:val="16"/>
          <w:szCs w:val="16"/>
          <w:color w:val="auto"/>
        </w:rPr>
        <w:t>. Pursuant to the ESAs, NCM LLC will be the exclusive provider of advertising services to the Founding Members (subject to pre-existing contractual obligations and other limited exceptions for the benefit of the Founding Members), as well as of meeting events and digital programming events, and the Founding Members agree to participate in such services. Advertising services include on-screen advertising, use of the LEN and lobby promotions. Meeting events involve the hosting of meetings and distribution of digital content. Digital programming events involve the distribution of digital programming events. See “Business—Our Company—In-Theatre Advertising,” “Business—Our Company—CineMeetings” and “Business—Our Company— Digital Programming Events” above for additional discussion of these businesses. The content, promotions, events, meetings and activities that are included within the services provided by NCM LLC are generally referred to herein as the Services.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Term and Termination</w:t>
      </w:r>
      <w:r>
        <w:rPr>
          <w:rFonts w:ascii="Arial" w:cs="Arial" w:eastAsia="Arial" w:hAnsi="Arial"/>
          <w:sz w:val="16"/>
          <w:szCs w:val="16"/>
          <w:color w:val="auto"/>
        </w:rPr>
        <w:t>. The ESAs will have a term of 30 years for advertising and digital programming, and a five-year term for CineMeetings with provisions for automatic renewal if certain financial performance conditions are met. If such financial performance conditions are not met, the Founding Member may elect to extend the term relating to CineMeetings at its sole discretion, provided the CineMeetings business has not had negative EBITDA in two years of the preceding term (in which case, either NCM LLC or the Founding Member may elect not to extend the term). Beginning one year prior to the end of the term of an ESA, NCM LLC will have a five-year right of first refusal to enter into a services agreement for the services provided under the ESA with the applicable Founding Member on terms equivalent to those offered by a third-party. Additionally, the right of first refusal will also apply to a Founding Member’s decision to provide the services covered by the ESA in house.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party may terminate the agreement upon:</w:t>
      </w:r>
    </w:p>
    <w:p>
      <w:pPr>
        <w:spacing w:after="0" w:line="90" w:lineRule="exact"/>
        <w:rPr>
          <w:sz w:val="20"/>
          <w:szCs w:val="20"/>
          <w:color w:val="auto"/>
        </w:rPr>
      </w:pPr>
    </w:p>
    <w:p>
      <w:pPr>
        <w:ind w:left="780" w:hanging="24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any material provision of the ESA by the other party after a notice and cure period;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government, regulatory or judicial injunction, order or decree; or</w:t>
      </w:r>
    </w:p>
    <w:p>
      <w:pPr>
        <w:spacing w:after="0" w:line="90" w:lineRule="exact"/>
        <w:rPr>
          <w:rFonts w:ascii="Arial" w:cs="Arial" w:eastAsia="Arial" w:hAnsi="Arial"/>
          <w:sz w:val="18"/>
          <w:szCs w:val="18"/>
          <w:color w:val="auto"/>
        </w:rPr>
      </w:pPr>
    </w:p>
    <w:p>
      <w:pPr>
        <w:ind w:left="780" w:right="80" w:hanging="249"/>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bankruptcy, insolvency or dissolution of the other party, appointment of a receiver or trustee for the other party who is not dismissed within 60 days or cessation of business or inability to pay debts.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Theatres</w:t>
      </w:r>
      <w:r>
        <w:rPr>
          <w:rFonts w:ascii="Arial" w:cs="Arial" w:eastAsia="Arial" w:hAnsi="Arial"/>
          <w:sz w:val="16"/>
          <w:szCs w:val="16"/>
          <w:color w:val="auto"/>
        </w:rPr>
        <w:t>. The Founding Members will be required to make all their theatres available for the Services, including theatres that are newly acquired or built during the term of the ESA, but excluding draft house and art house theatres (attendance at which shall not exceed 4% of the attendance at the Founding Member’s participating theatres for the preceding year) and screens exhibiting IMAX technology. For newly acquired theatres that are subject to contracts with an alternative cinema advertising provider, if the Founding Member wishes to receive common membership units in NCM LLC (as provided in the Third Restated LLC Agreement described below) at the time the theatres are acquired, the ESA will provide that the Founding Member may make certain run out payments until NCM LLC can utilize the theatres for all of its services. Alternatively, the Founding Member may wait to receive common membership units for the acquired theatres until the contracts with the alternative providers have expired and NCM LLC may provide its Services without limitation.</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u w:val="single" w:color="auto"/>
          <w:color w:val="auto"/>
        </w:rPr>
        <w:t>LEN</w:t>
      </w:r>
      <w:r>
        <w:rPr>
          <w:rFonts w:ascii="Arial" w:cs="Arial" w:eastAsia="Arial" w:hAnsi="Arial"/>
          <w:sz w:val="18"/>
          <w:szCs w:val="18"/>
          <w:color w:val="auto"/>
        </w:rPr>
        <w:t>. With exceptions for digitized theatres that already have lobby screens for the LEN, the Founding Member will be required to place one LEN screen in digitized theatres with ten or fewer auditoriums, two LEN screens in digitized theatres with eleven to twenty auditoriums and three LEN screens in digitized theatres with more than twenty auditoriums.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Inventory</w:t>
      </w:r>
      <w:r>
        <w:rPr>
          <w:rFonts w:ascii="Arial" w:cs="Arial" w:eastAsia="Arial" w:hAnsi="Arial"/>
          <w:sz w:val="16"/>
          <w:szCs w:val="16"/>
          <w:color w:val="auto"/>
        </w:rPr>
        <w:t>. The pre-feature program for digital on-screen advertising will be 20 to 30 minutes long, and the Founding Members covenant to use commercially reasonable efforts to open their auditoriums to customers at least 20 minutes prior to the advertised show time. LEN advertising will be displayed in a repeating loop. With respect to lobby promotions, there is an inventory of lobby promotions that are pre-approved by the Founding Members. Additional lobby promotions may be added to the pre-approved inventory upon consent by NCM LLC and the Founding Member. For digital programming events and meeting events (except church worship services, which require approval), the ESA also will establish pre-approved periods when such events may be exhibited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applicable theatres, specifically on Monday through Thursday evenings for digital programming events and Monday through Thursday from 6:00 a.m. to 6:00 p.m. for meetings, in both cases except during specified peak holiday periods. Digital programming events may be exhibited and meeting events may be conducted at other times upon consent by NCM LLC and the Founding Member.</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In consideration for NCM LLC’s access to our Founding Members’ theatre attendees for on-screen advertising and use of off-screen locations within the Founding Member’s theatres for the LEN and lobby promotions, the Founding Members will receive a monthly theatre access fee under the ESAs. The theatre access fee is composed of a fixed payment per patron and a fixed payment per digital screen, which will be proportionally adjusted for any advertising exhibited by some, but not all, theatres or Founding Members because of content objections or technical capacity. The payment per theatre patron will increase by 8% every five years with the first such increase taking effect after the end of fiscal 2011 and the payment per digital screen will increase annually by 5%, beginning after the end of fiscal 2007. The theatre access fee paid in the aggregate to all Founding Members will not be less than 12% of NCM LLC’s aggregate advertising revenue (as defined in the ESA), or it will be adjusted upward to reach this minimum payment.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described in “Use of Proceeds,” NCM LLC will also use $ of the net proceeds it receives from us to compensate the Founding Members for agreeing to modify NCM LLC’s payment obligation under the ESAs. The modification agreed to by the Founding Members reflects a shift from circuit share expense under the prior agreements with our Founding Members, which previously obligated NCM LLC to pay the Founding Members a percentage of revenues, to the monthly theatre access fee under the ESAs.</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consideration for the exhibition of digital programming events, the Founding Members will retain 15% of the revenue from ticket sales, net of taxes and refunds and 100% of the concession sales. NCM LLC will distribute a total of 15% of the net revenue received from any promotional fee for a digital programming event to the Founding Members that participated in such digital programming event, allocated based upon the number of tickets sold. Revenues from meeting events will be shared based on the type of event. For Meetings with a Movie, the Founding Member will retain the proceeds of movie ticket sales for a full sale of the auditorium (at adult ticket prices) and NCM LLC will retain other fees associated with the meeting. For meetings without a movie, NCM LLC will pay the Founding Member 15% of the rental revenue for the meeting. For church worship services, NCM LLC will pay the Founding Member 50% of the rental revenue for the meeting.</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NCM LLC pays the costs associated with providing its Services to the Founding Members’ theatres. The Founding Members pay the operational costs of receiving and exhibiting the Services, except that any incremental costs (such as third-party security at digital programming events) are reimbursed by NCM LLC.</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Beverage Concessionaire Agreements</w:t>
      </w:r>
      <w:r>
        <w:rPr>
          <w:rFonts w:ascii="Arial" w:cs="Arial" w:eastAsia="Arial" w:hAnsi="Arial"/>
          <w:sz w:val="16"/>
          <w:szCs w:val="16"/>
          <w:color w:val="auto"/>
        </w:rPr>
        <w:t>. Under the ESAs, NCM LLC will display up to 90 seconds of on-screen advertising for beverage concessionaires at the time established in their agreements with the Founding Members, but the Founding Members are required to pay an initial beverage agreement advertising rate based on CPM for the beverage advertising. As long as the beverage agreement advertising rate does not exceed the highest rate being charged by NCM LLC for on-screen advertising, the rate will increase annually at a rate of (a) 8% per year for each of the first two calendar years following the first full calendar year that the ESA is effective, (b) 6% per year for the next two calendar years, and (c) for all following years, at an annual percentage equal to the annual increase in the advertising rate charged by NCM LLC to unaffiliated third parties.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Equipment</w:t>
      </w:r>
      <w:r>
        <w:rPr>
          <w:rFonts w:ascii="Arial" w:cs="Arial" w:eastAsia="Arial" w:hAnsi="Arial"/>
          <w:sz w:val="16"/>
          <w:szCs w:val="16"/>
          <w:color w:val="auto"/>
        </w:rPr>
        <w:t>. Founding Members’ existing digitized theatres have the requisite equipment to participate in the advertising services. For newly acquired and built theatres, as well as theatres converting from non-digitized to digitized capacities, NCM LLC is responsible for procuring the equipment necessary to deliver its Services on behalf of the Founding Members, or the Founding Members have the option to procure equipment directly. NCM LLC pays for the equipment that is placed outside of theatres and for any testing equipment installed within the theatres to maintain NCM LLC’s software. The Founding Members pay for all other equipment placed inside these theatres. Under the ESAs, the Founding Members will be responsible for installation of equipment purchased, but they may elect to have NCM LLC perform the installation, in which case NCM LLC will be reimbursed for installation services.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satellite service is not available and a landline connection is required for delivery of its Services, NCM LLC will pay for the costs of the landline connection with respect to delivery of content from NCM LLC to the Founding Member’s wide area network, and the Founding Member will pay the costs with respect to delivery of content from its wide area network to its theatres.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party owns the equipment for which it pays or for which it reimburses the other party. NCM LLC may request replacement, upgrade or modification of equipment or software in any theatre, provided such request is made to all Founding Members, and NCM LLC and the Founding Member will negotiate the terms and cost-sharing of any upgrade requests. Under the ESAs, if no agreement is reached regarding the upgrade request, NCM LLC may elect to pay for the proposed replacements, upgrades or modifications. The parties, pursuant to the ESA, agree to work together to integrate any network for delivery of digital cinema services with the DCN. NCM LLC will perform repair and routine maintenance of equipment, unless the Founding Member elects to assume this responsibility. If NCM LLC is performing repair and routine maintenance, it will bear the cost of repairs (subject to limited restrictions), but not replacement. The Founding Member will pay the expense of equipment repair or replacement if the expense would constitute a capital expense for NCM LLC or if the expense is payable by the Founding Member’s insurance provider.</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Content Standards</w:t>
      </w:r>
      <w:r>
        <w:rPr>
          <w:rFonts w:ascii="Arial" w:cs="Arial" w:eastAsia="Arial" w:hAnsi="Arial"/>
          <w:sz w:val="16"/>
          <w:szCs w:val="16"/>
          <w:color w:val="auto"/>
        </w:rPr>
        <w:t>. Section 4.03 of the ESAs establishes content standards for the Services that NCM LLC provides. Specifically, content may not (a) be subject to a Motion Picture Association of America “X” or “NC-17” rating or the equivalent; (b) promote illegal activity; (c) promote the use of tobacco, sexual aids, birth control, firearms, weapons or similar products; (d) promote alcohol, except prior to “R”-rated films in an auditorium; (e) constitute religious advertising, except the time and location for local church services; (f) constitute political advertising or promote gambling; (g) promote competitive theatres, theatre circuits or other entities that compete with the Founding Member or NCM LLC; (h) violate any of the Founding Member’s beverage agreements or identified exclusive contractual relationships; or (i) otherwise negatively reflect on the Founding Member or adversely affect the Founding Member’s attendance, as determined in the Founding Member’s reasonable discretion and specified with respect to the geographical locations affected. If certain Founding Members decline to exhibit an advertisement on the basis of these content standards, while other Founding Members agree to exhibit it, the revenue from such advertisement is considered “4.03 Revenue.” 4.03 Revenue will increase the theatre access fee paid to the Founding Members that displayed such advertisement relative to the Founding Members that did not display such advertisement in all or some of their theatres.</w:t>
      </w:r>
    </w:p>
    <w:p>
      <w:pPr>
        <w:spacing w:after="0" w:line="12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u w:val="single" w:color="auto"/>
          <w:color w:val="auto"/>
        </w:rPr>
        <w:t>Founding Member Brand</w:t>
      </w:r>
      <w:r>
        <w:rPr>
          <w:rFonts w:ascii="Arial" w:cs="Arial" w:eastAsia="Arial" w:hAnsi="Arial"/>
          <w:sz w:val="16"/>
          <w:szCs w:val="16"/>
          <w:color w:val="auto"/>
        </w:rPr>
        <w:t>. The ESAs provide that NCM LLC, in coordination with each Founding Member, will create a brand identity for the Founding Member, presented in interstitial messaging during the pre-feature program, including an introduction and close to the program. NCM LLC will also include in the pre-feature show up to two minutes for promotion of the Founding Member in segments called branded slots, and NCM LLC will include Founding Member branding in the policy trailer it produces. The branded slots may include Theatre Advertising, as described below. The branded slots are provided by NCM LLC to the Founding Members at no charge and include 45 seconds within 15 minutes of show time, 15 seconds of which will be placed within 11 minutes of show time, and the remainder placed at NCM LLC’s discretion. We may move the placement of the branded slots up to one minute further from the advertised movie show time if NCM LLC sells additional advertising units to third parties that will follow the branded slots. After the advertised show time (and after the pre-feature show), the Founding Members may also exhibit a policy trailer regarding theatre policy and operations. The policy trailer may include promotions of the Founding Member’s concessions and may display branding of film studios, distributors or production companies. Upon prior written approval of the Founding Member, NCM LLC may sell advertising for inclusion in the policy trailer. Under the ESAs, NCM LLC will provide, at no additional cost to the Founding Members, creative services to prepare branding material for the Founding Members, subject to a 1,000 hour annual limit for creative services to each Founding Member. After this hour limit is reached, the Founding Member may purchase additional creative services on an hourly basis.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u w:val="single" w:color="auto"/>
          <w:color w:val="auto"/>
        </w:rPr>
        <w:t>Founding Member Strategic Programs</w:t>
      </w:r>
      <w:r>
        <w:rPr>
          <w:rFonts w:ascii="Arial" w:cs="Arial" w:eastAsia="Arial" w:hAnsi="Arial"/>
          <w:sz w:val="18"/>
          <w:szCs w:val="18"/>
          <w:color w:val="auto"/>
        </w:rPr>
        <w:t>. The ESAs allow a Founding Member to exhibit advertising that is not directly related to theatre operations but is designed to promote the theatres or the movie-going experience to increase attendance or revenue (other than revenue from the sale of advertising) for the Founding Member (called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a Founding Member Strategic Program). The Founding Member, at no cost, may use one minute for every 30 minutes of advertising on the LEN and certain lobby promotions for its Strategic Programs in up to two local or regional promotions per theatre per flight (the approximately four- to five-week period that advertising content will run before being refreshed by NCM LLC) and up to four national promotions per year, provided that only one national promotion is running at any given time. The Founding Member may purchase an additional minute of LEN time, for Strategic Programs at rate card rates and subject to availability. Any additional strategic advertising on the LEN or as part of a lobby promotion must be agreed to by NCM LLC.</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u w:val="single" w:color="auto"/>
          <w:color w:val="auto"/>
        </w:rPr>
        <w:t>Theatre Advertising</w:t>
      </w:r>
      <w:r>
        <w:rPr>
          <w:rFonts w:ascii="Arial" w:cs="Arial" w:eastAsia="Arial" w:hAnsi="Arial"/>
          <w:sz w:val="16"/>
          <w:szCs w:val="16"/>
          <w:color w:val="auto"/>
        </w:rPr>
        <w:t xml:space="preserve">. The ESAs permit the Founding Members to use their branded slot time (as described above)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and the LEN and certain lobby promotions to promote various activities associated with operation of the Theatres, including concessions, ticketing partners, gift card and loyalty programs, special events presented by the Founding Member and vendors of non-film related services provided to theatres, so long as such promotions are incidental to the vendor’s service (called Theatre Advertising). The ESAs also permit the Founding Members to:</w:t>
      </w:r>
    </w:p>
    <w:p>
      <w:pPr>
        <w:spacing w:after="0" w:line="32" w:lineRule="exact"/>
        <w:rPr>
          <w:sz w:val="20"/>
          <w:szCs w:val="20"/>
          <w:color w:val="auto"/>
        </w:rPr>
      </w:pPr>
    </w:p>
    <w:p>
      <w:pPr>
        <w:ind w:left="780" w:hanging="24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 additional Theatre Advertising at an arm’s length basis and subject to availability;</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 promotion of concessions and display branding of film studios, distributor or production companies in the policy trailer;</w:t>
      </w:r>
    </w:p>
    <w:p>
      <w:pPr>
        <w:spacing w:after="0" w:line="90" w:lineRule="exact"/>
        <w:rPr>
          <w:rFonts w:ascii="Arial" w:cs="Arial" w:eastAsia="Arial" w:hAnsi="Arial"/>
          <w:sz w:val="18"/>
          <w:szCs w:val="18"/>
          <w:color w:val="auto"/>
        </w:rPr>
      </w:pPr>
    </w:p>
    <w:p>
      <w:pPr>
        <w:ind w:left="780" w:hanging="249"/>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the grand opening of a theatre with promotions involving local businesses for the period of 14 days before to 14 days after the opening of such theatre, which may include, subject to availability, one on-screen advertisement of 30 seconds in length;</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place advertising for full-length feature films on special popcorn tubs in circumstances where NCM LLC does not sell such advertising; and</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allow employee uniform suppliers to advertise on theatre employees’ uniforms.</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u w:val="single" w:color="auto"/>
          <w:color w:val="auto"/>
        </w:rPr>
        <w:t>Legacy Agreements</w:t>
      </w:r>
      <w:r>
        <w:rPr>
          <w:rFonts w:ascii="Arial" w:cs="Arial" w:eastAsia="Arial" w:hAnsi="Arial"/>
          <w:sz w:val="16"/>
          <w:szCs w:val="16"/>
          <w:color w:val="auto"/>
        </w:rPr>
        <w:t>. In the current agreements between NCM LLC and the Founding Members, mechanisms were established to address the servicing of and allocation of revenue relating to legacy advertising contracts that existed between the Founding Members and third-party advertisers. The ESA will provide that all remaining legacy agreements are assigned by the Founding Members to NCM LLC, or if such assignment is not possible, the Founding Member will pay to NCM LLC all revenue from the legacy agreement and NCM LLC will perform the obligations under that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Founding Member agrees not to compete with NCM LLC in the businesses that the ESA authorizes NCM LLC to conduct, unless:</w:t>
      </w:r>
    </w:p>
    <w:p>
      <w:pPr>
        <w:spacing w:after="0" w:line="113" w:lineRule="exact"/>
        <w:rPr>
          <w:sz w:val="20"/>
          <w:szCs w:val="20"/>
          <w:color w:val="auto"/>
        </w:rPr>
      </w:pPr>
    </w:p>
    <w:p>
      <w:pPr>
        <w:ind w:left="780" w:right="240" w:hanging="249"/>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Founding Member or an affiliate acquires a competing business as an incidental part of an acquisition and disposes of the competing business as soon as practicable;</w:t>
      </w:r>
    </w:p>
    <w:p>
      <w:pPr>
        <w:spacing w:after="0" w:line="50" w:lineRule="exact"/>
        <w:rPr>
          <w:rFonts w:ascii="Arial" w:cs="Arial" w:eastAsia="Arial" w:hAnsi="Arial"/>
          <w:sz w:val="18"/>
          <w:szCs w:val="18"/>
          <w:color w:val="auto"/>
        </w:rPr>
      </w:pPr>
    </w:p>
    <w:p>
      <w:pPr>
        <w:ind w:left="780" w:right="520" w:hanging="249"/>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Founding Member and any affiliates acquire an aggregate direct or indirect ownership of less than 10% of the voting power of a competitive business; or</w:t>
      </w:r>
    </w:p>
    <w:p>
      <w:pPr>
        <w:spacing w:after="0" w:line="50" w:lineRule="exact"/>
        <w:rPr>
          <w:rFonts w:ascii="Arial" w:cs="Arial" w:eastAsia="Arial" w:hAnsi="Arial"/>
          <w:sz w:val="18"/>
          <w:szCs w:val="18"/>
          <w:color w:val="auto"/>
        </w:rPr>
      </w:pPr>
    </w:p>
    <w:p>
      <w:pPr>
        <w:ind w:left="780" w:right="120" w:hanging="249"/>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Founding Member enters into an agreement for the acquisition or installation of equipment or the provision of services with a competitor of NCM LLC, if there is no violation of NCM LLC’s exclusive provision of services under the ESA.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Certain Other Provisions</w:t>
      </w:r>
      <w:r>
        <w:rPr>
          <w:rFonts w:ascii="Arial" w:cs="Arial" w:eastAsia="Arial" w:hAnsi="Arial"/>
          <w:sz w:val="16"/>
          <w:szCs w:val="16"/>
          <w:color w:val="auto"/>
        </w:rPr>
        <w:t>. The ESA includes (a) a limited license from NCM LLC to the Founding Member for use of NCM LLC’s software and marks and</w:t>
      </w:r>
    </w:p>
    <w:p>
      <w:pPr>
        <w:spacing w:after="0" w:line="38" w:lineRule="exact"/>
        <w:rPr>
          <w:sz w:val="20"/>
          <w:szCs w:val="20"/>
          <w:color w:val="auto"/>
        </w:rPr>
      </w:pPr>
    </w:p>
    <w:p>
      <w:pPr>
        <w:ind w:right="60" w:firstLine="8"/>
        <w:spacing w:after="0" w:line="253"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limited license from the Founding Member to NCM LLC for use of the Founding Member’s marks. Each party makes standard representations and warranties, such as due formation and authorization to enter into and perform the agreement, and each party agrees to indemnify the other for certain liabilities. If the ESA with one Founding Member is amended, other Founding Members have the right to amend their ESAs to match such change pursuant to a most-favored nations provision. Neither party may assign, including by operation of law, its rights or obligations under the ESA, except to certain permitted transferees affiliated with the transferring entity.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NCM LLC Operating Agreement</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i w:val="1"/>
          <w:iCs w:val="1"/>
          <w:color w:val="auto"/>
        </w:rPr>
        <w:t xml:space="preserve">Agreement in Effect Before the Completion of the Offering. </w:t>
      </w:r>
      <w:r>
        <w:rPr>
          <w:rFonts w:ascii="Arial" w:cs="Arial" w:eastAsia="Arial" w:hAnsi="Arial"/>
          <w:sz w:val="18"/>
          <w:szCs w:val="18"/>
          <w:color w:val="auto"/>
        </w:rPr>
        <w:t>The Founding Members are parties to an Amended and Restated Limited Liability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Agreement dated as of July 15, 2005, which governs the operations of NCM LLC. We refer to this agreement as the Current LLC Agreement. Under the Current LLC Agreement, NCM LLC is governed by a ten-member board of directors, who qualify as “managers” for purposes of the Delaware limited liability company statute. Each of Regal, AMC and Cinemark appoints three directors, and the tenth director is NCM LLC’s chief executive officer. Each Founding Member’s designation rights continue for as long as that member owns Class A membership units of NCM LLC. Board actions require a majority director vote, defined as the vote of nine directors.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Current LLC Agreement provides for the creation of an audit committee, compensation committee and finance committee of the board of directors. All committees must consist of at least six directors, including two directors designated by each Founding Member. The Current LLC Agreement also provides for the appointment of a chief executive officer, chief financial officer, chief technology and operations officer and chief sales and marketing officer, whose appointments must be approved by the board.</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Before the completion of this offering, the Founding Members will amend and restate the Current LLC Agreement in a Second Amended and Restated Limited Liability Company Agreement to recapitalize the Class A membership interests in NCM LLC into preferred units and common units</w:t>
      </w:r>
      <w:r>
        <w:rPr>
          <w:rFonts w:ascii="Arial" w:cs="Arial" w:eastAsia="Arial" w:hAnsi="Arial"/>
          <w:sz w:val="16"/>
          <w:szCs w:val="16"/>
          <w:b w:val="1"/>
          <w:bCs w:val="1"/>
          <w:color w:val="auto"/>
        </w:rPr>
        <w:t>,</w:t>
      </w:r>
      <w:r>
        <w:rPr>
          <w:rFonts w:ascii="Arial" w:cs="Arial" w:eastAsia="Arial" w:hAnsi="Arial"/>
          <w:sz w:val="16"/>
          <w:szCs w:val="16"/>
          <w:color w:val="auto"/>
        </w:rPr>
        <w:t xml:space="preserve"> to adjust the Cinemark interests and to adjust the Founding Members’ interests in NCM LLC in connection with the effective integration of the Loews screens.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Agreement in Effect After the Offering. </w:t>
      </w:r>
      <w:r>
        <w:rPr>
          <w:rFonts w:ascii="Arial" w:cs="Arial" w:eastAsia="Arial" w:hAnsi="Arial"/>
          <w:sz w:val="18"/>
          <w:szCs w:val="18"/>
          <w:color w:val="auto"/>
        </w:rPr>
        <w:t>In connection with the completion of this offering, we and the Founding Members will enter into a Third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Limited Liability Company Operating Agreement of NCM LLC, which will become effective upon the completion of this offering. We refer to this agreement as the Third Restated LLC Agreement.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Appointment as Manager</w:t>
      </w:r>
      <w:r>
        <w:rPr>
          <w:rFonts w:ascii="Arial" w:cs="Arial" w:eastAsia="Arial" w:hAnsi="Arial"/>
          <w:sz w:val="18"/>
          <w:szCs w:val="18"/>
          <w:color w:val="auto"/>
        </w:rPr>
        <w:t>. Under the Third Restated LLC Agreement, we will become a member and the sole manager of NCM LLC. As the sole manager, we will be able to control all of the day to day business affairs and decision-making of NCM LLC without the approval of any other member. As such, we, through our officers and directors, will be responsible for all operational and administrative decisions of NCM LLC and the day-to-day management of NCM LLC’s business. Furthermore, we cannot be removed as manager of NCM LLC unless we materially breach our obligations under the Third Restated LLC Agreement.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Founding Member Approval Rights</w:t>
      </w:r>
      <w:r>
        <w:rPr>
          <w:rFonts w:ascii="Arial" w:cs="Arial" w:eastAsia="Arial" w:hAnsi="Arial"/>
          <w:sz w:val="18"/>
          <w:szCs w:val="18"/>
          <w:color w:val="auto"/>
        </w:rPr>
        <w:t>. If any nominee to our board of directors designated by our Founding Members is not elected by our stockholders, then certain of the Founding Members will be entitled to vote on the following actions of NCM LLC:</w:t>
      </w:r>
    </w:p>
    <w:p>
      <w:pPr>
        <w:spacing w:after="0" w:line="51" w:lineRule="exact"/>
        <w:rPr>
          <w:sz w:val="20"/>
          <w:szCs w:val="20"/>
          <w:color w:val="auto"/>
        </w:rPr>
      </w:pPr>
    </w:p>
    <w:p>
      <w:pPr>
        <w:ind w:left="780" w:hanging="24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NCM LLC matters set forth under “Description of Capital Stock—Special Approval Rights for Certain Matters”;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approval of NCM LLC’s annual budget;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approval of hiring and firing certain key employees of NCM LLC.</w:t>
      </w:r>
    </w:p>
    <w:p>
      <w:pPr>
        <w:spacing w:after="0" w:line="171"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We will not be entitled to compensation for our services as manager except as provided in the management services agreement described under “—Transactions with NCM LLC” below, or as otherwise approved by a vote of the members holding a majority of the outstanding common membership units plus each Founding Member. We will be entitled to reimbursement by NCM LLC for our reasonable out-of-pocket expenses incurred on its behalf.</w:t>
      </w:r>
    </w:p>
    <w:p>
      <w:pPr>
        <w:spacing w:after="0" w:line="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The Third Restated LLC Agreement provides for mandatory distributions to members of cash that is not reserved to meet business needs of NCM LLC or restricted under the terms of any outstanding indebtedness. These distributions must occur quarterly, on such dates as determined by us as the manager and annually to distribute excess cash, if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u w:val="single" w:color="auto"/>
          <w:color w:val="auto"/>
        </w:rPr>
        <w:t>Adjustment of Membership Units</w:t>
      </w:r>
      <w:r>
        <w:rPr>
          <w:rFonts w:ascii="Arial" w:cs="Arial" w:eastAsia="Arial" w:hAnsi="Arial"/>
          <w:sz w:val="18"/>
          <w:szCs w:val="18"/>
          <w:color w:val="auto"/>
        </w:rPr>
        <w:t>. The Third Restated LLC Agreement provides a mechanism for adjusting membership units held by the Founding Members, based on theatre attendance, to account for increases or decreases in the number of screens operated by each Founding Member. Increases in the number of screens are included in the unit adjustment if arising from acquisition of a theatre or opening of a newly constructed theatre. Decreases in the number of screens are included in the unit adjustment if arising from disposition of a theatre, unless the purchaser or sublessee enters into an agreement with NCM LLC or unless the theatre is closed at the end of its lease term.</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Preferred Unit Redemption Right</w:t>
      </w:r>
      <w:r>
        <w:rPr>
          <w:rFonts w:ascii="Arial" w:cs="Arial" w:eastAsia="Arial" w:hAnsi="Arial"/>
          <w:sz w:val="16"/>
          <w:szCs w:val="16"/>
          <w:color w:val="auto"/>
        </w:rPr>
        <w:t>. The Third Restated LLC Agreement provides that NCM LLC will have the right, exercisable at any time from the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proceeds of a new senior secured credit facility, to redeem all, but not less than all of the then outstanding preferred units by paying to the holders of the preferred</w:t>
      </w:r>
    </w:p>
    <w:p>
      <w:pPr>
        <w:spacing w:after="0" w:line="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units $ per preferred unit. Upon payment of such amount, each preferred unit will be cancelled and the holders of the preferred units shall cease to have any rights as a member of NCM LLC with respect to the preferred units.</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The Third Restated LLC Agreement will provide that the unanimous consent of all members holding common units will be required to voluntarily dissolve NCM LLC. In addition to a voluntary dissolution, NCM LLC will be dissolved upon, among other things, the bankruptcy of any member or upon the entry of a decree of judicial dissolution in accordance with Delaware law. Upon a dissolution event, the proceeds of liquidation will be distributed in the following order:</w:t>
      </w:r>
    </w:p>
    <w:p>
      <w:pPr>
        <w:spacing w:after="0" w:line="62" w:lineRule="exact"/>
        <w:rPr>
          <w:sz w:val="20"/>
          <w:szCs w:val="20"/>
          <w:color w:val="auto"/>
        </w:rPr>
      </w:pPr>
    </w:p>
    <w:p>
      <w:pPr>
        <w:ind w:left="780" w:hanging="24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first, to pay the expenses of winding up and dissolving NCM LLC;</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second, to pay debts and liabilities owed to creditors of NCM LLC, other than members;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third, to pay debts and liabilities owed to members;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fourth, to the members pro rata in accordance with the percentages of the respective positive balance of their respective capital accounts.</w:t>
      </w:r>
    </w:p>
    <w:p>
      <w:pPr>
        <w:spacing w:after="0" w:line="19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member will agree to maintain the confidentiality of the NCM LLC’s intellectual property and other confidential information for a period of three years following the date of dissolution of NCM LLC or such earlier date as such member ceases to be a member. This obligation covers information provided to NCM LLC by the members and their affiliates, and excludes disclosures required by law or judicial process.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Third Restated LLC Agreement may be amended by a vote of the members holding a majority of the outstanding common membership units plus each Founding Member. Amendments to specified provisions require the additional consent of us as manager. No amendment that would materially impair the voting power or economic rights of any outstanding common units in relation to any other outstanding class of units may be made without the consent of a majority of the affected units. No amendment that would materially impair the voting power or economic rights of any member in relation to the other members may be made without the consent of the affected member.</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Third Restated LLC Agreement provides for indemnification of the manager, members and officers of NCM LLC and their respective subsidiaries or affiliates, as described in more detail under “Management—Limitation of Liability and Indemnification of Directors and Officers.”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transactions are expected to have the effect of reducing the amounts NCM Inc. would otherwise pay in the future to various tax authorities as a result of increasing its proportionate share of tax basis in NCM LLC’s tangible and intangible assets:</w:t>
      </w:r>
    </w:p>
    <w:p>
      <w:pPr>
        <w:spacing w:after="0" w:line="51" w:lineRule="exact"/>
        <w:rPr>
          <w:sz w:val="20"/>
          <w:szCs w:val="20"/>
          <w:color w:val="auto"/>
        </w:rPr>
      </w:pPr>
    </w:p>
    <w:p>
      <w:pPr>
        <w:ind w:left="780" w:right="100" w:hanging="249"/>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described in “Use of Proceeds,” NCM LLC’s use of $ million of the proceeds it receives from us to compensate the Founding Members for agreeing to modify NCM LLC’s payment obligations under the ESAs.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0" w:hanging="249"/>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described in “Use of Proceeds,” NCM LLC’s use of $ million of the proceeds obtained from a term loan that is a part of NCM LLC’s new senior secured credit facility to redeem the preferred membership units in NCM LLC held by the Founding Members.</w:t>
      </w:r>
    </w:p>
    <w:p>
      <w:pPr>
        <w:spacing w:after="0" w:line="50" w:lineRule="exact"/>
        <w:rPr>
          <w:rFonts w:ascii="Arial" w:cs="Arial" w:eastAsia="Arial" w:hAnsi="Arial"/>
          <w:sz w:val="18"/>
          <w:szCs w:val="18"/>
          <w:color w:val="auto"/>
        </w:rPr>
      </w:pPr>
    </w:p>
    <w:p>
      <w:pPr>
        <w:ind w:left="780" w:right="140" w:hanging="249"/>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described in “Certain Relationships and Related Party Transactions—Transactions with Founding Members—NCM LLC Operating Agreement— Adjustment of Membership Units,” the issuance of additional common membership units in NCM LLC to a Founding Member in the event of net positive increase in the number of screens operated by the Founding Member.</w:t>
      </w:r>
    </w:p>
    <w:p>
      <w:pPr>
        <w:spacing w:after="0" w:line="59" w:lineRule="exact"/>
        <w:rPr>
          <w:rFonts w:ascii="Arial" w:cs="Arial" w:eastAsia="Arial" w:hAnsi="Arial"/>
          <w:sz w:val="18"/>
          <w:szCs w:val="18"/>
          <w:color w:val="auto"/>
        </w:rPr>
      </w:pPr>
    </w:p>
    <w:p>
      <w:pPr>
        <w:ind w:left="780" w:hanging="249"/>
        <w:spacing w:after="0" w:line="306" w:lineRule="auto"/>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described in “Certain Relationships and Related Party Transactions—Transactions with Founding Members—NCM LLC Operating Agreement— Common Unit Redemption Right,” the receipt of shares of common stock in NCM Inc. or cash, or both, at NCM Inc.’s election by a Founding Member in connection with an exercise of its right to redeem common membership units in NCM LLC held by the Founding Member.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transactions described above, we intend to enter into a tax receivable agreement with the Founding Members that will provide for</w:t>
      </w:r>
    </w:p>
    <w:p>
      <w:pPr>
        <w:spacing w:after="0" w:line="38" w:lineRule="exact"/>
        <w:rPr>
          <w:sz w:val="20"/>
          <w:szCs w:val="20"/>
          <w:color w:val="auto"/>
        </w:rPr>
      </w:pPr>
    </w:p>
    <w:p>
      <w:pPr>
        <w:jc w:val="both"/>
        <w:ind w:right="60"/>
        <w:spacing w:after="0" w:line="300" w:lineRule="auto"/>
        <w:rPr>
          <w:sz w:val="20"/>
          <w:szCs w:val="20"/>
          <w:color w:val="auto"/>
        </w:rPr>
      </w:pPr>
      <w:r>
        <w:rPr>
          <w:rFonts w:ascii="Arial" w:cs="Arial" w:eastAsia="Arial" w:hAnsi="Arial"/>
          <w:sz w:val="15"/>
          <w:szCs w:val="15"/>
          <w:color w:val="auto"/>
        </w:rPr>
        <w:t>NCM Inc.’s effective payment to the Founding Members of % of the amount of cash savings, if any, in U.S. federal, state, and local income tax or franchise tax that NCM Inc. actually realizes as a result of its expected proportionate increases in tax basis, including increases attributable to payments made under the tax receivable agreement. These tax benefit payments are not conditioned upon one or more of the Founding Members maintaining a continued ownership interest in</w:t>
      </w:r>
    </w:p>
    <w:p>
      <w:pPr>
        <w:spacing w:after="0" w:line="1"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either NCM LLC or NCM, Inc. NCM Inc. expects to benefit from the remaining</w:t>
      </w:r>
      <w:r>
        <w:rPr>
          <w:sz w:val="20"/>
          <w:szCs w:val="20"/>
          <w:color w:val="auto"/>
        </w:rPr>
        <w:tab/>
      </w:r>
      <w:r>
        <w:rPr>
          <w:rFonts w:ascii="Arial" w:cs="Arial" w:eastAsia="Arial" w:hAnsi="Arial"/>
          <w:sz w:val="16"/>
          <w:szCs w:val="16"/>
          <w:color w:val="auto"/>
        </w:rPr>
        <w:t>% of cash savings, if any, that it may actually realize.</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Initially, any amounts that may be paid to the Founding Members under the tax receivable agreement will be attributable to the first and second transactions described above and such amounts will generally be allocated in accordance with each Founding Member’s proportionate common membership interest in NCM LLC. Over time, any amounts that may be paid to the Founding Members under the tax receivable agreement may be attributable to a combination of one or more of the transactions described above, and the allocation of such amounts will depend on whether and to what extent any Founding Member has participated in either the third or fourth transaction described above, or possibly both such transactions.</w:t>
      </w:r>
    </w:p>
    <w:p>
      <w:pPr>
        <w:spacing w:after="0" w:line="116" w:lineRule="exact"/>
        <w:rPr>
          <w:sz w:val="20"/>
          <w:szCs w:val="20"/>
          <w:color w:val="auto"/>
        </w:rPr>
      </w:pPr>
    </w:p>
    <w:p>
      <w:pPr>
        <w:ind w:right="20" w:firstLine="456"/>
        <w:spacing w:after="0" w:line="261" w:lineRule="auto"/>
        <w:rPr>
          <w:sz w:val="20"/>
          <w:szCs w:val="20"/>
          <w:color w:val="auto"/>
        </w:rPr>
      </w:pPr>
      <w:r>
        <w:rPr>
          <w:rFonts w:ascii="Arial" w:cs="Arial" w:eastAsia="Arial" w:hAnsi="Arial"/>
          <w:sz w:val="17"/>
          <w:szCs w:val="17"/>
          <w:color w:val="auto"/>
        </w:rPr>
        <w:t>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shall apply to NCM Inc.’s taxable years up to and including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anniversary date of the offering. The term of the tax receivable agreement will commence upon consummation of the offering and generally will continue until all potential tax benefits covered by the agreement have either been utilized by NCM Inc. or have otherwise expired and any utilized benefits are no longer subject to potential audit or examination by a taxing authority. The term of the tax receivable agreement may, however, be terminated at an earlier date in the event that NCM Inc. exercises its right to terminate the agreement pursuant to an early termination procedure that requires NCM Inc. to pay the Founding Members an agreed upon amount equal to the present value of the estimated remaining payments to be made under the agreement.</w:t>
      </w:r>
    </w:p>
    <w:p>
      <w:pPr>
        <w:spacing w:after="0" w:line="14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Although the actual timing and amount of any payments that may be made under the tax receivable agreement will vary depending upon a number of factors, we expect that the payments that NCM Inc. may effectively make to the Founding Members could be substantial. As an example, if the Founding Members also redeemed all of their common membership units in NCM LLC solely in exchange for shares of common stock in NCM Inc. in a taxable transaction at the time of the closing of the offering and related transactions, the total increase in tax basis attributable to NCM, Inc.’s then 100% ownership interest in NCM</w:t>
      </w:r>
    </w:p>
    <w:p>
      <w:pPr>
        <w:spacing w:after="0" w:line="3" w:lineRule="exact"/>
        <w:rPr>
          <w:sz w:val="20"/>
          <w:szCs w:val="20"/>
          <w:color w:val="auto"/>
        </w:rPr>
      </w:pPr>
    </w:p>
    <w:p>
      <w:pPr>
        <w:spacing w:after="0"/>
        <w:tabs>
          <w:tab w:leader="none" w:pos="2780" w:val="left"/>
          <w:tab w:leader="none" w:pos="9340" w:val="left"/>
        </w:tabs>
        <w:rPr>
          <w:sz w:val="20"/>
          <w:szCs w:val="20"/>
          <w:color w:val="auto"/>
        </w:rPr>
      </w:pPr>
      <w:r>
        <w:rPr>
          <w:rFonts w:ascii="Arial" w:cs="Arial" w:eastAsia="Arial" w:hAnsi="Arial"/>
          <w:sz w:val="18"/>
          <w:szCs w:val="18"/>
          <w:color w:val="auto"/>
        </w:rPr>
        <w:t>LLC would be approximately $</w:t>
      </w:r>
      <w:r>
        <w:rPr>
          <w:sz w:val="20"/>
          <w:szCs w:val="20"/>
          <w:color w:val="auto"/>
        </w:rPr>
        <w:tab/>
      </w:r>
      <w:r>
        <w:rPr>
          <w:rFonts w:ascii="Arial" w:cs="Arial" w:eastAsia="Arial" w:hAnsi="Arial"/>
          <w:sz w:val="18"/>
          <w:szCs w:val="18"/>
          <w:color w:val="auto"/>
        </w:rPr>
        <w:t>billion, which could result in payments under the agreement of up to approximately $</w:t>
      </w:r>
      <w:r>
        <w:rPr>
          <w:sz w:val="20"/>
          <w:szCs w:val="20"/>
          <w:color w:val="auto"/>
        </w:rPr>
        <w:tab/>
      </w:r>
      <w:r>
        <w:rPr>
          <w:rFonts w:ascii="Arial" w:cs="Arial" w:eastAsia="Arial" w:hAnsi="Arial"/>
          <w:sz w:val="16"/>
          <w:szCs w:val="16"/>
          <w:color w:val="auto"/>
        </w:rPr>
        <w:t>million or more over</w:t>
      </w:r>
    </w:p>
    <w:p>
      <w:pPr>
        <w:spacing w:after="0" w:line="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30 years or longer (assuming an initial offering price of $ , which represents the midpoint of the range of offering prices set forth on the cover of this prospectus).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the Internal Revenue Service or other taxing authority were to subsequently challenge any of NCM Inc.’s cash savings covered by the tax receivable agreement, and if such challenge were ultimately upheld, the terms of the agreement require the Founding Members to repay to NCM Inc. an amount equal to the prior payments effectively made by NCM Inc. in respect of such disallowed cash savings, plus a proportionate share of any applicable interest and penalties. In such an event, and if a Founding Member is unable to make a timely repayment to NCM Inc. under the terms of the tax receivable agreement, NCM Inc. will have the ability to cause NCM LLC to offset against any such payments owed to the Founding Member. The repayment obligation is a several liability of each Founding Member and not a joint liability among the Founding Members.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receive a formal notice or assessment from a taxing authority with respect to any cash savings covered by the tax receivable agreement, we will place any subsequent tax benefit payments that would otherwise be made to the Founding Members into an interest-bearing escrow account until there is a final determination. We shall have full responsibility for, and sole discretion over, all NCM Inc. tax matters, including the filing and amendment of all tax returns and claims for refunds and the defense of all tax contests, subject to certain participation and approval rights held by the Founding Members. If one or more of the Founding Members was insolvent or bankrupt or otherwise unable to make payment under its repayment obligation, then our financial condition could be materially impaired.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Loews Screen Integration Agreement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Loews Screen Integration Agreement will commit AMC to cause the theatres it acquired from Loews to participate in the ESA. These U.S.-based Loews screens will become part of our national advertising network on an exclusive basis beginning on June 1, 2008, following the expiration of Loews’ pre-existing contract with another cinema advertising provider. The Loews theatres will be subject to the following: (i) during the period beginning on June 1, 2008 through December 1, 2008, the run-out of certain pre-existing contractual obligations for on-screen advertising that exist on June 1, 2008 and (ii) during the period beginning on December 1, 2008 through March 1, 2009, the right of the prior advertising provider to one minute of advertising inventory during the pre-feature show. In accordance with the Loews Screen Integration Agreement, AMC will pay us an amount that approximates the EBITDA we would have generated if we were able to sell advertising in the Loews theatre chain on an exclusive basis commencing on the date of this offering, and NCM LLC will issue to AMC common membership units in NCM LLC prior to the completion of this offering. These payments will be made on a quarterly basis for a specified time period.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License Agreement</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Agreement in Effect Before the Completion of the Offering</w:t>
      </w:r>
      <w:r>
        <w:rPr>
          <w:rFonts w:ascii="Arial" w:cs="Arial" w:eastAsia="Arial" w:hAnsi="Arial"/>
          <w:sz w:val="18"/>
          <w:szCs w:val="18"/>
          <w:color w:val="auto"/>
        </w:rPr>
        <w:t>. In connection with the initial formation of NCM LLC on March 29, 2005, AMC, Regal and</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entered into a Software License Agreement, pursuant to which AMC and Regal licensed to NCM LLC certain software and intellectual property rights, all of which relate to NCM LLC’s delivery of on-screen content. This agreement was amended and restated on July 15, 2005, to reflect Cinemark’s participation as a Founding Member. In connection with the completion of the offering, this agreement will be further amended and restated, in a document we refer to as the License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Agreement in Effect After the Completion of the Offering. </w:t>
      </w:r>
      <w:r>
        <w:rPr>
          <w:rFonts w:ascii="Arial" w:cs="Arial" w:eastAsia="Arial" w:hAnsi="Arial"/>
          <w:sz w:val="18"/>
          <w:szCs w:val="18"/>
          <w:color w:val="auto"/>
        </w:rPr>
        <w:t>Certain basic terms of the restated License Agreement are discussed below:</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u w:val="single" w:color="auto"/>
          <w:color w:val="auto"/>
        </w:rPr>
        <w:t>License to NCM LLC</w:t>
      </w:r>
      <w:r>
        <w:rPr>
          <w:rFonts w:ascii="Arial" w:cs="Arial" w:eastAsia="Arial" w:hAnsi="Arial"/>
          <w:sz w:val="16"/>
          <w:szCs w:val="16"/>
          <w:color w:val="auto"/>
        </w:rPr>
        <w:t>. Pursuant to the License Agreement, AMC and Regal grant NCM LLC a perpetual, worldwide, royalty free license to the technology specified in the License Agreement, for use in the United States with respect to the services provided under the ESAs. Subject to certain exceptions, the license to NCM LLC is exclusive with respect to the Services provided under the ESAs. NCM LLC may sublicense the object code of the licensed technology to exhibitors of the Services (as specified in the ESAs), to the extent necessary for those exhibitors to receive the Services. Regal and AMC also grant NCM LLC as perpetual, worldwide, royalty free license to the source code of the licensed technology and certain later developments of the licensed technology for use in the United States. NCM LLC must keep the source code of the technology confidential.</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License by NCM LLC</w:t>
      </w:r>
      <w:r>
        <w:rPr>
          <w:rFonts w:ascii="Arial" w:cs="Arial" w:eastAsia="Arial" w:hAnsi="Arial"/>
          <w:sz w:val="18"/>
          <w:szCs w:val="18"/>
          <w:color w:val="auto"/>
        </w:rPr>
        <w:t>. NCM LLC grants the Founding Members, subject to certain limitations, a perpetual, worldwide, royalty free license to the object code of any new NCM LLC developments based on licensed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technology, for the Founding Members’ internal business purposes outside of the services that are defined in the ESAs. The Founding Members each grant to NCM LLC, subject to certain limitations, a perpetual, royalty free license to any developments of such party based on the licensed technology that has application to the Services provided under the ESA.</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NCM LLC will retain ownership of any of its developments based on the licensed technology. Subject to the rights granted to NCM LLC under the License Agreement, the Founding Members each retain ownership of the licensed technology and developments by the Founding Members based on the licensed technology, unless the developments are jointly developed with NCM LLC, in which case such developments will be owned by NCM LLC.</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License Agreement provides that each Founding Member indemnifies the other Founding Members with respect to infringement claims between $0.50 million and $5.0 million. NCM LLC indemnifies the Founding Members with respect to infringement claims without limitation by amount.</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u w:val="single" w:color="auto"/>
          <w:color w:val="auto"/>
        </w:rPr>
        <w:t>ESA Termination by or LLC Withdrawal of Founding Members</w:t>
      </w:r>
      <w:r>
        <w:rPr>
          <w:rFonts w:ascii="Arial" w:cs="Arial" w:eastAsia="Arial" w:hAnsi="Arial"/>
          <w:sz w:val="18"/>
          <w:szCs w:val="18"/>
          <w:color w:val="auto"/>
        </w:rPr>
        <w:t>. Under the License Agreement, if a Founding Member withdraws from the NCM LLC Operating Agreement or its ESA with NCM LLC is terminated, that Founding Member will have the right to use the licensed technology and NCM LLC’s developments thereto for the purposes specified in the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Designation and Voting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Designation Rights</w:t>
      </w:r>
      <w:r>
        <w:rPr>
          <w:rFonts w:ascii="Arial" w:cs="Arial" w:eastAsia="Arial" w:hAnsi="Arial"/>
          <w:sz w:val="16"/>
          <w:szCs w:val="16"/>
          <w:color w:val="auto"/>
        </w:rPr>
        <w:t>. Pursuant to a Director Designation and Voting Agreement, so long as a Founding Member owns at least 5% of NCM LLC’s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common membership units, such Founding Member will have the right to designate a total of two nominees to our ten-member board of directors who will be voted upon by our stockholders. If, at any time and only during such time, any Founding Member owns less than 5% of NCM LLC’s then issued and outstanding common membership units, then such Founding Member shall cease to have any rights of designation. The remaining directors will be selected for nomination by our nominating committee. For purposes of calculating the 5% ownership thresholds discussed above, shares of our common stock held by a Founding Member and received upon redemption of NCM LLC common membership units will be counted toward the threshold, but shares of our common stock otherwise acquired by the Founding Members will be excluded.</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Independent Directors</w:t>
      </w:r>
      <w:r>
        <w:rPr>
          <w:rFonts w:ascii="Arial" w:cs="Arial" w:eastAsia="Arial" w:hAnsi="Arial"/>
          <w:sz w:val="16"/>
          <w:szCs w:val="16"/>
          <w:color w:val="auto"/>
        </w:rPr>
        <w:t>. The Director Designation and Voting Agreement further provides that for so long as any Founding Member has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 the director designees, at least one of the designees of such Founding member must qualify as an “independent director” so that a majority of the members of the board will be independent directors. An “independent director” under the Director Designation and Voting Agreement is a director who qualifies as an “independent director” of NCM Inc. under the Nasdaq rules, as such may be amended, supplemented or replaced from time to time.</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 xml:space="preserve">Company Obligations. </w:t>
      </w:r>
      <w:r>
        <w:rPr>
          <w:rFonts w:ascii="Arial" w:cs="Arial" w:eastAsia="Arial" w:hAnsi="Arial"/>
          <w:sz w:val="18"/>
          <w:szCs w:val="18"/>
          <w:color w:val="auto"/>
        </w:rPr>
        <w:t>We have agreed to use our best efforts to assure that each director designee are included in the board’s slate of nominees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for election of directors and in the proxy statement prepared by management in connection with soliciting proxies for every meeting of the stockholders called with respect to the election of members of the Board. We shall not be obligated to cause to be nominated for election to the Board or recommend to the stockholders the election of any director designee if the board of directors or nominating committee determines in good faith that such action would be inconsistent with its fiduciary duties or applicable law. In the event such determination is made, the Founding Members shall be notified and given the opportunity to provide an alternative director designee.</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Agreement to Vote for Directors. </w:t>
      </w:r>
      <w:r>
        <w:rPr>
          <w:rFonts w:ascii="Arial" w:cs="Arial" w:eastAsia="Arial" w:hAnsi="Arial"/>
          <w:sz w:val="18"/>
          <w:szCs w:val="18"/>
          <w:color w:val="auto"/>
        </w:rPr>
        <w:t>Each party to the Director Designation and Voting Agreement agrees to vote all of the shares of common stock owned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stockholder in favor of each of the parties’ designees to the board.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Assignment; Amendment</w:t>
      </w:r>
      <w:r>
        <w:rPr>
          <w:rFonts w:ascii="Arial" w:cs="Arial" w:eastAsia="Arial" w:hAnsi="Arial"/>
          <w:sz w:val="18"/>
          <w:szCs w:val="18"/>
          <w:color w:val="auto"/>
        </w:rPr>
        <w:t>. The right of each Founding Member to designate nominees for election to our board of directors is personal and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except upon the prior written consent of the other parties to the agreement. The Director Designation and Voting Agreement may not be amended except with the written consent of each of the parties to the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the completion of this offering, we and the Founding Members will enter into a Registration Rights Agreement, which will become effective upon the completion of this offering.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Founding Member Line of Credit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29, 2005, NCM LLC entered into an Amended and Restated Demand Promissory Note, or the demand note, with the Founding Members. The demand note permitted NCM LLC to borrow up to $11.0 million on a revolving basis, with borrowings funded by the Founding Members on a pro rata basis. Interest was payable monthly at 200 basis points over LIBOR. The demand note had a final maturity date of the earliest of March 31, 2007; the tenth day after a unanimous demand for payment by all Founding Members; or an event of default as defined in the demand note.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29, 2005, outstanding borrowings under the demand note were $1.3 million, and the interest rate was 6.34%. NCM LLC paid less than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$0.1 million in interest to the Founding Members in 2005. On March 26, 2006, NCM LLC repaid all borrowings under the demand note in full using the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 borrowing under a new line of credit with an unaffiliated lender, and the demand note was cancelled.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 Agreements and Related Agreements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AMC and Regal Contribution Agreement</w:t>
      </w:r>
      <w:r>
        <w:rPr>
          <w:rFonts w:ascii="Arial" w:cs="Arial" w:eastAsia="Arial" w:hAnsi="Arial"/>
          <w:sz w:val="18"/>
          <w:szCs w:val="18"/>
          <w:color w:val="auto"/>
        </w:rPr>
        <w:t>. In connection with the initial formation of NCM LLC on March 29, 2005, AMC, Regal and NCM LLC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 Contribution and Unit Holders Agreement, pursuant to which the two Founding Members contributed assets to NCM LLC in exchange for the issuance of Class A membership units. AMC contributed $4,338,409 in assets in exchange for 370 Class A membership units, and Regal contributed $7,387,021 in cash and assets in exchange for 630 Class A membership units. The Contribution and Unit Holders Agreement also established that AMC and Regal would make available working capital for a revolving loan, in an aggregate amount up to $11,000,000, which loan would be funded ratably by percentage of Class A membership units held.</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connection with the Contribution and Unit Holders Agreement and the formation of NCM LLC, Regal, AMC and NCM LLC entered into a Transition Services Agreement on March 29, 2005, effective as of April 1, 2005. The Transition Services Agreement, which expired on its terms on December 31, 2005, identified services (such as information technology, network and administrative support) to be provided by AMC and Regal to NCM LLC and by NCM LLC to Regal and the fees for such services, to support the initial operations of NCM LLC and the separation of the DCN from Regal. The Transition Services Agreement also provided the terms pursuant to which AMC and Regal loaned certain employees to NCM LLC. Additionally, Regal, AMC and NCM entered into a Bill of Sale and Assignment and Assumption Agreement on March 29, 2005, which gave effect to the transfer of assets contemplated by the Contribution and Unit Holders Agreement.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Cinemark Contribution Agreement. </w:t>
      </w:r>
      <w:r>
        <w:rPr>
          <w:rFonts w:ascii="Arial" w:cs="Arial" w:eastAsia="Arial" w:hAnsi="Arial"/>
          <w:sz w:val="18"/>
          <w:szCs w:val="18"/>
          <w:color w:val="auto"/>
        </w:rPr>
        <w:t>In connection with Cinemark’s entry as a Founding Member of NCM LLC, Cinemark and NCM LLC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Agreement as of July 15, 2005, pursuant to which Cinemark contributed $7,328,662 cash and received 261 Class A membership units. Pursuant to this Contribution Agreement, Cinemark’s cash contribution was used to pay the then-outstanding amounts loaned by AMC and Regal to NCM LLC. This Contribution Agreement modified the revolving loan provision of the Contribution and Unit Holders Agreement, so that AMC, Cinemark and Regal would ratably (based on Class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membership units held) fund up to $11,000,000 of an Amended and Restated Demand Note for NCM LLC borrowings. As discussed below under “—Founding Member Line of Credit,” this note was cancelled upon NCM LLC’s entry into its existing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Network LIVE</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On May 2, 2006, NCM LLC entered into a term sheet with Casbah Productions, LLC d/b/a Network LIVE, pursuant to which Network Live will provide captured artist performances for distribution across the digital content network, for a term of 24 months. The term sheet contemplates between 12 and 48 events per year, which will be promoted through </w:t>
      </w:r>
      <w:r>
        <w:rPr>
          <w:rFonts w:ascii="Arial" w:cs="Arial" w:eastAsia="Arial" w:hAnsi="Arial"/>
          <w:sz w:val="16"/>
          <w:szCs w:val="16"/>
          <w:i w:val="1"/>
          <w:iCs w:val="1"/>
          <w:color w:val="auto"/>
        </w:rPr>
        <w:t>FirstLook</w:t>
      </w:r>
      <w:r>
        <w:rPr>
          <w:rFonts w:ascii="Arial" w:cs="Arial" w:eastAsia="Arial" w:hAnsi="Arial"/>
          <w:sz w:val="16"/>
          <w:szCs w:val="16"/>
          <w:color w:val="auto"/>
        </w:rPr>
        <w:t>, the LEN, poster case and website advertising. Revenues from the events will be split among the theatre operator, Network LIVE and NCM LLC. During the term of the term sheet, Network LIVE will be the premium provider of content for NCM LLC theatres and thus NCM LLC will notify Network LIVE before directly negotiating with artists.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Network LIVE was a privately held joint venture of Anschutz Entertainment Group, Inc., XM Satellite Radio, Inc. and AOL, LLC. Anschutz Entertainment Group is a wholly-owned subsidiary of The Anschutz Corporation. The Anschutz Corporation is a wholly-owned subsidiary of the Anschutz Company. The Anschutz Company is the controlling stockholder of Regal Entertainment Group.</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fall 2006, Network LIVE dissolved and NCM LLC began working with Control Room, which has taken over production of the content formerly produced by Network LIVE. Control Room is not our affiliate.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Hughes Network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July 3, 2002, RCM entered into an Equipment and Services Agreement with Hughes Network Systems, Inc. Pursuant to the Equipment and Services Agreement, Hughes agreed to provide certain satellite communication services, equipment and software, for a term of 36 months. See “Business—Technology” above for a more detailed description of the Hughes technology. On July 2, 2005, NCM LLC and Hughes Network Systems, L.L.C. (formerly Hughes Network Systems, Inc.) entered into an Amendment to the Equipment and Services Agreement, pursuant to which, among other things, the term of the agreement was extended for an additional 24 months. For the nine months ended December 29, 2005 and the first six months ended July 29, 2006, the aggregate amount payable to Hughes was approximately $951,000 and $638,000, respectively.</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Hughes Network Systems, LLC is a wholly-owned subsidiary of Hughes Communications Inc. As of April 12, 2006, Apollo Investment Fund IV, LP owned 66.2% of Hughes Communications Inc. As of May 26, 2006, Apollo Investment Fund V, LP owned 20.78% of AMC Entertainment Group. Apollo Investment Fund, IV, LP and Apollo Investment Fund V, LP are under common control through the ownership of their respective general partners and managers.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The Anschutz Corporation</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NCM LLC has an informal agreement with The Anschutz Corporation to use, on occasion, two private aircraft owned by The Anschutz Corporation. The private aircraft are used to travel to cities where regularly scheduled flights require significant time or expense. The aircraft are leased on a per hour basis at rates that we believe are at or below market rates.</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Anschutz Corporation is a wholly-owned subsidiary of the Anschutz Company. The Anschutz Company is the controlling stockholder of Regal Entertainment Group. For the nine months ended December 29, 2005 and the six months ended June 29, 2006, the aggregate amounts paid to The Anschutz Corporation for use of the aircraft were approximately $54,000 and $41,000,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Founding Members—Subleases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Chicago Regional Office. </w:t>
      </w:r>
      <w:r>
        <w:rPr>
          <w:rFonts w:ascii="Arial" w:cs="Arial" w:eastAsia="Arial" w:hAnsi="Arial"/>
          <w:sz w:val="18"/>
          <w:szCs w:val="18"/>
          <w:color w:val="auto"/>
        </w:rPr>
        <w:t>On December 5, 2005, NCM LLC entered into a sublease agreement with RCM pursuant to which NCM LLC subleases its</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office in Chicago, Illinois. Both the sublease and the 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expire on July 31, 2009. Pursuant to the sublease, NCM LLC pays rent in an amount equal to that which would have been paid by RCM under the terms of its lease. The amounts payable to the landlord for the nine months ended December 29, 2005 and the six months ended June 29, 2006, were, in aggregate, approximately $31,000 and $23,000, respectively.</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New York Regional Office</w:t>
      </w:r>
      <w:r>
        <w:rPr>
          <w:rFonts w:ascii="Arial" w:cs="Arial" w:eastAsia="Arial" w:hAnsi="Arial"/>
          <w:sz w:val="16"/>
          <w:szCs w:val="16"/>
          <w:color w:val="auto"/>
        </w:rPr>
        <w:t>. On January 27, 2006, NCM LLC entered into a sublease agreement with RCM pursuant to which NCM LLC subleases its</w:t>
      </w:r>
      <w:r>
        <w:rPr>
          <w:rFonts w:ascii="Arial" w:cs="Arial" w:eastAsia="Arial" w:hAnsi="Arial"/>
          <w:sz w:val="16"/>
          <w:szCs w:val="16"/>
          <w:i w:val="1"/>
          <w:iCs w:val="1"/>
          <w:color w:val="auto"/>
        </w:rPr>
        <w:t xml:space="preserve"> </w:t>
      </w:r>
      <w:r>
        <w:rPr>
          <w:rFonts w:ascii="Arial" w:cs="Arial" w:eastAsia="Arial" w:hAnsi="Arial"/>
          <w:sz w:val="16"/>
          <w:szCs w:val="16"/>
          <w:color w:val="auto"/>
        </w:rPr>
        <w:t>regional office in New York, New York. Both the sublease and the lease expire on April 30, 2010. Pursuant to the sublease, NCM LLC pays rent to RCM in an amount equal to that which would have been paid by RCM under the terms of its lease. The amounts payable to RCM for the nine months ended December 29, 2005 and the six months ended June 29, 2006, were, in aggregate, approximately $258,000 and $208,000, respectively.</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Woodland Hills Regional Office. </w:t>
      </w:r>
      <w:r>
        <w:rPr>
          <w:rFonts w:ascii="Arial" w:cs="Arial" w:eastAsia="Arial" w:hAnsi="Arial"/>
          <w:sz w:val="18"/>
          <w:szCs w:val="18"/>
          <w:color w:val="auto"/>
        </w:rPr>
        <w:t>On March 22, 2005, RCM assigned its interests in a sublease from Regal to NCM LLC for its regional office in Woodland</w:t>
      </w:r>
      <w:r>
        <w:rPr>
          <w:rFonts w:ascii="Arial" w:cs="Arial" w:eastAsia="Arial" w:hAnsi="Arial"/>
          <w:sz w:val="18"/>
          <w:szCs w:val="18"/>
          <w:i w:val="1"/>
          <w:iCs w:val="1"/>
          <w:color w:val="auto"/>
        </w:rPr>
        <w:t xml:space="preserve"> </w:t>
      </w:r>
      <w:r>
        <w:rPr>
          <w:rFonts w:ascii="Arial" w:cs="Arial" w:eastAsia="Arial" w:hAnsi="Arial"/>
          <w:sz w:val="18"/>
          <w:szCs w:val="18"/>
          <w:color w:val="auto"/>
        </w:rPr>
        <w:t>Hills, California. The lease and sublease expired on July 31, 2006. Pursuant to the sublease, NCM LLC paid rent to Regal in an amount equal to that which would have been paid by Regal under the terms of its lease. The amounts payable to Regal for the nine months ended December 29, 2005 and the six months ended June 29, 2006 were, in aggregate, approximately $46,000 and $40,000, respectively. NCM LLC moved to different office space in Woodland Hills, described immediately below, during May 2006.</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NCM LLC entered into a sublease agreement with AMC pursuant to which NCM LLC subleases its regional office in Woodland Hills, California. The lease expires on May 31, 2007. The sublease expires on May 30, 2007. Pursuant to the sublease, NCM LLC pays rent to AMC in an amount equal to that which would have been paid by AMC under the terms of its lease. The amount payable to AMC for the six months ended June 29, 2006, was, in aggregate, approximately $14,000.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NCM LLC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Subscription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enter into a Common Unit Subscription Agreement with NCM LLC. Subject to the satisfaction of certain conditions described below, under</w:t>
      </w:r>
    </w:p>
    <w:p>
      <w:pPr>
        <w:spacing w:after="0" w:line="38"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the Common Unit Purchase Agreement, NCM LLC will agree to issue and sell to us, and we will agree to buy from NCM LLC, common units of NCM LLC, which represents approximately % of common units of NCM LLC. The per unit purchase price we will pay for the common units will be equal to the</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per share purchase price that our common stock is sold to the public pursuant to this offering less underwriting discounts and commissions. If the underwriters’ over-allotment option is exercised, we will acquire an additional number of units equal to the number of shares sold to the underwriters.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Until the consummation of the sale of the common units of NCM LLC pursuant to the Common Unit Subscription Agreement, NCM LLC will agree to:</w:t>
      </w:r>
    </w:p>
    <w:p>
      <w:pPr>
        <w:spacing w:after="0" w:line="113" w:lineRule="exact"/>
        <w:rPr>
          <w:sz w:val="20"/>
          <w:szCs w:val="20"/>
          <w:color w:val="auto"/>
        </w:rPr>
      </w:pPr>
    </w:p>
    <w:p>
      <w:pPr>
        <w:ind w:left="780" w:hanging="24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conduct the business of NCM LLC, in the ordinary course consistent with past practice,</w:t>
      </w:r>
    </w:p>
    <w:p>
      <w:pPr>
        <w:spacing w:after="0" w:line="90" w:lineRule="exact"/>
        <w:rPr>
          <w:rFonts w:ascii="Arial" w:cs="Arial" w:eastAsia="Arial" w:hAnsi="Arial"/>
          <w:sz w:val="18"/>
          <w:szCs w:val="18"/>
          <w:color w:val="auto"/>
        </w:rPr>
      </w:pPr>
    </w:p>
    <w:p>
      <w:pPr>
        <w:ind w:left="780" w:hanging="249"/>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use all commercially reasonable efforts to (A) retain the services of its key employees, (B) preserve NCM LLC’s relationships with material customers, suppliers, sponsors, licensors and creditors, and (C) maintain and keep NCM LLC’s properties and assets in as good repair and condition as at present, ordinary wear and tear excepted, and</w:t>
      </w:r>
    </w:p>
    <w:p>
      <w:pPr>
        <w:spacing w:after="0" w:line="59" w:lineRule="exact"/>
        <w:rPr>
          <w:rFonts w:ascii="Arial" w:cs="Arial" w:eastAsia="Arial" w:hAnsi="Arial"/>
          <w:sz w:val="18"/>
          <w:szCs w:val="18"/>
          <w:color w:val="auto"/>
        </w:rPr>
      </w:pPr>
    </w:p>
    <w:p>
      <w:pPr>
        <w:ind w:left="780" w:right="80" w:hanging="249"/>
        <w:spacing w:after="0" w:line="259"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maintain its capital structure as it existed on the date of the Common Unit Subscription Agreement and refrain from making any distributions to the Founding Members or their affiliates, or make any direct or indirect redemption, retirement, purchase or other acquisition of any membership interests in NCM LLC of any nature.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other customary closing conditions, the sale of the common units of NCM LLC will be conditioned upon our entry into an underwriting agreement with the managing underwriters for this offering,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05" w:lineRule="auto"/>
        <w:rPr>
          <w:sz w:val="20"/>
          <w:szCs w:val="20"/>
          <w:color w:val="auto"/>
        </w:rPr>
      </w:pPr>
      <w:r>
        <w:rPr>
          <w:rFonts w:ascii="Arial" w:cs="Arial" w:eastAsia="Arial" w:hAnsi="Arial"/>
          <w:sz w:val="15"/>
          <w:szCs w:val="15"/>
          <w:color w:val="auto"/>
        </w:rPr>
        <w:t>completion of the recapitalization of NCM LLC as described in this prospectus, and the absence of any order, decree or judgment of any court or other governmental authority that makes the sale of the common units of NCM LLC to us illegal or invalid. The Common Unit Subscription Agreement will</w:t>
      </w:r>
    </w:p>
    <w:p>
      <w:pPr>
        <w:ind w:right="260"/>
        <w:spacing w:after="0" w:line="261" w:lineRule="auto"/>
        <w:rPr>
          <w:sz w:val="20"/>
          <w:szCs w:val="20"/>
          <w:color w:val="auto"/>
        </w:rPr>
      </w:pPr>
      <w:r>
        <w:rPr>
          <w:rFonts w:ascii="Arial" w:cs="Arial" w:eastAsia="Arial" w:hAnsi="Arial"/>
          <w:sz w:val="18"/>
          <w:szCs w:val="18"/>
          <w:color w:val="auto"/>
        </w:rPr>
        <w:t>automatically be terminated if the closing conditions are not satisfied or waived on or before , 2007 or if the registration statement relating to this offering is withdrawn for any reason prior to such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enter into a Management Services Agreement with NCM LLC pursuant to which we will agree to provide management services to NCM LLC. In exchange for the services, NCM LLC will reimburse us for compensation and other expenses of our officers and employees and will pay a service fee of</w:t>
      </w:r>
    </w:p>
    <w:p>
      <w:pPr>
        <w:spacing w:after="0"/>
        <w:tabs>
          <w:tab w:leader="none" w:pos="640" w:val="left"/>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w:t>
      </w:r>
      <w:r>
        <w:rPr>
          <w:sz w:val="20"/>
          <w:szCs w:val="20"/>
          <w:color w:val="auto"/>
        </w:rPr>
        <w:tab/>
      </w:r>
      <w:r>
        <w:rPr>
          <w:rFonts w:ascii="Arial" w:cs="Arial" w:eastAsia="Arial" w:hAnsi="Arial"/>
          <w:sz w:val="14"/>
          <w:szCs w:val="14"/>
          <w:color w:val="auto"/>
        </w:rPr>
        <w: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Assignment Agreement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intend to enter into Employment Assignment Agreements with NCM LLC pursuant to which we will agree to assume the obligations and duties of NCM LLC under its employment agreements with each of the following executive officers: Kurt C. Hall, Clifford E. Marks, Gary W. Ferrera, Thomas C. Galley and Ralph E. Hardy. See “Management—Employment and Other Agreements” above for a detailed description of the employment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Substitution Agreement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enter into Option Substitution Agreements with holders of outstanding options of NCM LLC to cancel each NCM LLC option and substitute the option with an option to purchase common stock of NCM Inc. See “Management—Equity Incentive Plan—Substitution of NCM LLC Options” above for additional discussion of the option substitution.</w:t>
      </w:r>
    </w:p>
    <w:p>
      <w:pPr>
        <w:spacing w:after="0" w:line="215"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b w:val="1"/>
          <w:bCs w:val="1"/>
          <w:color w:val="auto"/>
        </w:rPr>
        <w:t>Transactions with</w:t>
      </w:r>
      <w:r>
        <w:rPr>
          <w:sz w:val="20"/>
          <w:szCs w:val="20"/>
          <w:color w:val="auto"/>
        </w:rPr>
        <w:tab/>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Digital Cinema Services Agreement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NCM LLC entered into a letter agreement on December 1, 2005 with the Founding Members to enable it to explore the possibility of implementing digital cinema in their theatres. In connection with the completion of this offering, we anticipate that we will enter into the Digital Cinema Services Agreement with a newly-formed entity to be formed and owned by our Founding Members, to govern our activities related to design, planning and management related to development and procurement of digital cinema systems for our Founding Members. This effort will include system design, equipment procurement and the development of financing agreements with the studios and third-party financing sources. In connection with the Digital Cinema Services Agreement, we anticipate that we will assign to the newly formed entity an engagement letter we have entered into with J.P. Morgan Securities Inc. and a consulting contract we have entered into with Travis Reid, former Loews Cineplex Entertainment President and CEO, who is leading the effort to create a business plan and financing model for digital cinema with the major motion picture studios.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459" w:right="3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left="460"/>
        <w:spacing w:after="0"/>
        <w:tabs>
          <w:tab w:leader="none" w:pos="9680" w:val="left"/>
        </w:tabs>
        <w:rPr>
          <w:sz w:val="20"/>
          <w:szCs w:val="20"/>
          <w:color w:val="auto"/>
        </w:rPr>
      </w:pPr>
      <w:r>
        <w:rPr>
          <w:rFonts w:ascii="Arial" w:cs="Arial" w:eastAsia="Arial" w:hAnsi="Arial"/>
          <w:sz w:val="18"/>
          <w:szCs w:val="18"/>
          <w:color w:val="auto"/>
        </w:rPr>
        <w:t>The following table presents information concerning the beneficial ownership of the shares of our common stock as of</w:t>
      </w:r>
      <w:r>
        <w:rPr>
          <w:sz w:val="20"/>
          <w:szCs w:val="20"/>
          <w:color w:val="auto"/>
        </w:rPr>
        <w:tab/>
      </w:r>
      <w:r>
        <w:rPr>
          <w:rFonts w:ascii="Arial" w:cs="Arial" w:eastAsia="Arial" w:hAnsi="Arial"/>
          <w:sz w:val="16"/>
          <w:szCs w:val="16"/>
          <w:color w:val="auto"/>
        </w:rPr>
        <w:t>, 2006, giving effect to</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completion of this offering and the Reorganization, and assuming the redemption of all of the outstanding NCM LLC common membership units in exchange for, our common stock, by:</w:t>
      </w:r>
    </w:p>
    <w:p>
      <w:pPr>
        <w:spacing w:after="0" w:line="57" w:lineRule="exact"/>
        <w:rPr>
          <w:sz w:val="20"/>
          <w:szCs w:val="20"/>
          <w:color w:val="auto"/>
        </w:rPr>
      </w:pPr>
    </w:p>
    <w:p>
      <w:pPr>
        <w:ind w:left="780" w:hanging="24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we know to be the beneficial owner of 5% of more of our outstanding shares of common stock;</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60" w:firstLine="456"/>
        <w:spacing w:after="0" w:line="303" w:lineRule="auto"/>
        <w:rPr>
          <w:sz w:val="20"/>
          <w:szCs w:val="20"/>
          <w:color w:val="auto"/>
        </w:rPr>
      </w:pPr>
      <w:r>
        <w:rPr>
          <w:rFonts w:ascii="Arial" w:cs="Arial" w:eastAsia="Arial" w:hAnsi="Arial"/>
          <w:sz w:val="15"/>
          <w:szCs w:val="15"/>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Percentage of beneficial ownership is based on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common stock outstanding after the completion of this offering. No shares of common stock subject to options are currently exercisable or</w:t>
      </w:r>
    </w:p>
    <w:p>
      <w:pPr>
        <w:spacing w:after="0" w:line="32"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exercisable within 60 days of , 2006. Unless indicated below, the address of each individual listed below is 9110 E. Nichols Ave., Suite 200, Centennial, Colorado 80112-3405.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5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1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1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1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Voting</w:t>
            </w:r>
          </w:p>
        </w:tc>
      </w:tr>
      <w:tr>
        <w:trPr>
          <w:trHeight w:val="181"/>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w:t>
            </w:r>
          </w:p>
        </w:tc>
        <w:tc>
          <w:tcPr>
            <w:tcW w:w="10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Owned(1)</w:t>
            </w:r>
          </w:p>
        </w:tc>
        <w:tc>
          <w:tcPr>
            <w:tcW w:w="1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Power</w:t>
            </w:r>
          </w:p>
        </w:tc>
      </w:tr>
      <w:tr>
        <w:trPr>
          <w:trHeight w:val="125"/>
        </w:trPr>
        <w:tc>
          <w:tcPr>
            <w:tcW w:w="5340" w:type="dxa"/>
            <w:vAlign w:val="bottom"/>
          </w:tcPr>
          <w:p>
            <w:pPr>
              <w:spacing w:after="0" w:line="125" w:lineRule="exact"/>
              <w:rPr>
                <w:sz w:val="20"/>
                <w:szCs w:val="20"/>
                <w:color w:val="auto"/>
              </w:rPr>
            </w:pPr>
            <w:r>
              <w:rPr>
                <w:rFonts w:ascii="Arial" w:cs="Arial" w:eastAsia="Arial" w:hAnsi="Arial"/>
                <w:sz w:val="14"/>
                <w:szCs w:val="14"/>
                <w:b w:val="1"/>
                <w:bCs w:val="1"/>
                <w:color w:val="auto"/>
              </w:rPr>
              <w:t>Five Percent Stockholders</w:t>
            </w: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72"/>
        </w:trPr>
        <w:tc>
          <w:tcPr>
            <w:tcW w:w="5340" w:type="dxa"/>
            <w:vAlign w:val="bottom"/>
          </w:tcPr>
          <w:p>
            <w:pPr>
              <w:spacing w:after="0"/>
              <w:rPr>
                <w:sz w:val="20"/>
                <w:szCs w:val="20"/>
                <w:color w:val="auto"/>
              </w:rPr>
            </w:pPr>
            <w:r>
              <w:rPr>
                <w:rFonts w:ascii="Arial" w:cs="Arial" w:eastAsia="Arial" w:hAnsi="Arial"/>
                <w:sz w:val="14"/>
                <w:szCs w:val="14"/>
                <w:color w:val="auto"/>
              </w:rPr>
              <w:t>National Cinema Network, Inc.(2)</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4"/>
                <w:szCs w:val="14"/>
                <w:color w:val="auto"/>
              </w:rPr>
              <w:t>Cinemark Media, Inc.(3)</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3"/>
        </w:trPr>
        <w:tc>
          <w:tcPr>
            <w:tcW w:w="5340" w:type="dxa"/>
            <w:vAlign w:val="bottom"/>
          </w:tcPr>
          <w:p>
            <w:pPr>
              <w:spacing w:after="0"/>
              <w:rPr>
                <w:sz w:val="20"/>
                <w:szCs w:val="20"/>
                <w:color w:val="auto"/>
              </w:rPr>
            </w:pPr>
            <w:r>
              <w:rPr>
                <w:rFonts w:ascii="Arial" w:cs="Arial" w:eastAsia="Arial" w:hAnsi="Arial"/>
                <w:sz w:val="14"/>
                <w:szCs w:val="14"/>
                <w:color w:val="auto"/>
              </w:rPr>
              <w:t>Regal CineMedia Holdings, LLC(4)</w:t>
            </w: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The Anschutz Company(5)</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5340" w:type="dxa"/>
            <w:vAlign w:val="bottom"/>
          </w:tcPr>
          <w:p>
            <w:pPr>
              <w:spacing w:after="0"/>
              <w:rPr>
                <w:sz w:val="20"/>
                <w:szCs w:val="20"/>
                <w:color w:val="auto"/>
              </w:rPr>
            </w:pPr>
            <w:r>
              <w:rPr>
                <w:rFonts w:ascii="Arial" w:cs="Arial" w:eastAsia="Arial" w:hAnsi="Arial"/>
                <w:sz w:val="14"/>
                <w:szCs w:val="14"/>
                <w:color w:val="auto"/>
              </w:rPr>
              <w:t>Philip F. Anschutz(6)</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3"/>
        </w:trPr>
        <w:tc>
          <w:tcPr>
            <w:tcW w:w="534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Kurt C. Hall</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Clifford E. Marks</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Gary W. Ferrera</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Thomas C. Galley</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Ralph E. Hardy</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Michael L. Campbell</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Peter C. Brown</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5340" w:type="dxa"/>
            <w:vAlign w:val="bottom"/>
          </w:tcPr>
          <w:p>
            <w:pPr>
              <w:spacing w:after="0" w:line="149" w:lineRule="exact"/>
              <w:rPr>
                <w:sz w:val="20"/>
                <w:szCs w:val="20"/>
                <w:color w:val="auto"/>
              </w:rPr>
            </w:pPr>
            <w:r>
              <w:rPr>
                <w:rFonts w:ascii="Arial" w:cs="Arial" w:eastAsia="Arial" w:hAnsi="Arial"/>
                <w:sz w:val="14"/>
                <w:szCs w:val="14"/>
                <w:color w:val="auto"/>
              </w:rPr>
              <w:t>Lee Roy Mitchell</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5340" w:type="dxa"/>
            <w:vAlign w:val="bottom"/>
          </w:tcPr>
          <w:p>
            <w:pPr>
              <w:spacing w:after="0"/>
              <w:rPr>
                <w:sz w:val="20"/>
                <w:szCs w:val="20"/>
                <w:color w:val="auto"/>
              </w:rPr>
            </w:pPr>
            <w:r>
              <w:rPr>
                <w:rFonts w:ascii="Arial" w:cs="Arial" w:eastAsia="Arial" w:hAnsi="Arial"/>
                <w:sz w:val="14"/>
                <w:szCs w:val="14"/>
                <w:color w:val="auto"/>
              </w:rPr>
              <w:t>All directors and executive officers as a group (8 persons)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9037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86" w:lineRule="exact"/>
        <w:rPr>
          <w:sz w:val="20"/>
          <w:szCs w:val="20"/>
          <w:color w:val="auto"/>
        </w:rPr>
      </w:pPr>
    </w:p>
    <w:p>
      <w:pPr>
        <w:ind w:left="340" w:right="40" w:hanging="273"/>
        <w:spacing w:after="0" w:line="230"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NCM LLC common membership units are redeemable for, at our option, shares of common stock on a one-for-one basis, a cash payment equal to the market price of one share of our common stock or any combination of cash and stock.</w:t>
      </w:r>
    </w:p>
    <w:p>
      <w:pPr>
        <w:ind w:left="340" w:hanging="273"/>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this stockholder is 920 Main Street, Kansas City, Missouri 64105</w:t>
      </w:r>
    </w:p>
    <w:p>
      <w:pPr>
        <w:ind w:left="340" w:hanging="273"/>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this stockholder is 3900 Dallas Parkway, Suite 500, Plano, Texas 75093</w:t>
      </w:r>
    </w:p>
    <w:p>
      <w:pPr>
        <w:ind w:left="340" w:hanging="273"/>
        <w:spacing w:after="0" w:line="221"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address of this stockholder is 7132 Regal Lane, Knoxville, Tennessee 37918.</w:t>
      </w:r>
    </w:p>
    <w:tbl>
      <w:tblPr>
        <w:tblLayout w:type="fixed"/>
        <w:tblInd w:w="60" w:type="dxa"/>
        <w:tblCellMar>
          <w:top w:w="0" w:type="dxa"/>
          <w:left w:w="0" w:type="dxa"/>
          <w:bottom w:w="0" w:type="dxa"/>
          <w:right w:w="0" w:type="dxa"/>
        </w:tblCellMar>
      </w:tblPr>
      <w:tr>
        <w:trPr>
          <w:trHeight w:val="137"/>
        </w:trPr>
        <w:tc>
          <w:tcPr>
            <w:tcW w:w="220" w:type="dxa"/>
            <w:vAlign w:val="bottom"/>
          </w:tcPr>
          <w:p>
            <w:pPr>
              <w:jc w:val="right"/>
              <w:spacing w:after="0" w:line="137" w:lineRule="exact"/>
              <w:rPr>
                <w:sz w:val="20"/>
                <w:szCs w:val="20"/>
                <w:color w:val="auto"/>
              </w:rPr>
            </w:pPr>
            <w:r>
              <w:rPr>
                <w:rFonts w:ascii="Arial" w:cs="Arial" w:eastAsia="Arial" w:hAnsi="Arial"/>
                <w:sz w:val="14"/>
                <w:szCs w:val="14"/>
                <w:color w:val="auto"/>
                <w:w w:val="81"/>
              </w:rPr>
              <w:t>(5)</w:t>
            </w:r>
          </w:p>
        </w:tc>
        <w:tc>
          <w:tcPr>
            <w:tcW w:w="2080" w:type="dxa"/>
            <w:vAlign w:val="bottom"/>
          </w:tcPr>
          <w:p>
            <w:pPr>
              <w:ind w:left="60"/>
              <w:spacing w:after="0" w:line="137" w:lineRule="exact"/>
              <w:rPr>
                <w:sz w:val="20"/>
                <w:szCs w:val="20"/>
                <w:color w:val="auto"/>
              </w:rPr>
            </w:pPr>
            <w:r>
              <w:rPr>
                <w:rFonts w:ascii="Arial" w:cs="Arial" w:eastAsia="Arial" w:hAnsi="Arial"/>
                <w:sz w:val="14"/>
                <w:szCs w:val="14"/>
                <w:color w:val="auto"/>
                <w:w w:val="95"/>
              </w:rPr>
              <w:t>The address of this stockholder is</w:t>
            </w:r>
          </w:p>
        </w:tc>
        <w:tc>
          <w:tcPr>
            <w:tcW w:w="260" w:type="dxa"/>
            <w:vAlign w:val="bottom"/>
          </w:tcPr>
          <w:p>
            <w:pPr>
              <w:jc w:val="right"/>
              <w:spacing w:after="0" w:line="137" w:lineRule="exact"/>
              <w:rPr>
                <w:sz w:val="20"/>
                <w:szCs w:val="20"/>
                <w:color w:val="auto"/>
              </w:rPr>
            </w:pPr>
            <w:r>
              <w:rPr>
                <w:rFonts w:ascii="Arial" w:cs="Arial" w:eastAsia="Arial" w:hAnsi="Arial"/>
                <w:sz w:val="14"/>
                <w:szCs w:val="14"/>
                <w:color w:val="auto"/>
              </w:rPr>
              <w:t>.</w:t>
            </w:r>
          </w:p>
        </w:tc>
      </w:tr>
      <w:tr>
        <w:trPr>
          <w:trHeight w:val="172"/>
        </w:trPr>
        <w:tc>
          <w:tcPr>
            <w:tcW w:w="220" w:type="dxa"/>
            <w:vAlign w:val="bottom"/>
          </w:tcPr>
          <w:p>
            <w:pPr>
              <w:jc w:val="right"/>
              <w:spacing w:after="0"/>
              <w:rPr>
                <w:sz w:val="20"/>
                <w:szCs w:val="20"/>
                <w:color w:val="auto"/>
              </w:rPr>
            </w:pPr>
            <w:r>
              <w:rPr>
                <w:rFonts w:ascii="Arial" w:cs="Arial" w:eastAsia="Arial" w:hAnsi="Arial"/>
                <w:sz w:val="14"/>
                <w:szCs w:val="14"/>
                <w:color w:val="auto"/>
                <w:w w:val="81"/>
              </w:rPr>
              <w:t>(6)</w:t>
            </w:r>
          </w:p>
        </w:tc>
        <w:tc>
          <w:tcPr>
            <w:tcW w:w="2080" w:type="dxa"/>
            <w:vAlign w:val="bottom"/>
          </w:tcPr>
          <w:p>
            <w:pPr>
              <w:ind w:left="60"/>
              <w:spacing w:after="0"/>
              <w:rPr>
                <w:sz w:val="20"/>
                <w:szCs w:val="20"/>
                <w:color w:val="auto"/>
              </w:rPr>
            </w:pPr>
            <w:r>
              <w:rPr>
                <w:rFonts w:ascii="Arial" w:cs="Arial" w:eastAsia="Arial" w:hAnsi="Arial"/>
                <w:sz w:val="14"/>
                <w:szCs w:val="14"/>
                <w:color w:val="auto"/>
                <w:w w:val="95"/>
              </w:rPr>
              <w:t>The address of this stockholder is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description of material terms of our capital stock and certain provisions of our certificate of incorporation and bylaws, each of which will be in effect on the closing of this offering, are summaries and are qualified by reference to the certificate of incorporation and the bylaws, copies of which have been filed as exhibits to the registration statement, of which this prospectus forms a part.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authorized capital stock consists of:</w:t>
      </w:r>
    </w:p>
    <w:p>
      <w:pPr>
        <w:spacing w:after="0" w:line="90" w:lineRule="exact"/>
        <w:rPr>
          <w:sz w:val="20"/>
          <w:szCs w:val="20"/>
          <w:color w:val="auto"/>
        </w:rPr>
      </w:pPr>
    </w:p>
    <w:p>
      <w:pPr>
        <w:ind w:left="1340" w:hanging="809"/>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of common stock, par value $.01 per share;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10,000,000 shares of preferred stock, par value $.01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left="460"/>
        <w:spacing w:after="0"/>
        <w:tabs>
          <w:tab w:leader="none" w:pos="4600" w:val="left"/>
        </w:tabs>
        <w:rPr>
          <w:sz w:val="20"/>
          <w:szCs w:val="20"/>
          <w:color w:val="auto"/>
        </w:rPr>
      </w:pPr>
      <w:r>
        <w:rPr>
          <w:rFonts w:ascii="Arial" w:cs="Arial" w:eastAsia="Arial" w:hAnsi="Arial"/>
          <w:sz w:val="18"/>
          <w:szCs w:val="18"/>
          <w:color w:val="auto"/>
        </w:rPr>
        <w:t>Upon the completion of this offering, there will be</w:t>
      </w:r>
      <w:r>
        <w:rPr>
          <w:sz w:val="20"/>
          <w:szCs w:val="20"/>
          <w:color w:val="auto"/>
        </w:rPr>
        <w:tab/>
      </w:r>
      <w:r>
        <w:rPr>
          <w:rFonts w:ascii="Arial" w:cs="Arial" w:eastAsia="Arial" w:hAnsi="Arial"/>
          <w:sz w:val="15"/>
          <w:szCs w:val="15"/>
          <w:color w:val="auto"/>
        </w:rPr>
        <w:t>shares of common stock issued and outstanding.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stock will be entitled to one vote per share.</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directors will be elected by all of our common stockholders voting together as a single class. The Director Designation and Voting Agreement among the Founding Members will provide that each Founding Member will nominate two of the directors. The Director Designation and Voting Agreement further provides that each Founding Member will vote its shares to elect the directors designated by each Founding Member to our board. Holders of shares of common stock will not be entitled to cumulate their votes in the election of directors.</w:t>
      </w:r>
    </w:p>
    <w:p>
      <w:pPr>
        <w:spacing w:after="0" w:line="143"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Generally, all matters to be voted on by stockholders must be approved by a majority (or, in the case of election of directors, by a plurality) of our outstanding voting power. Except as otherwise required by the DGCL, our certificate of incorporation or the voting rights granted to any preferred stock we subsequently issue, the holders of outstanding shares of common stock and preferred stock entitled to vote thereon, if any, will vote as one class with respect to all matters to be voted on by our stockholders. Except as otherwise provided by law, and subject to any voting rights granted to any preferred stock we subsequently issue, amendments to our certificate of incorporation must be approved by a holders of at least 66 2/3% of the combined voting power of the outstanding common stock. Under the DGCL, amendments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 Notwithstanding the foregoing, any amendment to our certificate of incorporation to increase or decrease the authorized shares of common stock shall be approved upon the affirmative vote of the holders of a majority of the common stock, voting together as a single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Holders of common stock will share ratably (based on the number of shares of common stock held) in any dividend declared by our board of directors, subject to any preferential rights of any outstanding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completion of this offering, our board of directors will be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Upon the closing of this offering, there will be no shares of preferred stock outstanding. We have no present plans to issue any shares of preferred stock. See “—Anti-Takeover Effects of Certain Provisions of Delaware Law, the Certificate of Incorporation and the Bylaws.”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connection with the completion of this offering, options previously granted by NCM LLC to its employees under the National CineMedia 2006 Unit Option Plan that remain outstanding as of the date of the completion of the offering will be substituted with options granted under the NCM Inc. equity incentive plan. In addition, the NCM LLC plan provides that under certain conditions, option holders will receive an additional equity award of options or restricted units at the time of an initial public offering, which we refer to as the “IPO awards.” We intend to enter into Option Substitution Agreements with holders of outstanding options of NCM LLC to cancel each NCM LLC option and substitute the option with an option to purchase common stock of NCM Inc. We expect to issue</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options to purchase approximately shares under our equity incentive plan in substitution for options previously granted under the National CineMedia, LLC 2006 Unit Option Plan to employees of NCM LLC and IPO awards in the form of options to purchase approximately shares of our common stock. Upon completion of this offering, options to purchase a total of shares of common stock will be outstanding. See “Management—Equity Incentive Plan” and “Shares Eligible for Future 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the Certificate of Incorporation and the Bylaws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elected in our certificate of incorporation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other provisions of the certificate of incorporation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of incorporation and bylaws:</w:t>
      </w:r>
    </w:p>
    <w:p>
      <w:pPr>
        <w:spacing w:after="0" w:line="66" w:lineRule="exact"/>
        <w:rPr>
          <w:sz w:val="20"/>
          <w:szCs w:val="20"/>
          <w:color w:val="auto"/>
        </w:rPr>
      </w:pPr>
    </w:p>
    <w:p>
      <w:pPr>
        <w:ind w:left="780" w:hanging="24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780" w:right="300" w:hanging="249"/>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60" w:hanging="249"/>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780" w:right="80" w:hanging="249"/>
        <w:spacing w:after="0" w:line="332" w:lineRule="auto"/>
        <w:tabs>
          <w:tab w:leader="none" w:pos="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control over the operations of NCM LLC, which may discourage other nominations to our board of directors, if any director nominee designated by the Founding Member is not elected by our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board of directors will be divided into three classes of directors serving staggered three-year terms, designated as Class I, Class II and Class III. The members of each class shall serve for a staggered two-year term, except that Class I directors in the initial term immediately following the offering will serve for one year and the Class II directors in the initial term immediately following the offering will serve for two years. Each director will be elected to serve until the election of the director’s successor at an annual meeting of stockholders for the election of directors for the year in which the director’s term expires or at a special meeting called for that purpose. As a result, approximately one third of our board of directors will be elected each year. Our board of directors will initially consist of ten directors and are to be elected by the holders of a plurality of the voting power of our outstanding common stock, voting together as a single class.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Approval Rights for Certain Matters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(i) NCM Inc. may take any of the following actions or (ii) NCM Inc., in its capacity as sole manager of NCM LLC, may authorize NCM LLC to take any of the following actions:</w:t>
      </w:r>
    </w:p>
    <w:p>
      <w:pPr>
        <w:spacing w:after="0" w:line="62" w:lineRule="exact"/>
        <w:rPr>
          <w:sz w:val="20"/>
          <w:szCs w:val="20"/>
          <w:color w:val="auto"/>
        </w:rPr>
      </w:pPr>
    </w:p>
    <w:p>
      <w:pPr>
        <w:ind w:left="780" w:hanging="24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780" w:right="300" w:hanging="249"/>
        <w:spacing w:after="0" w:line="335" w:lineRule="auto"/>
        <w:tabs>
          <w:tab w:leader="none" w:pos="7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acquire, dispose, lease or license assets by NCM Inc. or NCM LLC or enter into a contract to do the foregoing, in a single transaction or in two or more transactions (related or unrelated) in any consecutive twelve-month period with an aggregate value (as determined in good faith by the board) exceeding 20% of the fair market value of the business of NCM LLC operating as a going concern (as determined in good faith by the board);</w:t>
      </w:r>
    </w:p>
    <w:p>
      <w:pPr>
        <w:spacing w:after="0" w:line="7" w:lineRule="exact"/>
        <w:rPr>
          <w:rFonts w:ascii="Arial" w:cs="Arial" w:eastAsia="Arial" w:hAnsi="Arial"/>
          <w:sz w:val="15"/>
          <w:szCs w:val="15"/>
          <w:color w:val="auto"/>
        </w:rPr>
      </w:pPr>
    </w:p>
    <w:p>
      <w:pPr>
        <w:ind w:left="780" w:hanging="24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incur any indebtedness (including the refinancing of any indebtedness) or repay any indebtedness (other than a working capital revolving line of credit)</w:t>
      </w:r>
    </w:p>
    <w:p>
      <w:pPr>
        <w:spacing w:after="0" w:line="38" w:lineRule="exact"/>
        <w:rPr>
          <w:sz w:val="20"/>
          <w:szCs w:val="20"/>
          <w:color w:val="auto"/>
        </w:rPr>
      </w:pPr>
    </w:p>
    <w:p>
      <w:pPr>
        <w:ind w:left="780"/>
        <w:spacing w:after="0"/>
        <w:tabs>
          <w:tab w:leader="none" w:pos="4900" w:val="left"/>
        </w:tabs>
        <w:rPr>
          <w:sz w:val="20"/>
          <w:szCs w:val="20"/>
          <w:color w:val="auto"/>
        </w:rPr>
      </w:pPr>
      <w:r>
        <w:rPr>
          <w:rFonts w:ascii="Arial" w:cs="Arial" w:eastAsia="Arial" w:hAnsi="Arial"/>
          <w:sz w:val="18"/>
          <w:szCs w:val="18"/>
          <w:color w:val="auto"/>
        </w:rPr>
        <w:t>with a fixed term before due, in an amount exceeding</w:t>
      </w:r>
      <w:r>
        <w:rPr>
          <w:sz w:val="20"/>
          <w:szCs w:val="20"/>
          <w:color w:val="auto"/>
        </w:rPr>
        <w:tab/>
      </w:r>
      <w:r>
        <w:rPr>
          <w:rFonts w:ascii="Arial" w:cs="Arial" w:eastAsia="Arial" w:hAnsi="Arial"/>
          <w:sz w:val="16"/>
          <w:szCs w:val="16"/>
          <w:color w:val="auto"/>
        </w:rPr>
        <w:t>% of the fair market value of the business of NCM LLC operating as a going concern;</w:t>
      </w:r>
    </w:p>
    <w:p>
      <w:pPr>
        <w:spacing w:after="0" w:line="84" w:lineRule="exact"/>
        <w:rPr>
          <w:sz w:val="20"/>
          <w:szCs w:val="20"/>
          <w:color w:val="auto"/>
        </w:rPr>
      </w:pPr>
    </w:p>
    <w:p>
      <w:pPr>
        <w:ind w:left="780" w:right="820" w:hanging="249"/>
        <w:spacing w:after="0" w:line="332" w:lineRule="auto"/>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issue, grant or sell shares of common stock or rights with respect to common stock, except in connection with NCM Inc.’s equity incentive compensation plans or any conversion or exchange of NCM LLC membership units in accordance with NCM LLC’s Operating Agreement;</w:t>
      </w:r>
    </w:p>
    <w:p>
      <w:pPr>
        <w:spacing w:after="0" w:line="4" w:lineRule="exact"/>
        <w:rPr>
          <w:rFonts w:ascii="Arial" w:cs="Arial" w:eastAsia="Arial" w:hAnsi="Arial"/>
          <w:sz w:val="16"/>
          <w:szCs w:val="16"/>
          <w:color w:val="auto"/>
        </w:rPr>
      </w:pPr>
    </w:p>
    <w:p>
      <w:pPr>
        <w:ind w:left="780" w:hanging="24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issue, grant or sell any NCM Inc. preferred stock or rights with respect to preferred stock;</w:t>
      </w:r>
    </w:p>
    <w:p>
      <w:pPr>
        <w:spacing w:after="0" w:line="90" w:lineRule="exact"/>
        <w:rPr>
          <w:rFonts w:ascii="Arial" w:cs="Arial" w:eastAsia="Arial" w:hAnsi="Arial"/>
          <w:sz w:val="18"/>
          <w:szCs w:val="18"/>
          <w:color w:val="auto"/>
        </w:rPr>
      </w:pPr>
    </w:p>
    <w:p>
      <w:pPr>
        <w:ind w:left="780" w:right="120" w:hanging="249"/>
        <w:spacing w:after="0" w:line="26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authorize, issue, grant or sell additional NCM LLC membership units or rights with respect to membership units (except as otherwise permitted in the NCM LLC Operating Agreement or NCM Inc.’s equity incentive compensation plans);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NCM LLC’s Operating Agreement;</w:t>
      </w:r>
    </w:p>
    <w:p>
      <w:pPr>
        <w:spacing w:after="0" w:line="113" w:lineRule="exact"/>
        <w:rPr>
          <w:rFonts w:ascii="Arial" w:cs="Arial" w:eastAsia="Arial" w:hAnsi="Arial"/>
          <w:sz w:val="16"/>
          <w:szCs w:val="16"/>
          <w:color w:val="auto"/>
        </w:rPr>
      </w:pPr>
    </w:p>
    <w:p>
      <w:pPr>
        <w:ind w:left="780" w:hanging="249"/>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enter into, modify or terminate certain contracts not in the ordinary course of business of the type specified in Item 601(b)(10)(i) of Regulation 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20" w:hanging="249"/>
        <w:spacing w:after="0" w:line="256"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dividends on, or make any other distributions that would require an adjustment to the terms of options issued pursuant to the NCM Inc. equity incentive plan in respect of, any of the common stock, preferred stock, membership interests or rights (in each case as defined in the NCM LLC Operating Agreement), payable in cash, stock, property or otherwise;</w:t>
      </w:r>
    </w:p>
    <w:p>
      <w:pPr>
        <w:spacing w:after="0" w:line="62" w:lineRule="exact"/>
        <w:rPr>
          <w:rFonts w:ascii="Arial" w:cs="Arial" w:eastAsia="Arial" w:hAnsi="Arial"/>
          <w:sz w:val="18"/>
          <w:szCs w:val="18"/>
          <w:color w:val="auto"/>
        </w:rPr>
      </w:pPr>
    </w:p>
    <w:p>
      <w:pPr>
        <w:ind w:left="780" w:hanging="249"/>
        <w:spacing w:after="0"/>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amend any material terms or provisions of NCM Inc.’s equity incentive plan or enter into or consummate any new equity incentive compensation plan;</w:t>
      </w:r>
    </w:p>
    <w:p>
      <w:pPr>
        <w:spacing w:after="0" w:line="113" w:lineRule="exact"/>
        <w:rPr>
          <w:rFonts w:ascii="Arial" w:cs="Arial" w:eastAsia="Arial" w:hAnsi="Arial"/>
          <w:sz w:val="16"/>
          <w:szCs w:val="16"/>
          <w:color w:val="auto"/>
        </w:rPr>
      </w:pPr>
    </w:p>
    <w:p>
      <w:pPr>
        <w:ind w:left="780" w:right="420" w:hanging="249"/>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preventing a sale of us or NCM LLC.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Approval Right of Directors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addition to approval by the audit committee which is required by the Nasdaq rules, (i) any modification or amendment of an ESA which could reasonably be expected (in the good faith determination of the board) to result in payments to or from NCM LLC in excess of $50,000, or (ii) entry into or amendment of any contract or transaction which could reasonably be expected (in the good faith determination of the board) to result in payments in excess of $50,000 between NCM LLC or NCM Inc., on the one hand, and a Founding Member or such Founding Member’s affiliate, on the other hand, requires the approval of a majority of the directors then in office and a majority of the independent directors then in office.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Special meetings of our stockholders may be called only by a majority of our directors or at the request of holders of common stock representing a majority of our total voting power.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by Written Consent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 action can be taken only at an annual or special meeting of stockholders, and cannot be taken by written consent in lieu of a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bylaws provide that stockholders seeking to bring business before an annual meeting of stockholders, or to nominate candidates for election as directors at an annual meeting of stockholders, must provide timely notice thereof in writing. To be timely, a stockholder’s notice generally must be delivered to and received at our principal executive offices, not less than 90 days nor more than 120 days prior to the first anniversary of the preceding year’s annual meeting; provided, that in the event that the date of such meeting is advanced more than 30 days prior to, or delayed by more than 30 days after, the anniversary of the preceding year’s annual meeting of our stockholders, a stockholder’s notice to be timely must be so delivered not earlier than the close of business on the 120th day prior to such meeting and not later than the close of business on the later of the 90th day prior to such meeting or the 10th day following the day on which public announcement of the date of such meeting is first made. Our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Certificate of Incorporation or Bylaws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certificate of incorporation or to amend or repeal a bylaw. In addition, under the DGCL, an amendment to our certificate of incorporation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 LLC Common Membership Units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Upon completion of this offering, there will be common membership units issued and outstanding, of which will be beneficially owned by Regal, of which will be beneficially owned by AMC, of which will be beneficially owned by Cinemark, and of which will be beneficially</w:t>
      </w:r>
    </w:p>
    <w:p>
      <w:pPr>
        <w:spacing w:after="0" w:line="259" w:lineRule="auto"/>
        <w:rPr>
          <w:sz w:val="20"/>
          <w:szCs w:val="20"/>
          <w:color w:val="auto"/>
        </w:rPr>
      </w:pPr>
      <w:r>
        <w:rPr>
          <w:rFonts w:ascii="Arial" w:cs="Arial" w:eastAsia="Arial" w:hAnsi="Arial"/>
          <w:sz w:val="17"/>
          <w:szCs w:val="17"/>
          <w:color w:val="auto"/>
        </w:rPr>
        <w:t>owned by us.</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The number of outstanding common membership units owned by us will at all times equal the number of shares of our outstanding common stock. With respect to this offering and any future offering of common stock, the net cash proceeds we receive, including with regard to the exercise of options issued under our equity incentive plan, will be concurrently transferred to NCM LLC in exchange for common membership units equal in number to the number of shares of common stock we issued. Pursuant to the terms of our certificate of incorporation and the Third Restated LLC Agreement, if a member of NCM LLC, other than us, chooses to have common membership units redeemed, we may elect to issue cash, shares of our common stock on a one-for-one basis or any combination of cash and shares. See “Certain Relationships and Related Party Transactions—Transactions with Founding Members—LLC Operating Agreement” and “Corporate History and Reorganization.”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In connection with the completion of this offering, we will enter into a registration rights agreement with the Founding Members. See “Certain Relationships and Related Party Transactions—Transactions with Founding Members—Registration Rights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The transfer agent and registrar for the common stock is expected to be</w:t>
      </w:r>
      <w:r>
        <w:rPr>
          <w:sz w:val="20"/>
          <w:szCs w:val="20"/>
          <w:color w:val="auto"/>
        </w:rPr>
        <w:tab/>
      </w:r>
      <w:r>
        <w:rPr>
          <w:rFonts w:ascii="Arial" w:cs="Arial" w:eastAsia="Arial" w:hAnsi="Arial"/>
          <w:sz w:val="16"/>
          <w:szCs w:val="16"/>
          <w:color w:val="auto"/>
        </w:rPr>
        <w:t>, New York,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expect to file an application to list our common stock on the Nasdaq Global Select Market under the symbol “NCMI”. The NCM LLC common membership units will not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9037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21" w:lineRule="exact"/>
        <w:rPr>
          <w:sz w:val="20"/>
          <w:szCs w:val="20"/>
          <w:color w:val="auto"/>
        </w:rPr>
      </w:pPr>
    </w:p>
    <w:tbl>
      <w:tblPr>
        <w:tblLayout w:type="fixed"/>
        <w:tblInd w:w="160" w:type="dxa"/>
        <w:tblCellMar>
          <w:top w:w="0" w:type="dxa"/>
          <w:left w:w="0" w:type="dxa"/>
          <w:bottom w:w="0" w:type="dxa"/>
          <w:right w:w="0" w:type="dxa"/>
        </w:tblCellMar>
      </w:tblPr>
      <w:tr>
        <w:trPr>
          <w:trHeight w:val="142"/>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1</w:t>
            </w:r>
          </w:p>
        </w:tc>
        <w:tc>
          <w:tcPr>
            <w:tcW w:w="80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A 10% increase in the number of shares of common stock sold, assuming an initial public offering price of $</w:t>
            </w:r>
          </w:p>
        </w:tc>
        <w:tc>
          <w:tcPr>
            <w:tcW w:w="2980" w:type="dxa"/>
            <w:vAlign w:val="bottom"/>
            <w:vMerge w:val="restart"/>
          </w:tcPr>
          <w:p>
            <w:pPr>
              <w:ind w:left="300"/>
              <w:spacing w:after="0"/>
              <w:rPr>
                <w:sz w:val="20"/>
                <w:szCs w:val="20"/>
                <w:color w:val="auto"/>
              </w:rPr>
            </w:pPr>
            <w:r>
              <w:rPr>
                <w:rFonts w:ascii="Arial" w:cs="Arial" w:eastAsia="Arial" w:hAnsi="Arial"/>
                <w:sz w:val="18"/>
                <w:szCs w:val="18"/>
                <w:color w:val="auto"/>
                <w:w w:val="88"/>
              </w:rPr>
              <w:t>(the midpoint of the range set forth on</w:t>
            </w: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Arial" w:cs="Arial" w:eastAsia="Arial" w:hAnsi="Arial"/>
                <w:sz w:val="18"/>
                <w:szCs w:val="18"/>
                <w:color w:val="auto"/>
                <w:w w:val="91"/>
              </w:rPr>
              <w:t>the cover page of this prospectus) would result in a decrease of</w:t>
            </w: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0"/>
              </w:rPr>
              <w:t>% in the percentage of NCM LLC membership units held by the Founding Members.</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jc w:val="right"/>
              <w:ind w:right="2412"/>
              <w:spacing w:after="0"/>
              <w:rPr>
                <w:sz w:val="20"/>
                <w:szCs w:val="20"/>
                <w:color w:val="auto"/>
              </w:rPr>
            </w:pPr>
            <w:r>
              <w:rPr>
                <w:rFonts w:ascii="Arial" w:cs="Arial" w:eastAsia="Arial" w:hAnsi="Arial"/>
                <w:sz w:val="18"/>
                <w:szCs w:val="18"/>
                <w:color w:val="auto"/>
              </w:rPr>
              <w:t>129</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a significant public market for our common stock will develop or be sustained after this offering. Sales of significant amounts of our common stock in the public market after this offering, including shares of our common stock issued upon exercise of outstanding options or upon redemption of the NCM LLC common membership units in exchange for our common stock, or the perception that such sales could occur, could adversely affect the prevailing market price of our common stock and could impair our future ability to raise capital through the sale of our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 and Lock-Up Agreements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Upon completion of this offering, shares of common stock and NCM LLC common membership units will be outstanding. If the underwriters’ over-allotment option is exercised in full, there will be shares of common stock, and NCM LLC common membership units outstanding.</w:t>
      </w:r>
    </w:p>
    <w:p>
      <w:pPr>
        <w:spacing w:after="0" w:line="140"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6"/>
          <w:szCs w:val="16"/>
          <w:color w:val="auto"/>
        </w:rPr>
        <w:t>Of the shares of common stock to be outstanding upon completion of this offering, shares of common stock offered pursuant to this offering, or shares if the underwriters’ over-allotment option is exercised in full, will be freely tradable without restriction or further registration under</w:t>
      </w:r>
    </w:p>
    <w:p>
      <w:pPr>
        <w:ind w:right="220"/>
        <w:spacing w:after="0" w:line="261" w:lineRule="auto"/>
        <w:rPr>
          <w:sz w:val="20"/>
          <w:szCs w:val="20"/>
          <w:color w:val="auto"/>
        </w:rPr>
      </w:pPr>
      <w:r>
        <w:rPr>
          <w:rFonts w:ascii="Arial" w:cs="Arial" w:eastAsia="Arial" w:hAnsi="Arial"/>
          <w:sz w:val="18"/>
          <w:szCs w:val="18"/>
          <w:color w:val="auto"/>
        </w:rPr>
        <w:t>federal securities laws except to the extent shares of common stock are purchased in this offering by our affiliates, as that term is defined in Rule 144 under the Securities Act.</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of NCM LLC’s common membership units are “restricted securities” under the Securities Act. The shares of common stock issuable on redemption of NCM LLC common membership units, are, or when issued on conversion or redemption will be, eligible for public sale if registered under the Securities Act or sold in accordance with Rule 144 of the Securities Act, subject to the contractual provisions of our agreements with our Founding Members. See “Certain Relationships and Related Party Transactions—Transactions with Founding Members—Registration Rights Agreement.”</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w:t>
      </w:r>
    </w:p>
    <w:p>
      <w:pPr>
        <w:spacing w:after="0" w:line="11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 period of 180 days after the date of this prospectus. The Founding Members have agreed to the same</w:t>
      </w:r>
    </w:p>
    <w:p>
      <w:pPr>
        <w:spacing w:after="0" w:line="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restrictions for a period of</w:t>
      </w:r>
      <w:r>
        <w:rPr>
          <w:sz w:val="20"/>
          <w:szCs w:val="20"/>
          <w:color w:val="auto"/>
        </w:rPr>
        <w:tab/>
      </w:r>
      <w:r>
        <w:rPr>
          <w:rFonts w:ascii="Arial" w:cs="Arial" w:eastAsia="Arial" w:hAnsi="Arial"/>
          <w:sz w:val="15"/>
          <w:szCs w:val="15"/>
          <w:color w:val="auto"/>
        </w:rPr>
        <w:t>days after the date of this prospectus.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general, Rule 144 allows a stockholder (or stockholders where shares are aggregated) who has beneficially owned shares of our common stock for at least one year (including the holding period of any prior owner other than an affiliate) and who files a Form 144 with the SEC to sell within any three-month period a number of those shares that does not exceed the greater of:</w:t>
      </w:r>
    </w:p>
    <w:p>
      <w:pPr>
        <w:spacing w:after="0" w:line="59" w:lineRule="exact"/>
        <w:rPr>
          <w:sz w:val="20"/>
          <w:szCs w:val="20"/>
          <w:color w:val="auto"/>
        </w:rPr>
      </w:pPr>
    </w:p>
    <w:p>
      <w:pPr>
        <w:ind w:left="540"/>
        <w:spacing w:after="0"/>
        <w:tabs>
          <w:tab w:leader="none" w:pos="760" w:val="left"/>
          <w:tab w:leader="none" w:pos="7320" w:val="left"/>
        </w:tabs>
        <w:rPr>
          <w:sz w:val="20"/>
          <w:szCs w:val="20"/>
          <w:color w:val="auto"/>
        </w:rPr>
      </w:pPr>
      <w:r>
        <w:rPr>
          <w:rFonts w:ascii="Arial" w:cs="Arial" w:eastAsia="Arial" w:hAnsi="Arial"/>
          <w:sz w:val="18"/>
          <w:szCs w:val="18"/>
          <w:color w:val="auto"/>
        </w:rPr>
        <w:t>•</w:t>
        <w:tab/>
        <w:t>1% of the number of shares of our common stock then outstanding, which will equal</w:t>
      </w:r>
      <w:r>
        <w:rPr>
          <w:sz w:val="20"/>
          <w:szCs w:val="20"/>
          <w:color w:val="auto"/>
        </w:rPr>
        <w:tab/>
      </w:r>
      <w:r>
        <w:rPr>
          <w:rFonts w:ascii="Arial" w:cs="Arial" w:eastAsia="Arial" w:hAnsi="Arial"/>
          <w:sz w:val="16"/>
          <w:szCs w:val="16"/>
          <w:color w:val="auto"/>
        </w:rPr>
        <w:t>shares immediately after this offering;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249"/>
        <w:spacing w:after="0"/>
        <w:tabs>
          <w:tab w:leader="none" w:pos="7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average weekly trading volume of our common stock during the four calendar weeks preceding the filing of the Form 144 with respect to such sale.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 “affiliate” is a person that directly, or indirectly, through one or more intermediate controls or is controlled by, or is under common control with us.</w:t>
      </w:r>
    </w:p>
    <w:p>
      <w:pPr>
        <w:spacing w:after="0" w:line="188" w:lineRule="exact"/>
        <w:rPr>
          <w:sz w:val="20"/>
          <w:szCs w:val="20"/>
          <w:color w:val="auto"/>
        </w:rPr>
      </w:pPr>
    </w:p>
    <w:p>
      <w:pPr>
        <w:ind w:right="380" w:firstLine="1027"/>
        <w:spacing w:after="0" w:line="332" w:lineRule="auto"/>
        <w:rPr>
          <w:sz w:val="20"/>
          <w:szCs w:val="20"/>
          <w:color w:val="auto"/>
        </w:rPr>
      </w:pPr>
      <w:r>
        <w:rPr>
          <w:rFonts w:ascii="Arial" w:cs="Arial" w:eastAsia="Arial" w:hAnsi="Arial"/>
          <w:sz w:val="16"/>
          <w:szCs w:val="16"/>
          <w:color w:val="auto"/>
        </w:rPr>
        <w:t>shares will be eligible for sale under Rule 144 one year from the date of the issuance of our common stock upon redemption of the NCM LLC common membership units or, if earlier, after the exchange or the resale of such shares of common stock is registered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Rule 144(k), a person (or persons whose shares are aggregated) who is not deemed to have been an affiliate of ours at any time during the 90 days preceding a sale, and who has beneficially owned the shares proposed to be sold for at least two years, would be entitled to sell those shares without regard to the manner of sale, public information, volume limitation or notice requirements of Rule 144.</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the extent that our affiliates sell their shares, other than pursuant to Rule 144 or a registration statement, the purchaser’s holding period for the purpose of effecting a sale under Rule 144 commences on the date of transfer from the affiliate.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left="460"/>
        <w:spacing w:after="0"/>
        <w:tabs>
          <w:tab w:leader="none" w:pos="8000" w:val="left"/>
        </w:tabs>
        <w:rPr>
          <w:sz w:val="20"/>
          <w:szCs w:val="20"/>
          <w:color w:val="auto"/>
        </w:rPr>
      </w:pPr>
      <w:r>
        <w:rPr>
          <w:rFonts w:ascii="Arial" w:cs="Arial" w:eastAsia="Arial" w:hAnsi="Arial"/>
          <w:sz w:val="18"/>
          <w:szCs w:val="18"/>
          <w:color w:val="auto"/>
        </w:rPr>
        <w:t>Upon completion of this offering, the Founding Members will hold in the aggregate approximately</w:t>
      </w:r>
      <w:r>
        <w:rPr>
          <w:sz w:val="20"/>
          <w:szCs w:val="20"/>
          <w:color w:val="auto"/>
        </w:rPr>
        <w:tab/>
      </w:r>
      <w:r>
        <w:rPr>
          <w:rFonts w:ascii="Arial" w:cs="Arial" w:eastAsia="Arial" w:hAnsi="Arial"/>
          <w:sz w:val="16"/>
          <w:szCs w:val="16"/>
          <w:color w:val="auto"/>
        </w:rPr>
        <w:t>NCM LLC common membership units. As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described above in “Certain Relationships and Related Party Transactions—Transactions with Founding Members—NCM LLC Operating Agreement—Common Unit Redemption Right,” the Founding Members will have the right to redeem these common membership units in exchange for, at our option, our common stock on a one-for-one basis, a cash payment equal to the market price of one share of our common stock or any combination of cash and stock. Following such redemption, pursuant to the Registration Rights Agreement described above in “Certain Relationships and Related Party Transactions—Transactions with Founding Members—Registration Rights Agreement,” the Founding Members will have the right, subject to various conditions and limitations, to demand the</w:t>
      </w:r>
    </w:p>
    <w:p>
      <w:pPr>
        <w:spacing w:after="0" w:line="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filing of, and include such shares of our common stock in, registration statements relating to our common stock, subject to the -day lock-up arrangement described above. These registration rights of our stockholders could impair the prevailing market price and impair our ability to raise capital by depressing the price at which we could sell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the shares of common stock outstanding immediately after this offering, as of the date of this prospectus, following conversion of the NCM LLC options, there will be outstanding options to purchase shares of our common stock. None of these options are currently exercisable.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soon as practicable after the completion of this offering, we intend to file a registration statement on Form S-8 under the Securities Act covering shares of our common stock reserved for issuance under our equity incentive plan. Accordingly, shares of our common stock registered under such registration statement will be available for sale in the open market upon exercise by the holders, subject to vesting restrictions, Rule 144 limitations applicable to our affiliates and the contractual lock-up provisions described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considerations generally applicable to beneficial owners of our common stock (“Holders”) that acquire shares of our common stock pursuant to this offering and that hold such shares as capital assets (generally, for investment). This summary is based upon the Internal Revenue Code of 1986, as amended (the “Code”), existing and proposed Treasury regulations, Internal Revenue Service (“IRS”) rulings and pronouncements and judicial decisions now in effect, all of which are subject to change, possibly on a retroactive basis, or differing interpretations. This summary does not consider specific facts and circumstances that may be relevant to a particular Holder’s tax position and does not consider any tax laws other than U.S. federal income tax laws (for example, this summary does not consider any state, local, estate or gift, or non-U.S. tax consequences of an investment in our common stock). It also does not apply to Holders subject to special tax treatment under the U.S. federal income tax laws (including partnerships or other pass-through entities, banks, insurance companies, dealers in securities, persons who hold common stock as part of a “straddle,” “hedge,” “conversion transaction” or other risk-reduction or integrated transaction, controlled foreign corporations, passive foreign investment companies, foreign personal holding companies, companies that accumulate earnings to avoid U.S. federal income tax, U.S. Holders (as defined below) who do not have the U.S. dollar as their functional currency, tax-exempt organizations, former U.S. citizens or residents and persons who hold or receive common stock as compensation).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summary, the term “U.S. Holder” means a Holder of shares of our common stock that, for U.S. federal income tax purposes, is:</w:t>
      </w:r>
    </w:p>
    <w:p>
      <w:pPr>
        <w:spacing w:after="0" w:line="113" w:lineRule="exact"/>
        <w:rPr>
          <w:sz w:val="20"/>
          <w:szCs w:val="20"/>
          <w:color w:val="auto"/>
        </w:rPr>
      </w:pPr>
    </w:p>
    <w:p>
      <w:pPr>
        <w:ind w:left="900" w:hanging="274"/>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200" w:hanging="323"/>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in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72"/>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900" w:right="380" w:hanging="362"/>
        <w:spacing w:after="0" w:line="306"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trust (x) if a court within the United States is able to exercise primary supervision over the administration of such trust and one or more “U.S. persons,” as defined in section 7701(a)(30) of the Code, have the authority to control all substantial decisions of such trust or (y) that has a valid election in effect under applicable U.S. Treasury regulations to be treated as a U.S. person.</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term “Non-U.S. Holder” means any Holder of shares of our common stock that is neither a U.S. Holder nor a partnership (including an entity that is treated as a partnership for U.S. federal income tax purposes).</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If a partnership holds shares of our common stock, the U.S. federal income tax treatment of a partner in the partnership generally will depend upon the status of the partner and the activities of the partnership. Partners of partnerships that hold shares of our common stock should consult their tax advisors.</w:t>
      </w:r>
    </w:p>
    <w:p>
      <w:pPr>
        <w:spacing w:after="0" w:line="56"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This summary is included herein as general information only. Accordingly, each prospective Holder is urged to consult its tax advisor with respect to the U.S. federal, state, local and non-U.S. income and other tax consequences of holding and disposing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discussion summarizes the material U.S. federal income tax consequences of the ownership and disposition of our common stock applicable to “U.S. Holders,” subject to the limitations described above.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Distributions of cash or property that we pay in respect of our common stock will constitute dividends for U.S. federal income tax purposes to the extent paid from our current or accumulated earnings and profits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determined under U.S. federal income tax principles) and will be includible in gross income by a U.S. Holder upon receipt. Any such dividend will be eligible for the dividends received deduction if received by an otherwise qualifying corporate U.S. Holder that meets the holding period and other requirements for the dividends received deduction. Dividends paid by us to certain non-corporate U.S. Holders (including individuals), with respect to taxable years beginning on or before December 31, 2010, are eligible for U.S. federal income taxation at the rates generally applicable to long-term capital gains for individuals (currently at a maximum tax rate of 15%), provided that the U.S. Holder receiving the dividend satisfies applicable holding period and other requirements. If the amount of a distribution exceeds our current and accumulated earnings and profits, such excess first will be treated as a tax-free return of capital to the extent of the U.S. Holder’s tax basis in our common stock, and thereafter will be treated as capital gain.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Upon a sale, exchange or other taxable disposition of shares of our common stock, a U.S. Holder generally will recognize capital gain or loss equal to the difference between the amount realized on the sale, exchange or other taxable disposition and the U.S. Holder’s adjusted tax basis in the shares of our common stock. Such capital gain or loss will be long-term capital gain or loss if the U.S. Holder has held the shares of the common stock for more than one year at the time of disposition. Long-term capital gains of certain non-corporate U.S. Holders (including individuals) are currently subject to U.S. federal income taxation at a maximum rate of 15%. The deductibility of capital losses is subject to limitations under the Code.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 Requirements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general, dividends on our common shares, and payments of the proceeds of a sale, exchange or other disposition of our common shares paid to a U.S. Holder are subject to information reporting and may be subject to backup withholding at a current maximum rate of 28% unless the U.S. Holder (i) is a corporation or other exempt recipient or (ii) provides an accurate taxpayer identification number and certifies that it is not subject to backup withholding.</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U.S. Holder will be refunded or credited against the U.S. Holder’s U.S. federal income tax liability, if any, provided that the required information is furnished to the IRS.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discussion summarizes the material U.S. federal income tax consequences of the ownership and disposition of our common stock applicable to “Non-U.S. Holders,” subject to the limitations described above.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Trade or Business Income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such income or gain is (i) effectively connected with the conduct by a Non-U.S. Holder of a trade or business within the United States and (ii) in the case of a Non-U.S. Holder that is eligible for the benefits of an income tax treaty with the United States, attributable to a permanent establishment (or, for an individual, a fixed base) maintained by the Non-U.S. Holder in the United States. Generally, U.S. trade or business income is not subject to U.S. federal withholding tax (provided the Non-U.S. Holder complies with applicable certification and disclosure requirements); instead, a Non-U.S. Holder is subject to U.S. federal income tax on a net income basis at regular U.S. federal income tax rates (in the same manner as a U.S. person) on its U.S. trade or business income. Any U.S. trade or business income received by a Non-U.S. Holder that is a corporation also may be subject to a “branch profits tax” at a 30% rate, or at a lower rate prescribed by an applicable income tax treaty, under specific circumstances.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A Non-U.S. Holder generally will be subject to U.S. federal withholding tax at a 30% rate, or at a reduced rate prescribed by an applicable income tax treaty, on any dividends received in respect of our common stock. If the amount of a distribution exceeds our current and accumulated earnings and profits, such excess first will be treated as a tax-free return of capital to the extent of the Non-U.S. Holder’s tax basis in our common stock, and thereafter will be treated as capital gain. In order to obtain a reduced rate of U.S. federal withholding tax under an applicable income tax treaty, a Non-U.S. Holder will be required to provide a properly executed IRS Form W-8BEN certifying its entitlement to benefits under the treaty. A Non-U.S. Holder of our common stock that is eligible for a reduced rate of U.S. federal withholding tax under an income tax treaty may obtain a refund or credit of any excess amounts withheld by filing an appropriate claim for a refund with the IRS. A Non-U.S. Holder should consult its own tax advisor regarding its possible entitlement to benefits under an income tax treaty.</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U.S. federal withholding tax described in the preceding paragraph does not apply to dividends that represent U.S. trade or business income of a Non-U.S. Holder who provides a properly executed IRS Form W-8ECI, certifying that the dividends are effectively connected with the Non-U.S. Holder’s conduct of a trade or business within the United States.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any gain on a sale, exchange or other taxable disposition of common stock unless:</w:t>
      </w:r>
    </w:p>
    <w:p>
      <w:pPr>
        <w:spacing w:after="0" w:line="51" w:lineRule="exact"/>
        <w:rPr>
          <w:sz w:val="20"/>
          <w:szCs w:val="20"/>
          <w:color w:val="auto"/>
        </w:rPr>
      </w:pPr>
    </w:p>
    <w:p>
      <w:pPr>
        <w:ind w:left="780" w:hanging="24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gain is U.S. trade or business income;</w:t>
      </w:r>
    </w:p>
    <w:p>
      <w:pPr>
        <w:spacing w:after="0" w:line="90" w:lineRule="exact"/>
        <w:rPr>
          <w:rFonts w:ascii="Arial" w:cs="Arial" w:eastAsia="Arial" w:hAnsi="Arial"/>
          <w:sz w:val="18"/>
          <w:szCs w:val="18"/>
          <w:color w:val="auto"/>
        </w:rPr>
      </w:pPr>
    </w:p>
    <w:p>
      <w:pPr>
        <w:ind w:left="780" w:right="120" w:hanging="249"/>
        <w:spacing w:after="0" w:line="306" w:lineRule="auto"/>
        <w:tabs>
          <w:tab w:leader="none" w:pos="7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or more days in the taxable year of the disposition and meets other conditions (in which case, such Non-U.S. Holder will be subject to U.S. federal income tax at a rate of 30% (or a reduced rate under an applicable tax treaty) on the amount by which certain capital gains allocable to U.S. sources exceed certain capital losses allocable to U.S. sources); or</w:t>
      </w:r>
    </w:p>
    <w:p>
      <w:pPr>
        <w:spacing w:after="0" w:line="25" w:lineRule="exact"/>
        <w:rPr>
          <w:rFonts w:ascii="Arial" w:cs="Arial" w:eastAsia="Arial" w:hAnsi="Arial"/>
          <w:sz w:val="16"/>
          <w:szCs w:val="16"/>
          <w:color w:val="auto"/>
        </w:rPr>
      </w:pPr>
    </w:p>
    <w:p>
      <w:pPr>
        <w:jc w:val="both"/>
        <w:ind w:left="780" w:hanging="249"/>
        <w:spacing w:after="0" w:line="259"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under section 897 of the Code at any time during the shorter of the five-year period ending on the date of disposition and the Non-U.S. Holder’s holding period for the common stock (in which case, such gain will be subject to U.S. federal income tax in the same manner as U.S. trade or business income).</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If we are determined to be a USRPHC, the U.S. federal income and withholding taxes relating to interests in USRPHCs nevertheless will not apply to gains derived from the sale or other disposition of our common stock by a Non-U.S. Holder whose shareholdings, actual and constructive, at all times during the applicable period, amount to 5% or less of the common stock, provided that the common stock is regularly traded on an established securities market. We do not believe that we currently are a USRPHC, and we do not anticipate becoming a USRPHC in the future. However, no assurance can be given that we will not be a USRPHC, or that our common stock will be considered regularly traded, when a Non-U.S. Holder sells its shares of our common stock.</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 Requirements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tax pursuant to an income tax treaty.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Copies of these information returns also may be made available under the provisions of a specific treaty or agreement to the tax authorities of the country in which the Non-U.S. Holder resides. Under certain circumstances, the Code imposes a backup withholding obligation (currently at a rate of 28%) on certain reportable payments. Dividends paid to a Non-U.S. Holder of common stock generally will be exempt from backup withholding if the Non-U.S. Holder provides a properly executed IRS Form W-8BEN or otherwise establishes an exemption and the payor does not have actual knowledge or reason to know that the Holder is a U.S. person.</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payment of the proceeds from the disposition of our common stock to or through the U.S. office of any broker, U.S. or foreign, will be subject to information reporting and possible backup withholding unless the owner certifies as to its non-U.S. status under penalties of perjury or otherwise establishes an exemption,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broker does not have actual knowledge or reason to know that the Holder is a U.S. person or that the conditions of any other exemption are not, in fact, satisfied. The payment of the proceeds from the disposition of our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our common stock to or through a non-U.S. office of a broker that is either a U.S. person or a U.S. related person, the Treasury regulations require information reporting (but not the backup withholding) on the payment unless the broker has documentary evidence in its files that the owner is a Non-U.S. Holder and the broker has no knowledge to the contrary. Non-U.S. Holders should consult their own tax advisors on the application of information reporting and backup withholding to them in their particular circumstances (including upon their disposition of common stock).</w:t>
      </w:r>
    </w:p>
    <w:p>
      <w:pPr>
        <w:spacing w:after="0" w:line="12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will be refunded or credited against the Non-U.S. Holder’s U.S. federal income tax liability, if any, provided that the required information is furnished to the IRS.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and subject to the conditions contained in an underwriting agreement to be filed as an exhibit relating to this prospectus, dated</w:t>
      </w:r>
    </w:p>
    <w:p>
      <w:pPr>
        <w:spacing w:after="0" w:line="38" w:lineRule="exact"/>
        <w:rPr>
          <w:sz w:val="20"/>
          <w:szCs w:val="20"/>
          <w:color w:val="auto"/>
        </w:rPr>
      </w:pPr>
    </w:p>
    <w:p>
      <w:pPr>
        <w:ind w:right="340" w:firstLine="886"/>
        <w:spacing w:after="0" w:line="261" w:lineRule="auto"/>
        <w:tabs>
          <w:tab w:leader="none" w:pos="9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2006, we have agreed to sell to the underwriters named below, and the underwriters have severally agreed to purchase, the respective number of shares of common stock set forth below:</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4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5"/>
        </w:trPr>
        <w:tc>
          <w:tcPr>
            <w:tcW w:w="934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6985</wp:posOffset>
            </wp:positionV>
            <wp:extent cx="4718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20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shares at the initial public offering price less underwriting discounts and commissions. The option may be exercised only to cover any over-allotments of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 group</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members at that price less a selling concession of $ per share. The underwriters and selling group members may allow a discount of $ per share on sales to other broker/dealers. After the initial public offering the representative may change the public offering price and concession and discount to broker/dealers.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667"/>
              <w:spacing w:after="0"/>
              <w:rPr>
                <w:sz w:val="20"/>
                <w:szCs w:val="20"/>
                <w:color w:val="auto"/>
              </w:rPr>
            </w:pPr>
            <w:r>
              <w:rPr>
                <w:rFonts w:ascii="Arial" w:cs="Arial" w:eastAsia="Arial" w:hAnsi="Arial"/>
                <w:sz w:val="14"/>
                <w:szCs w:val="14"/>
                <w:b w:val="1"/>
                <w:bCs w:val="1"/>
                <w:color w:val="auto"/>
                <w:w w:val="94"/>
              </w:rPr>
              <w:t>Per Share</w:t>
            </w: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Without</w:t>
            </w:r>
          </w:p>
        </w:tc>
        <w:tc>
          <w:tcPr>
            <w:tcW w:w="6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6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6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With</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6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0" w:type="dxa"/>
            <w:vAlign w:val="bottom"/>
          </w:tcPr>
          <w:p>
            <w:pPr>
              <w:spacing w:after="0"/>
              <w:rPr>
                <w:sz w:val="1"/>
                <w:szCs w:val="1"/>
                <w:color w:val="auto"/>
              </w:rPr>
            </w:pPr>
          </w:p>
        </w:tc>
      </w:tr>
      <w:tr>
        <w:trPr>
          <w:trHeight w:val="175"/>
        </w:trPr>
        <w:tc>
          <w:tcPr>
            <w:tcW w:w="5180" w:type="dxa"/>
            <w:vAlign w:val="bottom"/>
            <w:vMerge w:val="restart"/>
          </w:tcPr>
          <w:p>
            <w:pPr>
              <w:spacing w:after="0"/>
              <w:rPr>
                <w:sz w:val="20"/>
                <w:szCs w:val="20"/>
                <w:color w:val="auto"/>
              </w:rPr>
            </w:pPr>
            <w:r>
              <w:rPr>
                <w:rFonts w:ascii="Arial" w:cs="Arial" w:eastAsia="Arial" w:hAnsi="Arial"/>
                <w:sz w:val="18"/>
                <w:szCs w:val="18"/>
                <w:color w:val="auto"/>
              </w:rPr>
              <w:t>Underwriting Discounts and Commissions paid by us</w:t>
            </w:r>
          </w:p>
        </w:tc>
        <w:tc>
          <w:tcPr>
            <w:tcW w:w="14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6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6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6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jc w:val="right"/>
              <w:ind w:right="510"/>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8"/>
                <w:szCs w:val="18"/>
                <w:color w:val="auto"/>
              </w:rPr>
            </w:pPr>
          </w:p>
        </w:tc>
        <w:tc>
          <w:tcPr>
            <w:tcW w:w="700" w:type="dxa"/>
            <w:vAlign w:val="bottom"/>
          </w:tcPr>
          <w:p>
            <w:pPr>
              <w:jc w:val="right"/>
              <w:ind w:right="527"/>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8"/>
                <w:szCs w:val="18"/>
                <w:color w:val="auto"/>
              </w:rPr>
            </w:pPr>
          </w:p>
        </w:tc>
        <w:tc>
          <w:tcPr>
            <w:tcW w:w="700" w:type="dxa"/>
            <w:vAlign w:val="bottom"/>
          </w:tcPr>
          <w:p>
            <w:pPr>
              <w:jc w:val="right"/>
              <w:ind w:right="527"/>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720" w:type="dxa"/>
            <w:vAlign w:val="bottom"/>
          </w:tcPr>
          <w:p>
            <w:pPr>
              <w:jc w:val="right"/>
              <w:ind w:right="570"/>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representative has informed us that it does not expect sales to accounts over which the underwriters have discretionary authority to exceed 5% of the shares of common stock being offered.</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 of 1933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material news or event, as applicable, unless Credit Suisse Securities (USA) LLC waives, in writing, such an extension. Our officers and directors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for a</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period of 180 days after the date of this prospectus. The Founding Members have agreed to the same restrictions for a period of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waives, in writing, such an extension.</w:t>
      </w:r>
    </w:p>
    <w:p>
      <w:pPr>
        <w:spacing w:after="0" w:line="14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underwriters have reserved for sale at the initial public offering price up to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list the shares of common stock on the Nasdaq Global Select Market.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the listing of the common stock on the Nasdaq Global Select Market, the underwriters will undertake to sell round lots of 100 shares or more to a minimum of 2,000 beneficial owners.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investment banking, financial advisory and lending services for us and our affiliates for which they have received, or will receive, customary fees and expenses.</w:t>
      </w:r>
    </w:p>
    <w:p>
      <w:pPr>
        <w:spacing w:after="0" w:line="85" w:lineRule="exact"/>
        <w:rPr>
          <w:sz w:val="20"/>
          <w:szCs w:val="20"/>
          <w:color w:val="auto"/>
        </w:rPr>
      </w:pPr>
    </w:p>
    <w:p>
      <w:pPr>
        <w:ind w:left="460"/>
        <w:spacing w:after="0"/>
        <w:tabs>
          <w:tab w:leader="none" w:pos="5620" w:val="left"/>
        </w:tabs>
        <w:rPr>
          <w:sz w:val="20"/>
          <w:szCs w:val="20"/>
          <w:color w:val="auto"/>
        </w:rPr>
      </w:pPr>
      <w:r>
        <w:rPr>
          <w:rFonts w:ascii="Arial" w:cs="Arial" w:eastAsia="Arial" w:hAnsi="Arial"/>
          <w:sz w:val="18"/>
          <w:szCs w:val="18"/>
          <w:color w:val="auto"/>
        </w:rPr>
        <w:t>Upon the closing of this offering, NCM LLC will enter into a new $</w:t>
      </w:r>
      <w:r>
        <w:rPr>
          <w:sz w:val="20"/>
          <w:szCs w:val="20"/>
          <w:color w:val="auto"/>
        </w:rPr>
        <w:tab/>
      </w:r>
      <w:r>
        <w:rPr>
          <w:rFonts w:ascii="Arial" w:cs="Arial" w:eastAsia="Arial" w:hAnsi="Arial"/>
          <w:sz w:val="16"/>
          <w:szCs w:val="16"/>
          <w:color w:val="auto"/>
        </w:rPr>
        <w:t>million senior secured credit facility with a group of lenders that will include</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affiliates of several of the underwriters. This facility will consist of a -year, $ million revolving credit facility and an -year, $725 million term loan facility. The size of the credit facility is subject to change prior to its closing.</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An affiliate of Credit Suisse Securities (USA) LLC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affiliate of Credit Suisse Securities (USA) LLC acts as a lender and sole lead arranger, sole book-runner and administrative agent under a credit facility with Regal, or the $1.75 billion Regal credit facility. The credit facility consists of a $1.65 billion term loan facility and $100.0 million revolving credit facility. In March 2006, the facility was repriced, and in June 2006 a $200.0 million incremental term loan was extended. An affiliate of Credit Suisse Securities acts as a lender and co-documentation agent under AMC’s $850.0 million credit facility. In January 2006, Credit Suisse Securities (USA) LLC acted as a joint book-runner in connection with an offering of the aggregate of $325.0 million of AMC’s senior subordinated notes due 2016, or the AMC notes.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 affiliate of Lehman Brothers Inc. acts as a lender under our $20.0 million existing revolving credit facility, which includes a $2.0 million letter of credit sub-facility. The existing revolving credit facility will be repaid with the proceeds of our new senior secured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affiliate of Lehman Brothers Inc. acted as a lender under Cinemark’s $360.0 million revolving credit facility, which was refinanced in October 2006. An affiliate of Lehman Brothers Inc. acts as a lender, joint lead arranger, joint book-runner and administrative agent under Cinemark’s new $1.27 billion credit facility, or the $1.27 billion Cinemark credit facility. In addition, an affiliate of Lehman Brothers Inc. acts as a lender under the $1.75 billion Regal credit facility and Regal’s $100.0 million revolving credit facility. Lehman Brothers Inc. is an advisor to Cinemark in connection with Cinemark’s acquisition of Century Theatres. In December 2005, Lehman Brothers Inc. acted as the sole book-runner in connection with Regal’s issuance of $1.5 million shares of Class A common stock to a private investment fund.</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J.P. Morgan Securities Inc. is engaged as an advisor to structure the financing in connection with the digital cinema project. See “Summary—Recent Developments.” J.P. Morgan Securities Inc. acts as a lender and syndication agent in connection with the AMC $200.0 million revolving credit facility. In January 2006, J.P. Morgan Securities Inc. acted as joint book-runner in connection with the offering of the AMC notes.</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An affiliate of Morgan Stanley &amp; Co. Incorporated acts as a lender, joint lead arranger and joint book-runner under the $1.27 billion Cinemark credit facility. Morgan Stanley &amp; Co. Incorporated acted as an advisor to Century in connection with its acquisition by Cinemark.</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Several of the underwriters have affiliates who own common stock of one or more of our Founding Members. As of October 10, 2006, an affiliate of J.P. Morgan Securities Inc. owned approximately 20.9% of AMC’s common stock and less than 1.0% of Regal’s common stock. As of October 10, 2006, an affiliate of Morgan Stanley &amp; Co. Incorporated owned approximately 1.0% of Regal’s common stock. As of October 10, 2006, an affiliate of Credit Suisse Securities (USA) LLC owned approximately 1.9% of Regal’s common stock, less than 1% of Cinemark’s common stock and less than 1% of AMC’s common stock. See “Use of Proceeds.”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the common stock. The initial public offering price will be determined by negotiations among us and the underwriters. The principal factors to be considered in determining the initial public offering price include the following:</w:t>
      </w:r>
    </w:p>
    <w:p>
      <w:pPr>
        <w:spacing w:after="0" w:line="4" w:lineRule="exact"/>
        <w:rPr>
          <w:sz w:val="20"/>
          <w:szCs w:val="20"/>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included in this prospectus and otherwise available to the underwriters;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market conditions for initial public offerings;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history of and prospectus for our business and our past and present operations;</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past and present earnings and current financial position;</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market of securities of companies in business similar to ours; and</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general condition of the securities markets.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initial public offering price may not correspond to the price at which our common stock will trade in the public market subsequent to this offering, and an active trading market may not develop and continue after this offering.</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1" w:lineRule="exact"/>
        <w:rPr>
          <w:sz w:val="20"/>
          <w:szCs w:val="20"/>
          <w:color w:val="auto"/>
        </w:rPr>
      </w:pPr>
    </w:p>
    <w:p>
      <w:pPr>
        <w:ind w:left="780" w:hanging="249"/>
        <w:spacing w:after="0"/>
        <w:tabs>
          <w:tab w:leader="none" w:pos="7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right="40" w:hanging="249"/>
        <w:spacing w:after="0" w:line="268" w:lineRule="auto"/>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56"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6" w:lineRule="exact"/>
        <w:rPr>
          <w:sz w:val="20"/>
          <w:szCs w:val="20"/>
          <w:color w:val="auto"/>
        </w:rPr>
      </w:pPr>
    </w:p>
    <w:p>
      <w:pPr>
        <w:ind w:left="780" w:right="100" w:hanging="249"/>
        <w:spacing w:after="0" w:line="314" w:lineRule="auto"/>
        <w:tabs>
          <w:tab w:leader="none" w:pos="78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780" w:right="660" w:hanging="249"/>
        <w:spacing w:after="0" w:line="332" w:lineRule="auto"/>
        <w:tabs>
          <w:tab w:leader="none" w:pos="7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CANADIAN RESIDENTS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of Purchasers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By purchasing common stock in Canada and accepting a purchase confirmation a purchaser is representing to us and the dealer from whom the purchase confirmation is received that:</w:t>
      </w:r>
    </w:p>
    <w:p>
      <w:pPr>
        <w:spacing w:after="0" w:line="51" w:lineRule="exact"/>
        <w:rPr>
          <w:sz w:val="20"/>
          <w:szCs w:val="20"/>
          <w:color w:val="auto"/>
        </w:rPr>
      </w:pPr>
    </w:p>
    <w:p>
      <w:pPr>
        <w:ind w:left="780" w:right="160" w:hanging="249"/>
        <w:spacing w:after="0" w:line="268"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common stock without the benefit of a prospectus qualified under those securities laws;</w:t>
      </w:r>
    </w:p>
    <w:p>
      <w:pPr>
        <w:spacing w:after="0" w:line="50" w:lineRule="exact"/>
        <w:rPr>
          <w:rFonts w:ascii="Arial" w:cs="Arial" w:eastAsia="Arial" w:hAnsi="Arial"/>
          <w:sz w:val="18"/>
          <w:szCs w:val="18"/>
          <w:color w:val="auto"/>
        </w:rPr>
      </w:pPr>
    </w:p>
    <w:p>
      <w:pPr>
        <w:ind w:left="780" w:hanging="249"/>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90" w:lineRule="exact"/>
        <w:rPr>
          <w:rFonts w:ascii="Arial" w:cs="Arial" w:eastAsia="Arial" w:hAnsi="Arial"/>
          <w:sz w:val="18"/>
          <w:szCs w:val="18"/>
          <w:color w:val="auto"/>
        </w:rPr>
      </w:pPr>
    </w:p>
    <w:p>
      <w:pPr>
        <w:ind w:left="780" w:hanging="249"/>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90" w:lineRule="exact"/>
        <w:rPr>
          <w:rFonts w:ascii="Arial" w:cs="Arial" w:eastAsia="Arial" w:hAnsi="Arial"/>
          <w:sz w:val="18"/>
          <w:szCs w:val="18"/>
          <w:color w:val="auto"/>
        </w:rPr>
      </w:pPr>
    </w:p>
    <w:p>
      <w:pPr>
        <w:ind w:left="780" w:right="400" w:hanging="249"/>
        <w:spacing w:after="0" w:line="268" w:lineRule="auto"/>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the common stock to the regulatory authority that by law is entitled to collect the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details concerning the legal authority for this information is available on request.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Action—Ontario Purchasers Only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was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Eligibility for Investment</w:t>
      </w:r>
    </w:p>
    <w:p>
      <w:pPr>
        <w:spacing w:after="0" w:line="96"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Canadian purchasers of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represented by Holme Roberts &amp; Owen LLP, Denver, Colorado, who will pass upon the validity of the shares of common stock offered hereby. The underwriters are represented by Skadden, Arps, Slate, Meagher &amp; Flom LLP, Los Angeles, California.</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financial statements of National CineMedia, LLC as of December 29, 2005, and for the nine months ended December 29, 2005, and its predecessor company, Regal CineMedia Corporation, as of December 30, 2004, and for the years ended January 1, 2004 and December 30, 2004 and the three months ended March 31, 2005,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of National Cinema Network, Inc. for the successor period from December 24, 2004, through March 31, 2005, and for the predecessor periods from April 2, 2004 through December 23, 2004 and the year ended April 1, 2004, included in this prospectus have been audited by Deloitte &amp; Touche LLP, an independent registered public accounting firm, as stated in their report appearing herein and elsewhere in the registration statement, and have been so included in reliance upon the report of such firm given upon their authority as experts in accounting and auditing.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have filed with the SEC, in Washington, D.C., a registration statement on Form S-1 under the Securities Act with respect to the common stock offered hereby. This prospectus is a part of the registration statement and, as permitted by the SEC’s rules, does not contain all of the information presented in the registration statement. For further information with respect to us and our common stock offered hereby,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A copy of the registration statement, including the exhibits and schedules thereto, may be read and copied at the SEC’s Public Reference Room at 100 F Street, NE, Washington, D.C. 20549. Information on the operation of the Public Reference Room may be obtained by calling the SEC at 1-800-SEC-0330. In addition, the SEC maintains an Internet site at </w:t>
      </w:r>
      <w:r>
        <w:rPr>
          <w:rFonts w:ascii="Arial" w:cs="Arial" w:eastAsia="Arial" w:hAnsi="Arial"/>
          <w:sz w:val="16"/>
          <w:szCs w:val="16"/>
          <w:i w:val="1"/>
          <w:iCs w:val="1"/>
          <w:color w:val="auto"/>
        </w:rPr>
        <w:t>www.sec.gov</w:t>
      </w:r>
      <w:r>
        <w:rPr>
          <w:rFonts w:ascii="Arial" w:cs="Arial" w:eastAsia="Arial" w:hAnsi="Arial"/>
          <w:sz w:val="16"/>
          <w:szCs w:val="16"/>
          <w:color w:val="auto"/>
        </w:rPr>
        <w:t>, from which interested persons can electronically access the registration statement, including the exhibits and any schedules thereto. The registration statement, including the exhibits and schedules thereto, is also available for reading and copying at the offices of the The Nasdaq Stock Market at One Liberty Plaza, 165 Broadway, New York, NY 10006.</w:t>
      </w:r>
    </w:p>
    <w:p>
      <w:pPr>
        <w:spacing w:after="0" w:line="12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As a result of this offering, we will become subject to the informational requirements of the Exchange Act. We will fulfill our obligations with respect to such requirements by filing periodic reports, proxy statements and other information with the SEC. We intend to furnish our stockholders with annual reports containing consolidated financial statements certified by an independent public accounting firm. We also maintain an Internet site at </w:t>
      </w:r>
      <w:r>
        <w:rPr>
          <w:rFonts w:ascii="Arial" w:cs="Arial" w:eastAsia="Arial" w:hAnsi="Arial"/>
          <w:sz w:val="15"/>
          <w:szCs w:val="15"/>
          <w:i w:val="1"/>
          <w:iCs w:val="1"/>
          <w:color w:val="auto"/>
        </w:rPr>
        <w:t>www.ncm.com</w:t>
      </w:r>
      <w:r>
        <w:rPr>
          <w:rFonts w:ascii="Arial" w:cs="Arial" w:eastAsia="Arial" w:hAnsi="Arial"/>
          <w:sz w:val="15"/>
          <w:szCs w:val="15"/>
          <w:color w:val="auto"/>
        </w:rPr>
        <w:t xml:space="preserve">. </w:t>
      </w:r>
      <w:r>
        <w:rPr>
          <w:rFonts w:ascii="Arial" w:cs="Arial" w:eastAsia="Arial" w:hAnsi="Arial"/>
          <w:sz w:val="15"/>
          <w:szCs w:val="15"/>
          <w:b w:val="1"/>
          <w:bCs w:val="1"/>
          <w:color w:val="auto"/>
        </w:rPr>
        <w:t>Our website</w:t>
      </w:r>
      <w:r>
        <w:rPr>
          <w:rFonts w:ascii="Arial" w:cs="Arial" w:eastAsia="Arial" w:hAnsi="Arial"/>
          <w:sz w:val="15"/>
          <w:szCs w:val="15"/>
          <w:color w:val="auto"/>
        </w:rPr>
        <w:t xml:space="preserve"> </w:t>
      </w:r>
      <w:r>
        <w:rPr>
          <w:rFonts w:ascii="Arial" w:cs="Arial" w:eastAsia="Arial" w:hAnsi="Arial"/>
          <w:sz w:val="15"/>
          <w:szCs w:val="15"/>
          <w:b w:val="1"/>
          <w:bCs w:val="1"/>
          <w:color w:val="auto"/>
        </w:rPr>
        <w:t>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25"/>
            <w:vMerge w:val="restart"/>
          </w:tcPr>
          <w:p>
            <w:pPr>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National CineMedia, Inc.</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5"/>
          </w:tcPr>
          <w:p>
            <w:pPr>
              <w:spacing w:after="0"/>
              <w:rPr>
                <w:rFonts w:ascii="Arial" w:cs="Arial" w:eastAsia="Arial" w:hAnsi="Arial"/>
                <w:sz w:val="18"/>
                <w:szCs w:val="18"/>
                <w:b w:val="1"/>
                <w:bCs w:val="1"/>
                <w:color w:val="0000EE"/>
              </w:rPr>
            </w:pPr>
            <w:hyperlink w:anchor="page147">
              <w:r>
                <w:rPr>
                  <w:rFonts w:ascii="Arial" w:cs="Arial" w:eastAsia="Arial" w:hAnsi="Arial"/>
                  <w:sz w:val="18"/>
                  <w:szCs w:val="18"/>
                  <w:b w:val="1"/>
                  <w:bCs w:val="1"/>
                  <w:color w:val="0000EE"/>
                </w:rPr>
                <w:t>National CineMedia, LLC and its predecessor, Regal CineMedia Corporation</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4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Report of Independent Registered Public Accounting Firm</w:t>
              </w:r>
            </w:hyperlink>
          </w:p>
        </w:tc>
        <w:tc>
          <w:tcPr>
            <w:tcW w:w="1240" w:type="dxa"/>
            <w:vAlign w:val="bottom"/>
            <w:tcBorders>
              <w:top w:val="single" w:sz="8" w:color="0000EE"/>
            </w:tcBorders>
            <w:gridSpan w:val="3"/>
          </w:tcPr>
          <w:p>
            <w:pPr>
              <w:spacing w:after="0"/>
              <w:rPr>
                <w:sz w:val="17"/>
                <w:szCs w:val="17"/>
                <w:color w:val="auto"/>
              </w:rPr>
            </w:pPr>
          </w:p>
        </w:tc>
        <w:tc>
          <w:tcPr>
            <w:tcW w:w="5260" w:type="dxa"/>
            <w:vAlign w:val="bottom"/>
            <w:gridSpan w:val="11"/>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6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48">
              <w:r>
                <w:rPr>
                  <w:rFonts w:ascii="Arial" w:cs="Arial" w:eastAsia="Arial" w:hAnsi="Arial"/>
                  <w:sz w:val="18"/>
                  <w:szCs w:val="18"/>
                  <w:color w:val="0000EE"/>
                  <w:w w:val="86"/>
                </w:rPr>
                <w:t>Balance Sheets as of December 30, 2004 and December 29, 2005</w:t>
              </w:r>
            </w:hyperlink>
          </w:p>
        </w:tc>
        <w:tc>
          <w:tcPr>
            <w:tcW w:w="6020" w:type="dxa"/>
            <w:vAlign w:val="bottom"/>
            <w:gridSpan w:val="13"/>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4"/>
          </w:tcPr>
          <w:p>
            <w:pPr>
              <w:spacing w:after="0" w:line="196" w:lineRule="exact"/>
              <w:rPr>
                <w:rFonts w:ascii="Arial" w:cs="Arial" w:eastAsia="Arial" w:hAnsi="Arial"/>
                <w:sz w:val="18"/>
                <w:szCs w:val="18"/>
                <w:color w:val="0000EE"/>
                <w:w w:val="93"/>
              </w:rPr>
            </w:pPr>
            <w:hyperlink w:anchor="page149">
              <w:r>
                <w:rPr>
                  <w:rFonts w:ascii="Arial" w:cs="Arial" w:eastAsia="Arial" w:hAnsi="Arial"/>
                  <w:sz w:val="18"/>
                  <w:szCs w:val="18"/>
                  <w:color w:val="0000EE"/>
                  <w:w w:val="93"/>
                </w:rPr>
                <w:t>Statements of Operations for the years ended January 1, 2004 and December 30, 2004, the three months ended March 31, 2005 and the nine</w:t>
              </w:r>
            </w:hyperlink>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months ended December 29, 2005</w:t>
              </w:r>
            </w:hyperlink>
          </w:p>
        </w:tc>
        <w:tc>
          <w:tcPr>
            <w:tcW w:w="7180" w:type="dxa"/>
            <w:vAlign w:val="bottom"/>
            <w:tcBorders>
              <w:top w:val="single" w:sz="8" w:color="0000EE"/>
            </w:tcBorders>
            <w:gridSpan w:val="11"/>
          </w:tcPr>
          <w:p>
            <w:pPr>
              <w:spacing w:after="0"/>
              <w:rPr>
                <w:sz w:val="17"/>
                <w:szCs w:val="17"/>
                <w:color w:val="auto"/>
              </w:rPr>
            </w:pPr>
          </w:p>
        </w:tc>
        <w:tc>
          <w:tcPr>
            <w:tcW w:w="800" w:type="dxa"/>
            <w:vAlign w:val="bottom"/>
            <w:gridSpan w:val="7"/>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50">
              <w:r>
                <w:rPr>
                  <w:rFonts w:ascii="Arial" w:cs="Arial" w:eastAsia="Arial" w:hAnsi="Arial"/>
                  <w:sz w:val="18"/>
                  <w:szCs w:val="18"/>
                  <w:color w:val="0000EE"/>
                  <w:w w:val="87"/>
                </w:rPr>
                <w:t>Statements of Stockholder’s Equity and Members’ Equity for the years ended January 1, 2004 and December 30, 2004, the three months ended</w:t>
              </w:r>
            </w:hyperlink>
          </w:p>
        </w:tc>
        <w:tc>
          <w:tcPr>
            <w:tcW w:w="56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0" w:type="dxa"/>
            <w:vAlign w:val="bottom"/>
            <w:gridSpan w:val="23"/>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March 31, 2005 and the nine months ended December 29, 2005</w:t>
              </w:r>
            </w:hyperlink>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Statements of Cash Flows for the years ended January 1, 2004 and December 30, 2004, the three months ended March 31, 2005 and the nine</w:t>
              </w:r>
            </w:hyperlink>
          </w:p>
        </w:tc>
        <w:tc>
          <w:tcPr>
            <w:tcW w:w="74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0" w:type="dxa"/>
            <w:vAlign w:val="bottom"/>
            <w:gridSpan w:val="2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months ended December 29, 2005</w:t>
              </w:r>
            </w:hyperlink>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Notes to Financial Statements</w:t>
              </w:r>
            </w:hyperlink>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tcBorders>
              <w:left w:val="single" w:sz="8" w:color="0000EE"/>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2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Condensed Balance Sheet as of June 29, 2006 (unaudited)</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20" w:type="dxa"/>
            <w:vAlign w:val="bottom"/>
            <w:gridSpan w:val="24"/>
          </w:tcPr>
          <w:p>
            <w:pPr>
              <w:spacing w:after="0" w:line="184"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Condensed Statements of Operations for the three months ended June 30, 2005, the three months ended June 29, 2006 and the six months ended</w:t>
              </w:r>
            </w:hyperlink>
          </w:p>
        </w:tc>
        <w:tc>
          <w:tcPr>
            <w:tcW w:w="36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June 29, 2006 (unaudited)</w:t>
              </w:r>
            </w:hyperlink>
          </w:p>
        </w:tc>
        <w:tc>
          <w:tcPr>
            <w:tcW w:w="5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4"/>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 xml:space="preserve">Condensed Statement of Cash Flows for the six months ended June 29, 2006 </w:t>
              </w:r>
            </w:hyperlink>
            <w:r>
              <w:rPr>
                <w:rFonts w:ascii="Arial" w:cs="Arial" w:eastAsia="Arial" w:hAnsi="Arial"/>
                <w:sz w:val="18"/>
                <w:szCs w:val="18"/>
                <w:color w:val="000000"/>
              </w:rPr>
              <w:t>(unaudited)</w:t>
            </w: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20" w:type="dxa"/>
            <w:vAlign w:val="bottom"/>
            <w:gridSpan w:val="24"/>
          </w:tcPr>
          <w:p>
            <w:pPr>
              <w:spacing w:after="0" w:line="184" w:lineRule="exact"/>
              <w:rPr>
                <w:rFonts w:ascii="Arial" w:cs="Arial" w:eastAsia="Arial" w:hAnsi="Arial"/>
                <w:sz w:val="18"/>
                <w:szCs w:val="18"/>
                <w:color w:val="0000EE"/>
              </w:rPr>
            </w:pPr>
            <w:hyperlink w:anchor="page168">
              <w:r>
                <w:rPr>
                  <w:rFonts w:ascii="Arial" w:cs="Arial" w:eastAsia="Arial" w:hAnsi="Arial"/>
                  <w:sz w:val="18"/>
                  <w:szCs w:val="18"/>
                  <w:color w:val="0000EE"/>
                </w:rPr>
                <w:t>Notes to Condensed Financial Statements (unaudited)</w:t>
              </w:r>
            </w:hyperlink>
          </w:p>
        </w:tc>
        <w:tc>
          <w:tcPr>
            <w:tcW w:w="36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1060" w:type="dxa"/>
            <w:vAlign w:val="bottom"/>
            <w:gridSpan w:val="25"/>
          </w:tcPr>
          <w:p>
            <w:pPr>
              <w:spacing w:after="0"/>
              <w:rPr>
                <w:rFonts w:ascii="Arial" w:cs="Arial" w:eastAsia="Arial" w:hAnsi="Arial"/>
                <w:sz w:val="18"/>
                <w:szCs w:val="18"/>
                <w:b w:val="1"/>
                <w:bCs w:val="1"/>
                <w:color w:val="0000EE"/>
              </w:rPr>
            </w:pPr>
            <w:hyperlink w:anchor="page174">
              <w:r>
                <w:rPr>
                  <w:rFonts w:ascii="Arial" w:cs="Arial" w:eastAsia="Arial" w:hAnsi="Arial"/>
                  <w:sz w:val="18"/>
                  <w:szCs w:val="18"/>
                  <w:b w:val="1"/>
                  <w:bCs w:val="1"/>
                  <w:color w:val="0000EE"/>
                </w:rPr>
                <w:t>National Cinema Network, Inc.</w:t>
              </w:r>
            </w:hyperlink>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8"/>
        </w:trPr>
        <w:tc>
          <w:tcPr>
            <w:tcW w:w="4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20" w:type="dxa"/>
            <w:vAlign w:val="bottom"/>
            <w:gridSpan w:val="24"/>
          </w:tcPr>
          <w:p>
            <w:pPr>
              <w:spacing w:after="0" w:line="184" w:lineRule="exact"/>
              <w:rPr>
                <w:rFonts w:ascii="Arial" w:cs="Arial" w:eastAsia="Arial" w:hAnsi="Arial"/>
                <w:sz w:val="18"/>
                <w:szCs w:val="18"/>
                <w:color w:val="0000EE"/>
              </w:rPr>
            </w:pPr>
            <w:hyperlink w:anchor="page174">
              <w:r>
                <w:rPr>
                  <w:rFonts w:ascii="Arial" w:cs="Arial" w:eastAsia="Arial" w:hAnsi="Arial"/>
                  <w:sz w:val="18"/>
                  <w:szCs w:val="18"/>
                  <w:color w:val="0000EE"/>
                </w:rPr>
                <w:t>Report of Independent Registered Public Accounting Firm</w:t>
              </w:r>
            </w:hyperlink>
          </w:p>
        </w:tc>
        <w:tc>
          <w:tcPr>
            <w:tcW w:w="36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20" w:type="dxa"/>
            <w:vAlign w:val="bottom"/>
            <w:gridSpan w:val="24"/>
          </w:tcPr>
          <w:p>
            <w:pPr>
              <w:spacing w:after="0" w:line="184"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Statements of Operations for the predecessor periods from April 2, 2004 through December 23, 2004 and the 52 weeks ended April 1, 2004 and</w:t>
              </w:r>
            </w:hyperlink>
          </w:p>
        </w:tc>
        <w:tc>
          <w:tcPr>
            <w:tcW w:w="36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for the successor period from December 24, 2004 through March 31, 2005</w:t>
              </w:r>
            </w:hyperlink>
          </w:p>
        </w:tc>
        <w:tc>
          <w:tcPr>
            <w:tcW w:w="4640" w:type="dxa"/>
            <w:vAlign w:val="bottom"/>
            <w:tcBorders>
              <w:top w:val="single" w:sz="8" w:color="0000EE"/>
            </w:tcBorders>
            <w:gridSpan w:val="4"/>
          </w:tcPr>
          <w:p>
            <w:pPr>
              <w:spacing w:after="0"/>
              <w:rPr>
                <w:sz w:val="17"/>
                <w:szCs w:val="17"/>
                <w:color w:val="auto"/>
              </w:rPr>
            </w:pPr>
          </w:p>
        </w:tc>
        <w:tc>
          <w:tcPr>
            <w:tcW w:w="5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4"/>
          </w:tcPr>
          <w:p>
            <w:pPr>
              <w:spacing w:after="0" w:line="19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Statements of Stockholder’s Equity for the predecessor period from April 3, 2003 through December 23, 2004 and for the successor period from</w:t>
              </w:r>
            </w:hyperlink>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December 24, 2004 through March 31, 2005</w:t>
              </w:r>
            </w:hyperlink>
          </w:p>
        </w:tc>
        <w:tc>
          <w:tcPr>
            <w:tcW w:w="4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300" w:type="dxa"/>
            <w:vAlign w:val="bottom"/>
            <w:tcBorders>
              <w:left w:val="single" w:sz="8" w:color="0000EE"/>
            </w:tcBorders>
            <w:gridSpan w:val="3"/>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16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77">
              <w:r>
                <w:rPr>
                  <w:rFonts w:ascii="Arial" w:cs="Arial" w:eastAsia="Arial" w:hAnsi="Arial"/>
                  <w:sz w:val="18"/>
                  <w:szCs w:val="18"/>
                  <w:color w:val="0000EE"/>
                  <w:w w:val="87"/>
                </w:rPr>
                <w:t>Statements of Cash Flows for the predecessor periods from April 2, 2004 through December 23, 2004 and the 52 weeks ended April 1, 2004 and</w:t>
              </w:r>
            </w:hyperlink>
          </w:p>
        </w:tc>
        <w:tc>
          <w:tcPr>
            <w:tcW w:w="460" w:type="dxa"/>
            <w:vAlign w:val="bottom"/>
          </w:tcPr>
          <w:p>
            <w:pPr>
              <w:spacing w:after="0"/>
              <w:rPr>
                <w:sz w:val="17"/>
                <w:szCs w:val="17"/>
                <w:color w:val="auto"/>
              </w:rPr>
            </w:pP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0" w:type="dxa"/>
            <w:vAlign w:val="bottom"/>
            <w:gridSpan w:val="2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for the successor period from December 24, 2004 through March 31, 2005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400" w:type="dxa"/>
            <w:vAlign w:val="bottom"/>
            <w:tcBorders>
              <w:left w:val="single" w:sz="8" w:color="0000EE"/>
            </w:tcBorders>
            <w:gridSpan w:val="11"/>
            <w:shd w:val="clear" w:color="auto" w:fill="0000EE"/>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4"/>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Notes to Financial Statements</w:t>
              </w:r>
            </w:hyperlink>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9037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(1)</w:t>
        <w:tab/>
        <w:t>To be filed by amendment, after 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audited the accompanying balance sheet of National CineMedia, LLC (“NCM”) as of December 29, 2005 and the related statements of operations, members’ equity, and cash flows for the nine month period ended December 29, 2005. We have also audited the accompanying balance sheet of Regal CineMedia Corporation (a wholly owned subsidiary of Regal Entertainment Group, Inc.) (the “Predecessor” and, collectively with NCM, the “Company”), as of December 30, 2004 and the related statements of operations, stockholder’s equity, and cash flows for the years ended January 1, 2004, and December 30, 2004, and the three month period ended March 31, 2005. These financial statements are the responsibility of the Company’s management. Our responsibility is to express an opinion on these financial statements based on our audits.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National CineMedia, LLC as of December 29, 2005 and the results of its operations and its cash flows for the nine month period ended December 29, 2005, and the financial position of Regal CineMedia Corporation as of December 30, 2004 and the results of its operations and cash flows for the years ended January 1, 2004, and December 30, 2004, and the three month period ended March 31, 2005, in conformity with accounting principles generally accepted in the United States of America.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10,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 millions, except number of shares)</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Receivables—net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assets</w:t>
      </w:r>
    </w:p>
    <w:p>
      <w:pPr>
        <w:spacing w:after="0" w:line="279"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PROPERTY AND EQUIPMENT, net of accumulated depreciation of $6.5 million in 2004 and $8.7 million in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36" w:lineRule="exact"/>
        <w:rPr>
          <w:sz w:val="20"/>
          <w:szCs w:val="20"/>
          <w:color w:val="auto"/>
        </w:rPr>
      </w:pPr>
    </w:p>
    <w:p>
      <w:pPr>
        <w:ind w:left="440" w:right="1060"/>
        <w:spacing w:after="0" w:line="297" w:lineRule="auto"/>
        <w:rPr>
          <w:sz w:val="20"/>
          <w:szCs w:val="20"/>
          <w:color w:val="auto"/>
        </w:rPr>
      </w:pPr>
      <w:r>
        <w:rPr>
          <w:rFonts w:ascii="Arial" w:cs="Arial" w:eastAsia="Arial" w:hAnsi="Arial"/>
          <w:sz w:val="18"/>
          <w:szCs w:val="18"/>
          <w:color w:val="auto"/>
        </w:rPr>
        <w:t>Network affiliate agreements, net of accumulated amortization of $1.2 million in 2005 Deposits and other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other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AMOUNTS DUE FROM PARENT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due to Members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borrowings from Members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(Notes 1 and 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MEMBERS’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$0.001 par value—authorized, issued and outstanding 5,000 shares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paid-in capital</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jc w:val="center"/>
        <w:ind w:left="3860"/>
        <w:spacing w:after="0"/>
        <w:rPr>
          <w:sz w:val="20"/>
          <w:szCs w:val="20"/>
          <w:color w:val="auto"/>
        </w:rPr>
      </w:pPr>
      <w:r>
        <w:rPr>
          <w:rFonts w:ascii="Arial" w:cs="Arial" w:eastAsia="Arial" w:hAnsi="Arial"/>
          <w:sz w:val="16"/>
          <w:szCs w:val="16"/>
          <w:color w:val="auto"/>
        </w:rPr>
        <w:t>See accompanying notes to financial statements.</w:t>
      </w:r>
    </w:p>
    <w:p>
      <w:pPr>
        <w:spacing w:after="0" w:line="181" w:lineRule="exact"/>
        <w:rPr>
          <w:sz w:val="20"/>
          <w:szCs w:val="20"/>
          <w:color w:val="auto"/>
        </w:rPr>
      </w:pPr>
    </w:p>
    <w:p>
      <w:pPr>
        <w:jc w:val="center"/>
        <w:ind w:left="386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554"/>
        <w:spacing w:after="0"/>
        <w:rPr>
          <w:sz w:val="20"/>
          <w:szCs w:val="20"/>
          <w:color w:val="auto"/>
        </w:rPr>
      </w:pPr>
      <w:r>
        <w:rPr>
          <w:rFonts w:ascii="Arial" w:cs="Arial" w:eastAsia="Arial" w:hAnsi="Arial"/>
          <w:sz w:val="14"/>
          <w:szCs w:val="14"/>
          <w:b w:val="1"/>
          <w:bCs w:val="1"/>
          <w:color w:val="auto"/>
        </w:rPr>
        <w:t>Predecessor—</w:t>
      </w:r>
    </w:p>
    <w:p>
      <w:pPr>
        <w:spacing w:after="0" w:line="2" w:lineRule="exact"/>
        <w:rPr>
          <w:sz w:val="20"/>
          <w:szCs w:val="20"/>
          <w:color w:val="auto"/>
        </w:rPr>
      </w:pPr>
    </w:p>
    <w:p>
      <w:pPr>
        <w:jc w:val="center"/>
        <w:ind w:right="554"/>
        <w:spacing w:after="0"/>
        <w:rPr>
          <w:sz w:val="20"/>
          <w:szCs w:val="20"/>
          <w:color w:val="auto"/>
        </w:rPr>
      </w:pPr>
      <w:r>
        <w:rPr>
          <w:rFonts w:ascii="Arial" w:cs="Arial" w:eastAsia="Arial" w:hAnsi="Arial"/>
          <w:sz w:val="12"/>
          <w:szCs w:val="12"/>
          <w:b w:val="1"/>
          <w:bCs w:val="1"/>
          <w:color w:val="auto"/>
        </w:rPr>
        <w:t>Regal CineMedia</w:t>
      </w:r>
    </w:p>
    <w:p>
      <w:pPr>
        <w:jc w:val="center"/>
        <w:ind w:right="554"/>
        <w:spacing w:after="0" w:line="237" w:lineRule="auto"/>
        <w:rPr>
          <w:sz w:val="20"/>
          <w:szCs w:val="20"/>
          <w:color w:val="auto"/>
        </w:rPr>
      </w:pPr>
      <w:r>
        <w:rPr>
          <w:rFonts w:ascii="Arial" w:cs="Arial" w:eastAsia="Arial" w:hAnsi="Arial"/>
          <w:sz w:val="14"/>
          <w:szCs w:val="14"/>
          <w:b w:val="1"/>
          <w:bCs w:val="1"/>
          <w:color w:val="auto"/>
        </w:rPr>
        <w:t>December 30,</w:t>
      </w:r>
    </w:p>
    <w:p>
      <w:pPr>
        <w:jc w:val="center"/>
        <w:ind w:right="554"/>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43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1" w:hanging="801"/>
        <w:spacing w:after="0"/>
        <w:tabs>
          <w:tab w:leader="none" w:pos="80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2.5</w:t>
      </w:r>
    </w:p>
    <w:p>
      <w:pPr>
        <w:spacing w:after="0" w:line="70" w:lineRule="exact"/>
        <w:rPr>
          <w:rFonts w:ascii="Arial" w:cs="Arial" w:eastAsia="Arial" w:hAnsi="Arial"/>
          <w:sz w:val="15"/>
          <w:szCs w:val="15"/>
          <w:color w:val="auto"/>
        </w:rPr>
      </w:pPr>
    </w:p>
    <w:p>
      <w:pPr>
        <w:ind w:left="701"/>
        <w:spacing w:after="0"/>
        <w:rPr>
          <w:rFonts w:ascii="Arial" w:cs="Arial" w:eastAsia="Arial" w:hAnsi="Arial"/>
          <w:sz w:val="15"/>
          <w:szCs w:val="15"/>
          <w:color w:val="auto"/>
        </w:rPr>
      </w:pPr>
      <w:r>
        <w:rPr>
          <w:rFonts w:ascii="Arial" w:cs="Arial" w:eastAsia="Arial" w:hAnsi="Arial"/>
          <w:sz w:val="16"/>
          <w:szCs w:val="16"/>
          <w:color w:val="auto"/>
        </w:rPr>
        <w:t>28.8</w:t>
      </w:r>
    </w:p>
    <w:p>
      <w:pPr>
        <w:spacing w:after="0" w:line="59" w:lineRule="exact"/>
        <w:rPr>
          <w:rFonts w:ascii="Arial" w:cs="Arial" w:eastAsia="Arial" w:hAnsi="Arial"/>
          <w:sz w:val="15"/>
          <w:szCs w:val="15"/>
          <w:color w:val="auto"/>
        </w:rPr>
      </w:pPr>
    </w:p>
    <w:p>
      <w:pPr>
        <w:ind w:left="801"/>
        <w:spacing w:after="0"/>
        <w:rPr>
          <w:rFonts w:ascii="Arial" w:cs="Arial" w:eastAsia="Arial" w:hAnsi="Arial"/>
          <w:sz w:val="15"/>
          <w:szCs w:val="15"/>
          <w:color w:val="auto"/>
        </w:rPr>
      </w:pPr>
      <w:r>
        <w:rPr>
          <w:rFonts w:ascii="Arial" w:cs="Arial" w:eastAsia="Arial" w:hAnsi="Arial"/>
          <w:sz w:val="15"/>
          <w:szCs w:val="15"/>
          <w:color w:val="auto"/>
        </w:rPr>
        <w:t>0.5</w:t>
      </w:r>
    </w:p>
    <w:p>
      <w:pPr>
        <w:spacing w:after="0" w:line="70" w:lineRule="exact"/>
        <w:rPr>
          <w:rFonts w:ascii="Arial" w:cs="Arial" w:eastAsia="Arial" w:hAnsi="Arial"/>
          <w:sz w:val="15"/>
          <w:szCs w:val="15"/>
          <w:color w:val="auto"/>
        </w:rPr>
      </w:pPr>
    </w:p>
    <w:p>
      <w:pPr>
        <w:ind w:left="801"/>
        <w:spacing w:after="0"/>
        <w:rPr>
          <w:rFonts w:ascii="Arial" w:cs="Arial" w:eastAsia="Arial" w:hAnsi="Arial"/>
          <w:sz w:val="15"/>
          <w:szCs w:val="15"/>
          <w:color w:val="auto"/>
        </w:rPr>
      </w:pPr>
      <w:r>
        <w:rPr>
          <w:rFonts w:ascii="Arial" w:cs="Arial" w:eastAsia="Arial" w:hAnsi="Arial"/>
          <w:sz w:val="15"/>
          <w:szCs w:val="15"/>
          <w:color w:val="auto"/>
        </w:rPr>
        <w:t>0.7</w:t>
      </w:r>
    </w:p>
    <w:p>
      <w:pPr>
        <w:spacing w:after="0" w:line="97" w:lineRule="exact"/>
        <w:rPr>
          <w:rFonts w:ascii="Arial" w:cs="Arial" w:eastAsia="Arial" w:hAnsi="Arial"/>
          <w:sz w:val="15"/>
          <w:szCs w:val="15"/>
          <w:color w:val="auto"/>
        </w:rPr>
      </w:pPr>
    </w:p>
    <w:p>
      <w:pPr>
        <w:ind w:left="701"/>
        <w:spacing w:after="0"/>
        <w:rPr>
          <w:rFonts w:ascii="Arial" w:cs="Arial" w:eastAsia="Arial" w:hAnsi="Arial"/>
          <w:sz w:val="15"/>
          <w:szCs w:val="15"/>
          <w:color w:val="auto"/>
        </w:rPr>
      </w:pPr>
      <w:r>
        <w:rPr>
          <w:rFonts w:ascii="Arial" w:cs="Arial" w:eastAsia="Arial" w:hAnsi="Arial"/>
          <w:sz w:val="16"/>
          <w:szCs w:val="16"/>
          <w:color w:val="auto"/>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43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555"/>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741"/>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74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3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3" w:lineRule="exact"/>
        <w:rPr>
          <w:sz w:val="20"/>
          <w:szCs w:val="20"/>
          <w:color w:val="auto"/>
        </w:rPr>
      </w:pPr>
    </w:p>
    <w:p>
      <w:pPr>
        <w:jc w:val="center"/>
        <w:ind w:left="-105"/>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center"/>
        <w:ind w:left="-145"/>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43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66" w:lineRule="exact"/>
        <w:rPr>
          <w:sz w:val="20"/>
          <w:szCs w:val="20"/>
          <w:color w:val="auto"/>
        </w:rPr>
      </w:pPr>
    </w:p>
    <w:p>
      <w:pPr>
        <w:ind w:left="701" w:hanging="701"/>
        <w:spacing w:after="0"/>
        <w:tabs>
          <w:tab w:leader="none" w:pos="7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43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43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1" w:hanging="801"/>
        <w:spacing w:after="0"/>
        <w:tabs>
          <w:tab w:leader="none" w:pos="80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2.3</w:t>
      </w:r>
    </w:p>
    <w:p>
      <w:pPr>
        <w:spacing w:after="0" w:line="70" w:lineRule="exact"/>
        <w:rPr>
          <w:rFonts w:ascii="Arial" w:cs="Arial" w:eastAsia="Arial" w:hAnsi="Arial"/>
          <w:sz w:val="15"/>
          <w:szCs w:val="15"/>
          <w:color w:val="auto"/>
        </w:rPr>
      </w:pPr>
    </w:p>
    <w:p>
      <w:pPr>
        <w:ind w:left="741"/>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6" w:lineRule="exact"/>
        <w:rPr>
          <w:rFonts w:ascii="Arial" w:cs="Arial" w:eastAsia="Arial" w:hAnsi="Arial"/>
          <w:sz w:val="15"/>
          <w:szCs w:val="15"/>
          <w:color w:val="auto"/>
        </w:rPr>
      </w:pPr>
    </w:p>
    <w:p>
      <w:pPr>
        <w:ind w:left="741"/>
        <w:spacing w:after="0"/>
        <w:rPr>
          <w:rFonts w:ascii="Arial" w:cs="Arial" w:eastAsia="Arial" w:hAnsi="Arial"/>
          <w:sz w:val="15"/>
          <w:szCs w:val="15"/>
          <w:color w:val="auto"/>
        </w:rPr>
      </w:pPr>
      <w:r>
        <w:rPr>
          <w:rFonts w:ascii="Arial" w:cs="Arial" w:eastAsia="Arial" w:hAnsi="Arial"/>
          <w:sz w:val="18"/>
          <w:szCs w:val="18"/>
          <w:color w:val="auto"/>
        </w:rPr>
        <w:t>—</w:t>
      </w:r>
    </w:p>
    <w:p>
      <w:pPr>
        <w:spacing w:after="0" w:line="36" w:lineRule="exact"/>
        <w:rPr>
          <w:rFonts w:ascii="Arial" w:cs="Arial" w:eastAsia="Arial" w:hAnsi="Arial"/>
          <w:sz w:val="15"/>
          <w:szCs w:val="15"/>
          <w:color w:val="auto"/>
        </w:rPr>
      </w:pPr>
    </w:p>
    <w:p>
      <w:pPr>
        <w:ind w:left="801"/>
        <w:spacing w:after="0"/>
        <w:rPr>
          <w:rFonts w:ascii="Arial" w:cs="Arial" w:eastAsia="Arial" w:hAnsi="Arial"/>
          <w:sz w:val="15"/>
          <w:szCs w:val="15"/>
          <w:color w:val="auto"/>
        </w:rPr>
      </w:pPr>
      <w:r>
        <w:rPr>
          <w:rFonts w:ascii="Arial" w:cs="Arial" w:eastAsia="Arial" w:hAnsi="Arial"/>
          <w:sz w:val="15"/>
          <w:szCs w:val="15"/>
          <w:color w:val="auto"/>
        </w:rPr>
        <w:t>6.2</w:t>
      </w:r>
    </w:p>
    <w:p>
      <w:pPr>
        <w:spacing w:after="0" w:line="70" w:lineRule="exact"/>
        <w:rPr>
          <w:rFonts w:ascii="Arial" w:cs="Arial" w:eastAsia="Arial" w:hAnsi="Arial"/>
          <w:sz w:val="15"/>
          <w:szCs w:val="15"/>
          <w:color w:val="auto"/>
        </w:rPr>
      </w:pPr>
    </w:p>
    <w:p>
      <w:pPr>
        <w:ind w:left="801"/>
        <w:spacing w:after="0"/>
        <w:rPr>
          <w:rFonts w:ascii="Arial" w:cs="Arial" w:eastAsia="Arial" w:hAnsi="Arial"/>
          <w:sz w:val="15"/>
          <w:szCs w:val="15"/>
          <w:color w:val="auto"/>
        </w:rPr>
      </w:pPr>
      <w:r>
        <w:rPr>
          <w:rFonts w:ascii="Arial" w:cs="Arial" w:eastAsia="Arial" w:hAnsi="Arial"/>
          <w:sz w:val="15"/>
          <w:szCs w:val="15"/>
          <w:color w:val="auto"/>
        </w:rPr>
        <w:t>0.4</w:t>
      </w:r>
    </w:p>
    <w:p>
      <w:pPr>
        <w:spacing w:after="0" w:line="97" w:lineRule="exact"/>
        <w:rPr>
          <w:rFonts w:ascii="Arial" w:cs="Arial" w:eastAsia="Arial" w:hAnsi="Arial"/>
          <w:sz w:val="15"/>
          <w:szCs w:val="15"/>
          <w:color w:val="auto"/>
        </w:rPr>
      </w:pPr>
    </w:p>
    <w:p>
      <w:pPr>
        <w:ind w:left="801"/>
        <w:spacing w:after="0"/>
        <w:rPr>
          <w:rFonts w:ascii="Arial" w:cs="Arial" w:eastAsia="Arial" w:hAnsi="Arial"/>
          <w:sz w:val="15"/>
          <w:szCs w:val="15"/>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43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94" w:lineRule="exact"/>
        <w:rPr>
          <w:sz w:val="20"/>
          <w:szCs w:val="20"/>
          <w:color w:val="auto"/>
        </w:rPr>
      </w:pPr>
    </w:p>
    <w:p>
      <w:pPr>
        <w:jc w:val="right"/>
        <w:ind w:right="555"/>
        <w:spacing w:after="0"/>
        <w:rPr>
          <w:sz w:val="20"/>
          <w:szCs w:val="20"/>
          <w:color w:val="auto"/>
        </w:rPr>
      </w:pPr>
      <w:r>
        <w:rPr>
          <w:rFonts w:ascii="Arial" w:cs="Arial" w:eastAsia="Arial" w:hAnsi="Arial"/>
          <w:sz w:val="18"/>
          <w:szCs w:val="18"/>
          <w:color w:val="auto"/>
        </w:rPr>
        <w:t>0.5</w:t>
      </w:r>
    </w:p>
    <w:p>
      <w:pPr>
        <w:spacing w:after="0" w:line="279" w:lineRule="exact"/>
        <w:rPr>
          <w:sz w:val="20"/>
          <w:szCs w:val="20"/>
          <w:color w:val="auto"/>
        </w:rPr>
      </w:pPr>
    </w:p>
    <w:p>
      <w:pPr>
        <w:jc w:val="right"/>
        <w:ind w:right="555"/>
        <w:spacing w:after="0"/>
        <w:rPr>
          <w:sz w:val="20"/>
          <w:szCs w:val="20"/>
          <w:color w:val="auto"/>
        </w:rPr>
      </w:pPr>
      <w:r>
        <w:rPr>
          <w:rFonts w:ascii="Arial" w:cs="Arial" w:eastAsia="Arial" w:hAnsi="Arial"/>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3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3" w:lineRule="exact"/>
        <w:rPr>
          <w:sz w:val="20"/>
          <w:szCs w:val="20"/>
          <w:color w:val="auto"/>
        </w:rPr>
      </w:pPr>
    </w:p>
    <w:p>
      <w:pPr>
        <w:jc w:val="right"/>
        <w:ind w:right="555"/>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3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left="-105"/>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741"/>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701"/>
        <w:spacing w:after="0"/>
        <w:rPr>
          <w:sz w:val="20"/>
          <w:szCs w:val="20"/>
          <w:color w:val="auto"/>
        </w:rPr>
      </w:pPr>
      <w:r>
        <w:rPr>
          <w:rFonts w:ascii="Arial" w:cs="Arial" w:eastAsia="Arial" w:hAnsi="Arial"/>
          <w:sz w:val="16"/>
          <w:szCs w:val="16"/>
          <w:color w:val="auto"/>
        </w:rPr>
        <w:t>22.5</w:t>
      </w:r>
    </w:p>
    <w:p>
      <w:pPr>
        <w:spacing w:after="0" w:line="59" w:lineRule="exact"/>
        <w:rPr>
          <w:sz w:val="20"/>
          <w:szCs w:val="20"/>
          <w:color w:val="auto"/>
        </w:rPr>
      </w:pPr>
    </w:p>
    <w:p>
      <w:pPr>
        <w:ind w:left="701"/>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43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66" w:lineRule="exact"/>
        <w:rPr>
          <w:sz w:val="20"/>
          <w:szCs w:val="20"/>
          <w:color w:val="auto"/>
        </w:rPr>
      </w:pPr>
    </w:p>
    <w:p>
      <w:pPr>
        <w:jc w:val="center"/>
        <w:ind w:left="-145"/>
        <w:spacing w:after="0"/>
        <w:rPr>
          <w:sz w:val="20"/>
          <w:szCs w:val="20"/>
          <w:color w:val="auto"/>
        </w:rPr>
      </w:pPr>
      <w:r>
        <w:rPr>
          <w:rFonts w:ascii="Arial" w:cs="Arial" w:eastAsia="Arial" w:hAnsi="Arial"/>
          <w:sz w:val="16"/>
          <w:szCs w:val="16"/>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43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66" w:lineRule="exact"/>
        <w:rPr>
          <w:sz w:val="20"/>
          <w:szCs w:val="20"/>
          <w:color w:val="auto"/>
        </w:rPr>
      </w:pPr>
    </w:p>
    <w:p>
      <w:pPr>
        <w:ind w:left="701" w:hanging="701"/>
        <w:spacing w:after="0"/>
        <w:tabs>
          <w:tab w:leader="none" w:pos="70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43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43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-93345</wp:posOffset>
            </wp:positionV>
            <wp:extent cx="8890" cy="71951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7195185"/>
                    </a:xfrm>
                    <a:prstGeom prst="rect">
                      <a:avLst/>
                    </a:prstGeom>
                    <a:noFill/>
                  </pic:spPr>
                </pic:pic>
              </a:graphicData>
            </a:graphic>
          </wp:anchor>
        </w:drawing>
      </w:r>
    </w:p>
    <w:p>
      <w:pPr>
        <w:jc w:val="center"/>
        <w:ind w:right="-4"/>
        <w:spacing w:after="0" w:line="223" w:lineRule="auto"/>
        <w:rPr>
          <w:sz w:val="20"/>
          <w:szCs w:val="20"/>
          <w:color w:val="auto"/>
        </w:rPr>
      </w:pPr>
      <w:r>
        <w:rPr>
          <w:rFonts w:ascii="Arial" w:cs="Arial" w:eastAsia="Arial" w:hAnsi="Arial"/>
          <w:sz w:val="14"/>
          <w:szCs w:val="14"/>
          <w:b w:val="1"/>
          <w:bCs w:val="1"/>
          <w:color w:val="auto"/>
        </w:rPr>
        <w:t>CineMedia</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2"/>
          <w:szCs w:val="12"/>
          <w:b w:val="1"/>
          <w:bCs w:val="1"/>
          <w:color w:val="auto"/>
        </w:rPr>
        <w:t>December 29,</w:t>
      </w:r>
    </w:p>
    <w:p>
      <w:pPr>
        <w:spacing w:after="0" w:line="10"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46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5" w:hanging="525"/>
        <w:spacing w:after="0"/>
        <w:tabs>
          <w:tab w:leader="none" w:pos="5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485"/>
        <w:spacing w:after="0"/>
        <w:rPr>
          <w:rFonts w:ascii="Arial" w:cs="Arial" w:eastAsia="Arial" w:hAnsi="Arial"/>
          <w:sz w:val="18"/>
          <w:szCs w:val="18"/>
          <w:color w:val="auto"/>
        </w:rPr>
      </w:pPr>
      <w:r>
        <w:rPr>
          <w:rFonts w:ascii="Arial" w:cs="Arial" w:eastAsia="Arial" w:hAnsi="Arial"/>
          <w:sz w:val="16"/>
          <w:szCs w:val="16"/>
          <w:color w:val="auto"/>
        </w:rPr>
        <w:t>36.6</w:t>
      </w:r>
    </w:p>
    <w:p>
      <w:pPr>
        <w:spacing w:after="0" w:line="59"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5"/>
          <w:szCs w:val="15"/>
          <w:color w:val="auto"/>
        </w:rPr>
        <w:t>1.0</w:t>
      </w:r>
    </w:p>
    <w:p>
      <w:pPr>
        <w:spacing w:after="0" w:line="70" w:lineRule="exact"/>
        <w:rPr>
          <w:rFonts w:ascii="Arial" w:cs="Arial" w:eastAsia="Arial" w:hAnsi="Arial"/>
          <w:sz w:val="18"/>
          <w:szCs w:val="18"/>
          <w:color w:val="auto"/>
        </w:rPr>
      </w:pPr>
    </w:p>
    <w:p>
      <w:pPr>
        <w:ind w:left="52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85"/>
        <w:spacing w:after="0"/>
        <w:rPr>
          <w:rFonts w:ascii="Arial" w:cs="Arial" w:eastAsia="Arial" w:hAnsi="Arial"/>
          <w:sz w:val="18"/>
          <w:szCs w:val="18"/>
          <w:color w:val="auto"/>
        </w:rPr>
      </w:pPr>
      <w:r>
        <w:rPr>
          <w:rFonts w:ascii="Arial" w:cs="Arial" w:eastAsia="Arial" w:hAnsi="Arial"/>
          <w:sz w:val="16"/>
          <w:szCs w:val="16"/>
          <w:color w:val="auto"/>
        </w:rPr>
        <w:t>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5746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746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79"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746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3" w:lineRule="exact"/>
        <w:rPr>
          <w:sz w:val="20"/>
          <w:szCs w:val="20"/>
          <w:color w:val="auto"/>
        </w:rPr>
      </w:pPr>
    </w:p>
    <w:p>
      <w:pPr>
        <w:ind w:left="485" w:hanging="485"/>
        <w:spacing w:after="0"/>
        <w:tabs>
          <w:tab w:leader="none" w:pos="4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746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5746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5" w:hanging="585"/>
        <w:spacing w:after="0"/>
        <w:tabs>
          <w:tab w:leader="none" w:pos="585" w:val="left"/>
        </w:tabs>
        <w:numPr>
          <w:ilvl w:val="0"/>
          <w:numId w:val="114"/>
        </w:numPr>
        <w:rPr>
          <w:rFonts w:ascii="Arial" w:cs="Arial" w:eastAsia="Arial" w:hAnsi="Arial"/>
          <w:sz w:val="15"/>
          <w:szCs w:val="15"/>
          <w:color w:val="auto"/>
        </w:rPr>
      </w:pPr>
      <w:r>
        <w:rPr>
          <w:rFonts w:ascii="Arial" w:cs="Arial" w:eastAsia="Arial" w:hAnsi="Arial"/>
          <w:sz w:val="15"/>
          <w:szCs w:val="15"/>
          <w:color w:val="auto"/>
        </w:rPr>
        <w:t>5.1</w:t>
      </w:r>
    </w:p>
    <w:p>
      <w:pPr>
        <w:spacing w:after="0" w:line="70" w:lineRule="exact"/>
        <w:rPr>
          <w:rFonts w:ascii="Arial" w:cs="Arial" w:eastAsia="Arial" w:hAnsi="Arial"/>
          <w:sz w:val="15"/>
          <w:szCs w:val="15"/>
          <w:color w:val="auto"/>
        </w:rPr>
      </w:pPr>
    </w:p>
    <w:p>
      <w:pPr>
        <w:ind w:left="485"/>
        <w:spacing w:after="0"/>
        <w:rPr>
          <w:rFonts w:ascii="Arial" w:cs="Arial" w:eastAsia="Arial" w:hAnsi="Arial"/>
          <w:sz w:val="15"/>
          <w:szCs w:val="15"/>
          <w:color w:val="auto"/>
        </w:rPr>
      </w:pPr>
      <w:r>
        <w:rPr>
          <w:rFonts w:ascii="Arial" w:cs="Arial" w:eastAsia="Arial" w:hAnsi="Arial"/>
          <w:sz w:val="16"/>
          <w:szCs w:val="16"/>
          <w:color w:val="auto"/>
        </w:rPr>
        <w:t>24.0</w:t>
      </w:r>
    </w:p>
    <w:p>
      <w:pPr>
        <w:spacing w:after="0" w:line="59" w:lineRule="exact"/>
        <w:rPr>
          <w:rFonts w:ascii="Arial" w:cs="Arial" w:eastAsia="Arial" w:hAnsi="Arial"/>
          <w:sz w:val="15"/>
          <w:szCs w:val="15"/>
          <w:color w:val="auto"/>
        </w:rPr>
      </w:pPr>
    </w:p>
    <w:p>
      <w:pPr>
        <w:ind w:left="585"/>
        <w:spacing w:after="0"/>
        <w:rPr>
          <w:rFonts w:ascii="Arial" w:cs="Arial" w:eastAsia="Arial" w:hAnsi="Arial"/>
          <w:sz w:val="15"/>
          <w:szCs w:val="15"/>
          <w:color w:val="auto"/>
        </w:rPr>
      </w:pPr>
      <w:r>
        <w:rPr>
          <w:rFonts w:ascii="Arial" w:cs="Arial" w:eastAsia="Arial" w:hAnsi="Arial"/>
          <w:sz w:val="15"/>
          <w:szCs w:val="15"/>
          <w:color w:val="auto"/>
        </w:rPr>
        <w:t>1.3</w:t>
      </w:r>
    </w:p>
    <w:p>
      <w:pPr>
        <w:spacing w:after="0" w:line="70" w:lineRule="exact"/>
        <w:rPr>
          <w:rFonts w:ascii="Arial" w:cs="Arial" w:eastAsia="Arial" w:hAnsi="Arial"/>
          <w:sz w:val="15"/>
          <w:szCs w:val="15"/>
          <w:color w:val="auto"/>
        </w:rPr>
      </w:pPr>
    </w:p>
    <w:p>
      <w:pPr>
        <w:ind w:left="585"/>
        <w:spacing w:after="0"/>
        <w:rPr>
          <w:rFonts w:ascii="Arial" w:cs="Arial" w:eastAsia="Arial" w:hAnsi="Arial"/>
          <w:sz w:val="15"/>
          <w:szCs w:val="15"/>
          <w:color w:val="auto"/>
        </w:rPr>
      </w:pPr>
      <w:r>
        <w:rPr>
          <w:rFonts w:ascii="Arial" w:cs="Arial" w:eastAsia="Arial" w:hAnsi="Arial"/>
          <w:sz w:val="15"/>
          <w:szCs w:val="15"/>
          <w:color w:val="auto"/>
        </w:rPr>
        <w:t>7.0</w:t>
      </w:r>
    </w:p>
    <w:p>
      <w:pPr>
        <w:spacing w:after="0" w:line="70" w:lineRule="exact"/>
        <w:rPr>
          <w:rFonts w:ascii="Arial" w:cs="Arial" w:eastAsia="Arial" w:hAnsi="Arial"/>
          <w:sz w:val="15"/>
          <w:szCs w:val="15"/>
          <w:color w:val="auto"/>
        </w:rPr>
      </w:pPr>
    </w:p>
    <w:p>
      <w:pPr>
        <w:ind w:left="585"/>
        <w:spacing w:after="0"/>
        <w:rPr>
          <w:rFonts w:ascii="Arial" w:cs="Arial" w:eastAsia="Arial" w:hAnsi="Arial"/>
          <w:sz w:val="15"/>
          <w:szCs w:val="15"/>
          <w:color w:val="auto"/>
        </w:rPr>
      </w:pPr>
      <w:r>
        <w:rPr>
          <w:rFonts w:ascii="Arial" w:cs="Arial" w:eastAsia="Arial" w:hAnsi="Arial"/>
          <w:sz w:val="15"/>
          <w:szCs w:val="15"/>
          <w:color w:val="auto"/>
        </w:rPr>
        <w:t>1.6</w:t>
      </w:r>
    </w:p>
    <w:p>
      <w:pPr>
        <w:spacing w:after="0" w:line="97" w:lineRule="exact"/>
        <w:rPr>
          <w:rFonts w:ascii="Arial" w:cs="Arial" w:eastAsia="Arial" w:hAnsi="Arial"/>
          <w:sz w:val="15"/>
          <w:szCs w:val="15"/>
          <w:color w:val="auto"/>
        </w:rPr>
      </w:pPr>
    </w:p>
    <w:p>
      <w:pPr>
        <w:ind w:left="485"/>
        <w:spacing w:after="0"/>
        <w:rPr>
          <w:rFonts w:ascii="Arial" w:cs="Arial" w:eastAsia="Arial" w:hAnsi="Arial"/>
          <w:sz w:val="15"/>
          <w:szCs w:val="15"/>
          <w:color w:val="auto"/>
        </w:rPr>
      </w:pPr>
      <w:r>
        <w:rPr>
          <w:rFonts w:ascii="Arial" w:cs="Arial" w:eastAsia="Arial" w:hAnsi="Arial"/>
          <w:sz w:val="16"/>
          <w:szCs w:val="16"/>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5746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82"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746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3" w:lineRule="exact"/>
        <w:rPr>
          <w:sz w:val="20"/>
          <w:szCs w:val="20"/>
          <w:color w:val="auto"/>
        </w:rPr>
      </w:pPr>
    </w:p>
    <w:p>
      <w:pPr>
        <w:ind w:left="485"/>
        <w:spacing w:after="0"/>
        <w:rPr>
          <w:sz w:val="20"/>
          <w:szCs w:val="20"/>
          <w:color w:val="auto"/>
        </w:rPr>
      </w:pPr>
      <w:r>
        <w:rPr>
          <w:rFonts w:ascii="Arial" w:cs="Arial" w:eastAsia="Arial" w:hAnsi="Arial"/>
          <w:sz w:val="16"/>
          <w:szCs w:val="16"/>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746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0" w:lineRule="exact"/>
        <w:rPr>
          <w:sz w:val="20"/>
          <w:szCs w:val="20"/>
          <w:color w:val="auto"/>
        </w:rPr>
      </w:pPr>
    </w:p>
    <w:p>
      <w:pPr>
        <w:spacing w:after="0" w:line="322"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746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3" w:lineRule="exact"/>
        <w:rPr>
          <w:sz w:val="20"/>
          <w:szCs w:val="20"/>
          <w:color w:val="auto"/>
        </w:rPr>
      </w:pPr>
    </w:p>
    <w:p>
      <w:pPr>
        <w:ind w:left="525"/>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746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43" w:lineRule="exact"/>
        <w:rPr>
          <w:sz w:val="20"/>
          <w:szCs w:val="20"/>
          <w:color w:val="auto"/>
        </w:rPr>
      </w:pPr>
    </w:p>
    <w:p>
      <w:pPr>
        <w:ind w:left="485" w:hanging="485"/>
        <w:spacing w:after="0"/>
        <w:tabs>
          <w:tab w:leader="none" w:pos="48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746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5746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ectPr>
          <w:pgSz w:w="11900" w:h="16838" w:orient="portrait"/>
          <w:cols w:equalWidth="0" w:num="3">
            <w:col w:w="7560" w:space="659"/>
            <w:col w:w="1576" w:space="720"/>
            <w:col w:w="805"/>
          </w:cols>
          <w:pgMar w:left="240" w:top="459" w:right="3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fees—Members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and events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operating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Meetings and events operating costs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Circuit share costs—Members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Network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and marketing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stock compensation</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Severance Plan costs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NATIONAL CINEMEDIA,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-661670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National</w:t>
            </w:r>
          </w:p>
        </w:tc>
      </w:tr>
      <w:tr>
        <w:trPr>
          <w:trHeight w:val="175"/>
        </w:trPr>
        <w:tc>
          <w:tcPr>
            <w:tcW w:w="100" w:type="dxa"/>
            <w:vAlign w:val="bottom"/>
          </w:tcPr>
          <w:p>
            <w:pPr>
              <w:spacing w:after="0"/>
              <w:rPr>
                <w:sz w:val="15"/>
                <w:szCs w:val="15"/>
                <w:color w:val="auto"/>
              </w:rPr>
            </w:pPr>
          </w:p>
        </w:tc>
        <w:tc>
          <w:tcPr>
            <w:tcW w:w="2360" w:type="dxa"/>
            <w:vAlign w:val="bottom"/>
            <w:gridSpan w:val="7"/>
          </w:tcPr>
          <w:p>
            <w:pPr>
              <w:jc w:val="center"/>
              <w:ind w:left="296"/>
              <w:spacing w:after="0"/>
              <w:rPr>
                <w:sz w:val="20"/>
                <w:szCs w:val="20"/>
                <w:color w:val="auto"/>
              </w:rPr>
            </w:pPr>
            <w:r>
              <w:rPr>
                <w:rFonts w:ascii="Arial" w:cs="Arial" w:eastAsia="Arial" w:hAnsi="Arial"/>
                <w:sz w:val="14"/>
                <w:szCs w:val="14"/>
                <w:b w:val="1"/>
                <w:bCs w:val="1"/>
                <w:color w:val="auto"/>
                <w:w w:val="86"/>
              </w:rPr>
              <w:t>Predecessor—Regal CineMedia</w:t>
            </w:r>
          </w:p>
        </w:tc>
        <w:tc>
          <w:tcPr>
            <w:tcW w:w="4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CineMedia</w:t>
            </w:r>
          </w:p>
        </w:tc>
      </w:tr>
      <w:tr>
        <w:trPr>
          <w:trHeight w:val="129"/>
        </w:trPr>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2"/>
              </w:rPr>
              <w:t>Year</w:t>
            </w: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3 Months</w:t>
            </w:r>
          </w:p>
        </w:tc>
        <w:tc>
          <w:tcPr>
            <w:tcW w:w="60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9 Months</w:t>
            </w:r>
          </w:p>
        </w:tc>
        <w:tc>
          <w:tcPr>
            <w:tcW w:w="6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January 1,</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30,</w:t>
            </w:r>
          </w:p>
        </w:tc>
        <w:tc>
          <w:tcPr>
            <w:tcW w:w="2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75"/>
        </w:trPr>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60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r>
      <w:tr>
        <w:trPr>
          <w:trHeight w:val="478"/>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65.2</w:t>
            </w:r>
          </w:p>
        </w:tc>
        <w:tc>
          <w:tcPr>
            <w:tcW w:w="4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600" w:type="dxa"/>
            <w:vAlign w:val="bottom"/>
            <w:tcBorders>
              <w:right w:val="single" w:sz="8" w:color="auto"/>
            </w:tcBorders>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r>
      <w:tr>
        <w:trPr>
          <w:trHeight w:val="243"/>
        </w:trPr>
        <w:tc>
          <w:tcPr>
            <w:tcW w:w="100" w:type="dxa"/>
            <w:vAlign w:val="bottom"/>
          </w:tcPr>
          <w:p>
            <w:pPr>
              <w:spacing w:after="0"/>
              <w:rPr>
                <w:sz w:val="21"/>
                <w:szCs w:val="21"/>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44"/>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2"/>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43"/>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00" w:type="dxa"/>
            <w:vAlign w:val="bottom"/>
          </w:tcPr>
          <w:p>
            <w:pPr>
              <w:spacing w:after="0"/>
              <w:rPr>
                <w:sz w:val="21"/>
                <w:szCs w:val="21"/>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44"/>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487"/>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Borders>
              <w:right w:val="single" w:sz="8" w:color="auto"/>
            </w:tcBorders>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880"/>
        <w:spacing w:after="0"/>
        <w:rPr>
          <w:sz w:val="20"/>
          <w:szCs w:val="20"/>
          <w:color w:val="auto"/>
        </w:rPr>
      </w:pPr>
      <w:r>
        <w:rPr>
          <w:rFonts w:ascii="Arial" w:cs="Arial" w:eastAsia="Arial" w:hAnsi="Arial"/>
          <w:sz w:val="15"/>
          <w:szCs w:val="15"/>
          <w:color w:val="auto"/>
        </w:rPr>
        <w:t>See accompanying notes to financial statements.</w:t>
      </w:r>
    </w:p>
    <w:p>
      <w:pPr>
        <w:spacing w:after="0" w:line="192" w:lineRule="exact"/>
        <w:rPr>
          <w:sz w:val="20"/>
          <w:szCs w:val="20"/>
          <w:color w:val="auto"/>
        </w:rPr>
      </w:pPr>
    </w:p>
    <w:p>
      <w:pPr>
        <w:jc w:val="center"/>
        <w:ind w:right="3880"/>
        <w:spacing w:after="0"/>
        <w:rPr>
          <w:sz w:val="20"/>
          <w:szCs w:val="20"/>
          <w:color w:val="auto"/>
        </w:rPr>
      </w:pPr>
      <w:r>
        <w:rPr>
          <w:rFonts w:ascii="Arial" w:cs="Arial" w:eastAsia="Arial" w:hAnsi="Arial"/>
          <w:sz w:val="18"/>
          <w:szCs w:val="18"/>
          <w:color w:val="auto"/>
        </w:rPr>
        <w:t>F-4</w:t>
      </w:r>
    </w:p>
    <w:p>
      <w:pPr>
        <w:sectPr>
          <w:pgSz w:w="11900" w:h="16838" w:orient="portrait"/>
          <w:cols w:equalWidth="0" w:num="2">
            <w:col w:w="3300" w:space="720"/>
            <w:col w:w="7280"/>
          </w:cols>
          <w:pgMar w:left="24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Stockholder’s Equity</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5"/>
              </w:rPr>
              <w:t>Common</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Predecessor—Regal CineMedia</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6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Capital</w:t>
            </w:r>
          </w:p>
        </w:tc>
        <w:tc>
          <w:tcPr>
            <w:tcW w:w="3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5"/>
        </w:trPr>
        <w:tc>
          <w:tcPr>
            <w:tcW w:w="6420" w:type="dxa"/>
            <w:vAlign w:val="bottom"/>
          </w:tcPr>
          <w:p>
            <w:pPr>
              <w:spacing w:after="0" w:line="195" w:lineRule="exact"/>
              <w:rPr>
                <w:sz w:val="20"/>
                <w:szCs w:val="20"/>
                <w:color w:val="auto"/>
              </w:rPr>
            </w:pPr>
            <w:r>
              <w:rPr>
                <w:rFonts w:ascii="Arial" w:cs="Arial" w:eastAsia="Arial" w:hAnsi="Arial"/>
                <w:sz w:val="18"/>
                <w:szCs w:val="18"/>
                <w:color w:val="auto"/>
              </w:rPr>
              <w:t>Balance—December 26, 2002</w:t>
            </w:r>
          </w:p>
        </w:tc>
        <w:tc>
          <w:tcPr>
            <w:tcW w:w="6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center"/>
              <w:ind w:left="115"/>
              <w:spacing w:after="0" w:line="195" w:lineRule="exact"/>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0"/>
              </w:rPr>
              <w:t>(16.5)</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5"/>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Balance—January 1, 2004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5"/>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Balance—December 30, 2004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22.5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2"/>
        </w:trPr>
        <w:tc>
          <w:tcPr>
            <w:tcW w:w="6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5"/>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Balance—March 31, 2005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22.5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18.7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Members’ Equity</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4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8"/>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National CineMedia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5"/>
          <w:szCs w:val="15"/>
          <w:color w:val="auto"/>
        </w:rPr>
        <w:t>Issuance of initial units at inception date in exchange for contributed assets, net of liabilities assumed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Issuance of additional units in exchange for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Contribution of Severance Plan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29, 2005</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0.9</w:t>
      </w:r>
    </w:p>
    <w:p>
      <w:pPr>
        <w:spacing w:after="0" w:line="7" w:lineRule="exact"/>
        <w:rPr>
          <w:rFonts w:ascii="Arial" w:cs="Arial" w:eastAsia="Arial" w:hAnsi="Arial"/>
          <w:sz w:val="18"/>
          <w:szCs w:val="18"/>
          <w:color w:val="auto"/>
        </w:rPr>
      </w:pPr>
    </w:p>
    <w:p>
      <w:pPr>
        <w:ind w:left="382"/>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9" w:lineRule="exact"/>
        <w:rPr>
          <w:rFonts w:ascii="Arial" w:cs="Arial" w:eastAsia="Arial" w:hAnsi="Arial"/>
          <w:sz w:val="18"/>
          <w:szCs w:val="18"/>
          <w:color w:val="auto"/>
        </w:rPr>
      </w:pPr>
    </w:p>
    <w:p>
      <w:pPr>
        <w:ind w:left="382"/>
        <w:spacing w:after="0"/>
        <w:rPr>
          <w:rFonts w:ascii="Arial" w:cs="Arial" w:eastAsia="Arial" w:hAnsi="Arial"/>
          <w:sz w:val="18"/>
          <w:szCs w:val="18"/>
          <w:color w:val="auto"/>
        </w:rPr>
      </w:pPr>
      <w:r>
        <w:rPr>
          <w:rFonts w:ascii="Arial" w:cs="Arial" w:eastAsia="Arial" w:hAnsi="Arial"/>
          <w:sz w:val="18"/>
          <w:szCs w:val="18"/>
          <w:color w:val="auto"/>
        </w:rPr>
        <w:t>8.5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771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0" w:lineRule="exact"/>
        <w:rPr>
          <w:sz w:val="20"/>
          <w:szCs w:val="20"/>
          <w:color w:val="auto"/>
        </w:rPr>
      </w:pPr>
    </w:p>
    <w:p>
      <w:pPr>
        <w:ind w:left="382" w:hanging="382"/>
        <w:spacing w:after="0"/>
        <w:tabs>
          <w:tab w:leader="none" w:pos="382"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771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38" w:space="720"/>
            <w:col w:w="66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National</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Predecessor—Regal CineMedia</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CineMedia</w:t>
            </w: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Year</w:t>
            </w: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2"/>
              </w:rPr>
              <w:t>Year</w:t>
            </w:r>
          </w:p>
        </w:tc>
        <w:tc>
          <w:tcPr>
            <w:tcW w:w="5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3 Months</w:t>
            </w:r>
          </w:p>
        </w:tc>
        <w:tc>
          <w:tcPr>
            <w:tcW w:w="14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7"/>
              </w:rPr>
              <w:t>9 Months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580" w:type="dxa"/>
            <w:vAlign w:val="bottom"/>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7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0" w:type="dxa"/>
            <w:vAlign w:val="bottom"/>
          </w:tcPr>
          <w:p>
            <w:pPr>
              <w:spacing w:after="0"/>
              <w:rPr>
                <w:sz w:val="1"/>
                <w:szCs w:val="1"/>
                <w:color w:val="auto"/>
              </w:rPr>
            </w:pPr>
          </w:p>
        </w:tc>
      </w:tr>
      <w:tr>
        <w:trPr>
          <w:trHeight w:val="174"/>
        </w:trPr>
        <w:tc>
          <w:tcPr>
            <w:tcW w:w="6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2004</w:t>
            </w: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Arial" w:cs="Arial" w:eastAsia="Arial" w:hAnsi="Arial"/>
                <w:sz w:val="18"/>
                <w:szCs w:val="18"/>
                <w:color w:val="auto"/>
              </w:rPr>
              <w:t>operating (used in)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Arial" w:cs="Arial" w:eastAsia="Arial" w:hAnsi="Arial"/>
                <w:sz w:val="18"/>
                <w:szCs w:val="18"/>
                <w:color w:val="auto"/>
              </w:rPr>
              <w:t>Deferred stock compensation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Arial" w:cs="Arial" w:eastAsia="Arial" w:hAnsi="Arial"/>
                <w:sz w:val="18"/>
                <w:szCs w:val="18"/>
                <w:color w:val="auto"/>
              </w:rPr>
              <w:t>Non-cash Severance Plan costs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32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2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880"/>
              <w:spacing w:after="0"/>
              <w:rPr>
                <w:sz w:val="20"/>
                <w:szCs w:val="20"/>
                <w:color w:val="auto"/>
              </w:rPr>
            </w:pPr>
            <w:r>
              <w:rPr>
                <w:rFonts w:ascii="Arial" w:cs="Arial" w:eastAsia="Arial" w:hAnsi="Arial"/>
                <w:sz w:val="18"/>
                <w:szCs w:val="18"/>
                <w:color w:val="auto"/>
              </w:rPr>
              <w:t>Decrease (increase) in receivables—net</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current assets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Increase in deposits and other assets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Increase (decrease) in accounts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Increase in amounts due to Members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Increase (decrease) in accrued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320" w:type="dxa"/>
            <w:vAlign w:val="bottom"/>
          </w:tcPr>
          <w:p>
            <w:pPr>
              <w:ind w:left="880"/>
              <w:spacing w:after="0"/>
              <w:rPr>
                <w:sz w:val="20"/>
                <w:szCs w:val="20"/>
                <w:color w:val="auto"/>
              </w:rPr>
            </w:pPr>
            <w:r>
              <w:rPr>
                <w:rFonts w:ascii="Arial" w:cs="Arial" w:eastAsia="Arial" w:hAnsi="Arial"/>
                <w:sz w:val="18"/>
                <w:szCs w:val="18"/>
                <w:color w:val="auto"/>
              </w:rPr>
              <w:t>Increase (decrease) in deferred revenue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6320" w:type="dxa"/>
            <w:vAlign w:val="bottom"/>
          </w:tcPr>
          <w:p>
            <w:pPr>
              <w:ind w:left="880"/>
              <w:spacing w:after="0"/>
              <w:rPr>
                <w:sz w:val="20"/>
                <w:szCs w:val="20"/>
                <w:color w:val="auto"/>
              </w:rPr>
            </w:pPr>
            <w:r>
              <w:rPr>
                <w:rFonts w:ascii="Arial" w:cs="Arial" w:eastAsia="Arial" w:hAnsi="Arial"/>
                <w:sz w:val="18"/>
                <w:szCs w:val="18"/>
                <w:color w:val="auto"/>
              </w:rPr>
              <w:t>Increase (decrease) in other liabilities</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20"/>
              <w:spacing w:after="0"/>
              <w:rPr>
                <w:sz w:val="20"/>
                <w:szCs w:val="20"/>
                <w:color w:val="auto"/>
              </w:rPr>
            </w:pPr>
            <w:r>
              <w:rPr>
                <w:rFonts w:ascii="Arial" w:cs="Arial" w:eastAsia="Arial" w:hAnsi="Arial"/>
                <w:sz w:val="18"/>
                <w:szCs w:val="18"/>
                <w:color w:val="auto"/>
              </w:rPr>
              <w:t>Increase in due from Parent</w:t>
            </w: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Proceeds of short-term borrowings from Members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Repayments of short-term borrowings to Members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Proceeds from Member contribution at inception</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6320" w:type="dxa"/>
            <w:vAlign w:val="bottom"/>
          </w:tcPr>
          <w:p>
            <w:pPr>
              <w:ind w:left="220"/>
              <w:spacing w:after="0"/>
              <w:rPr>
                <w:sz w:val="20"/>
                <w:szCs w:val="20"/>
                <w:color w:val="auto"/>
              </w:rPr>
            </w:pPr>
            <w:r>
              <w:rPr>
                <w:rFonts w:ascii="Arial" w:cs="Arial" w:eastAsia="Arial" w:hAnsi="Arial"/>
                <w:sz w:val="18"/>
                <w:szCs w:val="18"/>
                <w:color w:val="auto"/>
              </w:rPr>
              <w:t>Proceeds from issuance of units</w:t>
            </w:r>
          </w:p>
        </w:tc>
        <w:tc>
          <w:tcPr>
            <w:tcW w:w="10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20"/>
              <w:spacing w:after="0"/>
              <w:rPr>
                <w:sz w:val="20"/>
                <w:szCs w:val="20"/>
                <w:color w:val="auto"/>
              </w:rPr>
            </w:pPr>
            <w:r>
              <w:rPr>
                <w:rFonts w:ascii="Arial" w:cs="Arial" w:eastAsia="Arial" w:hAnsi="Arial"/>
                <w:sz w:val="18"/>
                <w:szCs w:val="18"/>
                <w:color w:val="auto"/>
              </w:rPr>
              <w:t>End of period</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220"/>
              <w:spacing w:after="0"/>
              <w:rPr>
                <w:sz w:val="20"/>
                <w:szCs w:val="20"/>
                <w:color w:val="auto"/>
              </w:rPr>
            </w:pPr>
            <w:r>
              <w:rPr>
                <w:rFonts w:ascii="Arial" w:cs="Arial" w:eastAsia="Arial" w:hAnsi="Arial"/>
                <w:sz w:val="18"/>
                <w:szCs w:val="18"/>
                <w:color w:val="auto"/>
              </w:rPr>
              <w:t>Supplemental disclosure of non-cash financing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320" w:type="dxa"/>
            <w:vAlign w:val="bottom"/>
          </w:tcPr>
          <w:p>
            <w:pPr>
              <w:ind w:left="440"/>
              <w:spacing w:after="0"/>
              <w:rPr>
                <w:sz w:val="20"/>
                <w:szCs w:val="20"/>
                <w:color w:val="auto"/>
              </w:rPr>
            </w:pPr>
            <w:r>
              <w:rPr>
                <w:rFonts w:ascii="Arial" w:cs="Arial" w:eastAsia="Arial" w:hAnsi="Arial"/>
                <w:sz w:val="18"/>
                <w:szCs w:val="18"/>
                <w:color w:val="auto"/>
              </w:rPr>
              <w:t>Contribution of Severance Plan payments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00"/>
          </w:cols>
          <w:pgMar w:left="24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National CineMedia, LLC (“NCM”) provides advertising, business meetings, and event services to its Members under Exhibitor Services Agreements that extend through April 1, 2010. NCM also provides such services to certain third-party theatre circuits under “Network Affiliate Agreements” expiring at various dates through September 2009. NCM operates on a fiscal year ending on the first Thursday after December 25, which in certain years results in a 53-week year. The business meetings and event services operations are operating segments but do not meet the quantitative thresholds for segment reporting.</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NCM was formed on March 29, 2005 through the combination of the operations of National Cinema Network, Inc. (“NCN”), a wholly owned subsidiary of AMC Entertainment, Inc. (“AMCE”), and Regal CineMedia Corporation (“RCM”), a wholly owned subsidiary of Regal Entertainment Group (“Regal”, or, in relation to RCM, the “Parent”). In accordance with the Contribution and Unit Holders Agreement entered into on that date by NCM, NCN, and RCM, 370 units were issued to NCN and 630 units were issued to Regal CineMedia Holdings, LLC (“RCM Holdings”) in exchange for the contribution of $0.9 million of cash and other assets, net of liabilities assumed. All assets contributed to and liabilities assumed by NCM were recorded on NCM’s records in the amounts as reflected on the Members’ historic accounting records. The following table summarizes the assets contributed to and liabilities assumed by NCM: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Cash</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$ 0.2</w:t>
            </w:r>
          </w:p>
        </w:tc>
        <w:tc>
          <w:tcPr>
            <w:tcW w:w="60" w:type="dxa"/>
            <w:vAlign w:val="bottom"/>
          </w:tcPr>
          <w:p>
            <w:pPr>
              <w:spacing w:after="0"/>
              <w:rPr>
                <w:sz w:val="18"/>
                <w:szCs w:val="18"/>
                <w:color w:val="auto"/>
              </w:rPr>
            </w:pP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Network affiliate agreements</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10980" w:type="dxa"/>
            <w:vAlign w:val="bottom"/>
          </w:tcPr>
          <w:p>
            <w:pPr>
              <w:spacing w:after="0"/>
              <w:rPr>
                <w:sz w:val="20"/>
                <w:szCs w:val="20"/>
                <w:color w:val="auto"/>
              </w:rPr>
            </w:pPr>
            <w:r>
              <w:rPr>
                <w:rFonts w:ascii="Arial" w:cs="Arial" w:eastAsia="Arial" w:hAnsi="Arial"/>
                <w:sz w:val="18"/>
                <w:szCs w:val="18"/>
                <w:color w:val="auto"/>
              </w:rPr>
              <w:t>Compensation-related obligation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0980" w:type="dxa"/>
            <w:vAlign w:val="bottom"/>
          </w:tcPr>
          <w:p>
            <w:pPr>
              <w:spacing w:after="0"/>
              <w:rPr>
                <w:sz w:val="20"/>
                <w:szCs w:val="20"/>
                <w:color w:val="auto"/>
              </w:rPr>
            </w:pPr>
            <w:r>
              <w:rPr>
                <w:rFonts w:ascii="Arial" w:cs="Arial" w:eastAsia="Arial" w:hAnsi="Arial"/>
                <w:sz w:val="18"/>
                <w:szCs w:val="18"/>
                <w:color w:val="auto"/>
              </w:rPr>
              <w:t>Accrued expenses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24"/>
        </w:trPr>
        <w:tc>
          <w:tcPr>
            <w:tcW w:w="109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$ 0.9</w:t>
            </w:r>
          </w:p>
        </w:tc>
        <w:tc>
          <w:tcPr>
            <w:tcW w:w="60" w:type="dxa"/>
            <w:vAlign w:val="bottom"/>
          </w:tcPr>
          <w:p>
            <w:pPr>
              <w:spacing w:after="0"/>
              <w:rPr>
                <w:sz w:val="19"/>
                <w:szCs w:val="19"/>
                <w:color w:val="auto"/>
              </w:rPr>
            </w:pPr>
          </w:p>
        </w:tc>
      </w:tr>
      <w:tr>
        <w:trPr>
          <w:trHeight w:val="20"/>
        </w:trPr>
        <w:tc>
          <w:tcPr>
            <w:tcW w:w="10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Because RCM Holdings was the majority owner of NCM at inception, RCM is the predecessor of NCM and NCN is deemed to be an acquired company under the Securities and Exchange Commission’s (“SEC”) rules and regulations. RCM’s historic financial statements presented herein exclude its business activities not assumed by NCM. As used hereafter, “the Company” refers to NCM and its predecessor when distinction between the two legal entities is not relevant to the context.</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15, 2005, in exchange for a cash contribution of $7.3 million, 261 NCM units were issued to Cinemark Media, Inc. (“Cinemark Media”), a wholly owned subsidiary of Cinemark USA, Inc. (“Cinemark”).</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the result of final adjustments to the valuations attributed to the contributed assets and liabilities resulting from AMC’s merger on December 23, 2004 with Marquee Holdings Inc., NCN contributed additional cash during 2006, which was then distributed to RCM Holdings and Cinemark Media, thus having no impact on the assets and liabilities of NCM.</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NCN, RCM Holdings, and Cinemark Media have signed an Amended and Restated Limited Liability Company Operating Agreement (“LLCOA”), in order to set forth their respective rights and obligations in connection with their ownership of NCM. Among other provisions, each of the three Members is allowed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designate three board members, with NCM’s Chief Executive Officer being the tenth board member. Matters that require the approval of NCM’s board of directors require the approval of nine board members.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percentage of the total Advertising Circuit Share (as defined below) paid in the previous twelve months which was paid to that Member.</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NCM, RCM, Cinemark, and American Multi-Cinema, Inc. (“AMC”), a wholly owned subsidiary of AMCE, entered into an Amended and Restated Software License Agreement in connection with the licensing of software and related rights ancillary to the use of such software by NCM for the conduct of its business. Improvements made to this software subsequent to March 31, 2005 are owned by the Company. None of RCM, Cinemark, or AMC can use its software to provide the services performed by NCM pursuant to the Exhibitor Services Agreements (as described herein).</w:t>
      </w:r>
    </w:p>
    <w:p>
      <w:pPr>
        <w:spacing w:after="0" w:line="11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a Transition Services Agreement was entered into by NCM, AMC, NCN, Regal, and RCM pursuant to which the parties agreed to reimburse each other for services provided on the behalf of others during a transition period from April 1, 2005 through December 31, 2005.</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NCM has entered into an Exhibitor Services Agreement (“ESA”) with Regal Cinemas, Inc. (“RCI”), a wholly owned subsidiary of Regal, with AMC, and with Cinemark. Under these agreements, subject to limited exceptions, NCM is the exclusive provider of advertising and event services to the Members’ theatres. In the case of Cinemark, the ESA is also subject to the advertising services agreements between Cinemark on the one hand and Technicolor Screen Services, Inc. and Val Morgan Advertising, Inc. on the other hand. Both of these agreements (the “Screenvision Agreements”) expired December 31, 2005, with certain “advertising runout” rights that extended through March 31, 2006. In exchange for the right to provide these services to the Members, NCM is required to pay to the Members a specified percentage of NCM’s advertising revenue (“Advertising Circuit Share”), and an agreed-upon auditorium rent (“Auditorium Rent”) in relation to the meetings and events held in Member theatres, in aggregate known as “Circuit Share Expense.” During 2005, the “Advertising Circuit Share Percentage” was 65%. The Advertising Circuit Share is allocated among the Members based on a formula that takes into account the number of patrons served and screens operated by each Member during the previous quarter. In accordance with the LLCOA, the Advertising Circuit Share Percentage may be changed at the end of each year by a unanimous vote of the Members. At the end of 2005, the Members approved an increase to 68%.</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Pursuant to the ESAs, AMC and Regal, through their subsidiaries, retained all advertising contracts sold by NCN’s or RCM’s sales teams prior to April 1, 2005 (“AMC Legacy Contracts” and “Regal Legacy Contracts,” respectively), and agreed to pay an administrative fee equal to 35% of revenue from these contracts payable to NCM to service these contracts through their expiration. Cinemark retained all advertising contracts signed pursuant to the Screenvision Agreements (“Cinemark Legacy Contracts,” and together with AMC Legacy Contracts and Regal Legacy Contracts, the “Legacy Contracts”), subject to a 35% administrative fee payable to NCM for all revenue generated by the Screenvision Agreements subsequent to December 31, 2005. Total advertising revenue managed by NCM associated with the Legacy Contracts was $88.0 million for the period ended December 29, 2005. Administrative fee revenue will decline over time as the Legacy Contracts expire.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RCM provided advertising, business meetings, and event services to Regal. RCM also provided advertising services to one theatre circuit under a “Network Affiliate Agreement” expiring in September 2009.</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RCM was formed in February, 2002 and became a wholly-owned subsidiary of Regal on April 12, 2002. As a subsidiary of Regal, certain services (such as information technology and human resources support and payroll processing) were provided to RCM at no cost, and RCM incurred certain network support and maintenance costs on behalf of Regal which are unrelated to RCM’s businesses. Additionally, RCM managed certain businesses other than as described above on behalf of Regal. In order to present RCM’s financial statements on a comparable basis with that of NCM, the operating results of those businesses which were not contributed to NCM are not included in the financial statements of RCM, and certain assets which were not contributed to NCM have also been excluded from these financial statements. In order to present RCM on a “stand-alone” basis, allocated costs of those services provided at no charge by Regal have been estimated based on similar costs incurred subsequent to formation and included in these financial statements, and costs of services provided to Regal by RCM which were unrelated to the businesses operated by RCM have been excluded from these financial statements. Management believes the estimates and adjustments are reasonable.</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a result of the various related party agreements discussed in Note 5, the operating results as presented are not necessarily indicative of the results that would have occurred if all agreements were with non-related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Deferred revenue refers to the unearned portion of advertising contracts. All deferred revenue is classified as a current liability. Meetings and events revenue is recognized in the period in which the event was held. Administrative fees are recognized in the period in which the related Legacy Contracts are fulfilled.</w:t>
      </w:r>
    </w:p>
    <w:p>
      <w:pPr>
        <w:spacing w:after="0" w:line="13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Operating Costs</w:t>
      </w:r>
      <w:r>
        <w:rPr>
          <w:rFonts w:ascii="Arial" w:cs="Arial" w:eastAsia="Arial" w:hAnsi="Arial"/>
          <w:sz w:val="18"/>
          <w:szCs w:val="18"/>
          <w:b w:val="1"/>
          <w:bCs w:val="1"/>
          <w:color w:val="auto"/>
        </w:rPr>
        <w:t>—</w:t>
      </w:r>
      <w:r>
        <w:rPr>
          <w:rFonts w:ascii="Arial" w:cs="Arial" w:eastAsia="Arial" w:hAnsi="Arial"/>
          <w:sz w:val="18"/>
          <w:szCs w:val="18"/>
          <w:color w:val="auto"/>
        </w:rPr>
        <w:t>Advertising-related operating costs include production costs of non-digital advertising, payments due to unaffiliated theatres circuits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“Network Affiliate Agreements,” and personnel and other costs related to advertising fulfillment. These costs relate to the advertising revenue recorded by the Company as well as NCM’s administrative revenue associated with the Legacy Contracts.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theatre circuits, and other direct costs of the meeting or event.</w:t>
      </w:r>
    </w:p>
    <w:p>
      <w:pPr>
        <w:spacing w:after="0" w:line="132"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5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Cash and Equivalents</w:t>
      </w:r>
      <w:r>
        <w:rPr>
          <w:rFonts w:ascii="Arial" w:cs="Arial" w:eastAsia="Arial" w:hAnsi="Arial"/>
          <w:sz w:val="18"/>
          <w:szCs w:val="18"/>
          <w:b w:val="1"/>
          <w:bCs w:val="1"/>
          <w:color w:val="auto"/>
        </w:rPr>
        <w:t>—</w:t>
      </w:r>
      <w:r>
        <w:rPr>
          <w:rFonts w:ascii="Arial" w:cs="Arial" w:eastAsia="Arial" w:hAnsi="Arial"/>
          <w:sz w:val="18"/>
          <w:szCs w:val="18"/>
          <w:color w:val="auto"/>
        </w:rPr>
        <w:t>All highly liquid debt instruments and investments purchased with a remaining maturity of three months or less are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Periodically these are cash balances in a bank in excess of the federally insured limits or in the form of a money market demand account with a major financial institution.</w:t>
      </w:r>
    </w:p>
    <w:p>
      <w:pPr>
        <w:spacing w:after="0" w:line="138"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 cash overdraft of $0.2 million is included in accounts payable and reflects the balances held in bank accounts, net of $0.9 million of outstanding checks, as of December 29,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Receivables</w:t>
      </w:r>
      <w:r>
        <w:rPr>
          <w:rFonts w:ascii="Arial" w:cs="Arial" w:eastAsia="Arial" w:hAnsi="Arial"/>
          <w:sz w:val="18"/>
          <w:szCs w:val="18"/>
          <w:b w:val="1"/>
          <w:bCs w:val="1"/>
          <w:color w:val="auto"/>
        </w:rPr>
        <w:t>—</w:t>
      </w:r>
      <w:r>
        <w:rPr>
          <w:rFonts w:ascii="Arial" w:cs="Arial" w:eastAsia="Arial" w:hAnsi="Arial"/>
          <w:sz w:val="18"/>
          <w:szCs w:val="18"/>
          <w:color w:val="auto"/>
        </w:rPr>
        <w:t>Bad debts are provided for using the allowance for doubtful accounts method based on historical experience and management’s evaluation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at the end of the year. Trade accounts receivable are uncollateralized and represent a large number of geographically dispersed debtors, none of which are individually material.</w:t>
      </w:r>
    </w:p>
    <w:p>
      <w:pPr>
        <w:spacing w:after="0" w:line="13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i w:val="1"/>
          <w:iCs w:val="1"/>
          <w:color w:val="auto"/>
        </w:rPr>
        <w:t>Property and Equipment</w:t>
      </w:r>
      <w:r>
        <w:rPr>
          <w:rFonts w:ascii="Arial" w:cs="Arial" w:eastAsia="Arial" w:hAnsi="Arial"/>
          <w:sz w:val="16"/>
          <w:szCs w:val="16"/>
          <w:b w:val="1"/>
          <w:bCs w:val="1"/>
          <w:color w:val="auto"/>
        </w:rPr>
        <w:t>—</w:t>
      </w:r>
      <w:r>
        <w:rPr>
          <w:rFonts w:ascii="Arial" w:cs="Arial" w:eastAsia="Arial" w:hAnsi="Arial"/>
          <w:sz w:val="16"/>
          <w:szCs w:val="16"/>
          <w:color w:val="auto"/>
        </w:rPr>
        <w:t>Property and equipment is stated at cost. Major renewals and improvements are capitalized, while replacements, maintenance,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repairs that do not improve or extend the lives of the respective assets are expensed currently. In general, the equipment associated with the digital network that is located within the theatre is owned by the Parent or the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20"/>
          </w:cols>
          <w:pgMar w:left="240" w:top="460" w:right="23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340" w:space="720"/>
            <w:col w:w="5360"/>
          </w:cols>
          <w:pgMar w:left="240" w:top="460" w:right="239" w:bottom="1440" w:gutter="0" w:footer="0" w:header="0"/>
          <w:type w:val="continuous"/>
        </w:sect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Due from Parent—</w:t>
      </w:r>
      <w:r>
        <w:rPr>
          <w:rFonts w:ascii="Arial" w:cs="Arial" w:eastAsia="Arial" w:hAnsi="Arial"/>
          <w:sz w:val="16"/>
          <w:szCs w:val="16"/>
          <w:color w:val="auto"/>
        </w:rPr>
        <w:t>Amounts Due from Parent result primarily from the remittance of excess cash balances by RCM to the Parent. These amounts are non-interest-bearing, and are recorded as non-current assets as there is no intent that these will be repaid in the next twelve months.</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Network Affiliate Agreements—</w:t>
      </w:r>
      <w:r>
        <w:rPr>
          <w:rFonts w:ascii="Arial" w:cs="Arial" w:eastAsia="Arial" w:hAnsi="Arial"/>
          <w:sz w:val="16"/>
          <w:szCs w:val="16"/>
          <w:color w:val="auto"/>
        </w:rPr>
        <w:t>Network affiliate agreements were contributed at NCM’s formation at the net book value of the Members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amortized on a straight-line basis over the remaining life of the agreement. These agreements require payment to the affiliate of 35% to 55% of the advertising revenue associated with the advertisements played in affiliate theatres, and also specify minimum payments that must be made. Amortization expense related to the network affiliate agreements for the period ended December 29, 2005 was $1.2 million.</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As a limited liability company, NCM LLC’s taxable income or loss is allocated to Members in accordance with the provisions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Limited Liability Company Operating Agreement. Therefore, no provision or liability for income taxes has been included in the financial statements.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Income taxes were accounted for by RCM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In addition, income tax rules and regulations are subject to interpretation and require judgment and may be challenged by the taxation authorities. RCM established accruals relative to tax uncertainties that management deems to be probable of loss and that can be reasonably estimated.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if it is deemed more likely than not that its deferred income tax assets will not be realized. RCM reassesses its need for the valuation allowance for its deferred income taxes on an ongoing basis.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In December 2002, the FASB issued SFAS No. 148,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Stock-Based Compensation—Transition and Disclosure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148 amends SFAS No. 123, </w:t>
      </w:r>
      <w:r>
        <w:rPr>
          <w:rFonts w:ascii="Arial" w:cs="Arial" w:eastAsia="Arial" w:hAnsi="Arial"/>
          <w:sz w:val="18"/>
          <w:szCs w:val="18"/>
          <w:i w:val="1"/>
          <w:iCs w:val="1"/>
          <w:color w:val="auto"/>
        </w:rPr>
        <w:t>Accounting for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Based Compensation</w:t>
      </w:r>
      <w:r>
        <w:rPr>
          <w:rFonts w:ascii="Arial" w:cs="Arial" w:eastAsia="Arial" w:hAnsi="Arial"/>
          <w:sz w:val="16"/>
          <w:szCs w:val="16"/>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to require disclosure in the summary of significant accounting policies of the effects of an entity’s accounting policy with respect to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and provide pro forma net income or loss and earnings or loss per share disclosures as if the fair-value-based method defined in SFAS No. 123 had been applied.</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Certain employees of the Company participated in the 2002 Regal Entertainment Group Stock Incentive Plan. As permitted by SFAS No. 123, RCM accounted for the cost of these stock option grants (the “Incentive Plan”) using the intrinsic value method in accordance with the provisions of APB No. 25, which requires compensation costs to be recognized for the excess of the fair value of options on the date of grant over the option exercise price. Had the fair value of options granted under the Stock Incentive Plan described in Note 6— “Capital Stock and Stock Option Plan” been recognized in accordance with SFAS No. 123, as compensation expense on a straight-line basis over the vesting period of the grants, the RCM’s reported net income would have been recorded in the amounts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Fiscal</w:t>
            </w:r>
          </w:p>
        </w:tc>
        <w:tc>
          <w:tcPr>
            <w:tcW w:w="3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Fiscal</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13-Weeks Ended</w:t>
            </w:r>
          </w:p>
        </w:tc>
        <w:tc>
          <w:tcPr>
            <w:tcW w:w="0" w:type="dxa"/>
            <w:vAlign w:val="bottom"/>
          </w:tcPr>
          <w:p>
            <w:pPr>
              <w:spacing w:after="0"/>
              <w:rPr>
                <w:sz w:val="1"/>
                <w:szCs w:val="1"/>
                <w:color w:val="auto"/>
              </w:rPr>
            </w:pPr>
          </w:p>
        </w:tc>
      </w:tr>
      <w:tr>
        <w:trPr>
          <w:trHeight w:val="174"/>
        </w:trPr>
        <w:tc>
          <w:tcPr>
            <w:tcW w:w="82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March 31, 2005</w:t>
            </w:r>
          </w:p>
        </w:tc>
        <w:tc>
          <w:tcPr>
            <w:tcW w:w="0" w:type="dxa"/>
            <w:vAlign w:val="bottom"/>
          </w:tcPr>
          <w:p>
            <w:pPr>
              <w:spacing w:after="0"/>
              <w:rPr>
                <w:sz w:val="1"/>
                <w:szCs w:val="1"/>
                <w:color w:val="auto"/>
              </w:rPr>
            </w:pP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rPr>
              <w:t>Net income—as reported</w:t>
            </w: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$12.9</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$20.6</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Add stock-based compensation recognized, net of related tax effects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w w:val="96"/>
              </w:rPr>
              <w:t>Less stock-based employee compensation expense determined under fair value based method for all</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660"/>
              <w:spacing w:after="0"/>
              <w:rPr>
                <w:sz w:val="20"/>
                <w:szCs w:val="20"/>
                <w:color w:val="auto"/>
              </w:rPr>
            </w:pPr>
            <w:r>
              <w:rPr>
                <w:rFonts w:ascii="Arial" w:cs="Arial" w:eastAsia="Arial" w:hAnsi="Arial"/>
                <w:sz w:val="18"/>
                <w:szCs w:val="18"/>
                <w:color w:val="auto"/>
              </w:rPr>
              <w:t>awards, net of related tax effects</w:t>
            </w:r>
          </w:p>
        </w:tc>
        <w:tc>
          <w:tcPr>
            <w:tcW w:w="20" w:type="dxa"/>
            <w:vAlign w:val="bottom"/>
          </w:tcPr>
          <w:p>
            <w:pPr>
              <w:spacing w:after="0"/>
              <w:rPr>
                <w:sz w:val="19"/>
                <w:szCs w:val="19"/>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Pro forma net income</w:t>
            </w:r>
          </w:p>
        </w:tc>
        <w:tc>
          <w:tcPr>
            <w:tcW w:w="2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11.8</w:t>
            </w:r>
          </w:p>
        </w:tc>
        <w:tc>
          <w:tcPr>
            <w:tcW w:w="36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pro forma results do not purport to indicate the effects on reported net income for recognizing compensation expense that is expected to occur in future years. The fair value of each option grant is estimated on the date of grant using (1) the minimum value method for options granted prior to the exchange transaction and (2) the Black-Scholes option pricing model for the exchanged options and all options issued after the exchange transaction.</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weighted-average grant-date fair value of options granted in fiscal 2003, fiscal 2004 and the thirteen weeks ended March 31, 2005, were estimated using the Black-Scholes option 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Fiscal</w:t>
            </w:r>
          </w:p>
        </w:tc>
      </w:tr>
      <w:tr>
        <w:trPr>
          <w:trHeight w:val="174"/>
        </w:trPr>
        <w:tc>
          <w:tcPr>
            <w:tcW w:w="41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Risk-free interest rate</w:t>
            </w:r>
          </w:p>
        </w:tc>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w w:val="99"/>
              </w:rPr>
              <w:t>3.0-3.9%</w:t>
            </w:r>
          </w:p>
        </w:tc>
        <w:tc>
          <w:tcPr>
            <w:tcW w:w="400" w:type="dxa"/>
            <w:vAlign w:val="bottom"/>
          </w:tcPr>
          <w:p>
            <w:pPr>
              <w:spacing w:after="0"/>
              <w:rPr>
                <w:sz w:val="17"/>
                <w:szCs w:val="17"/>
                <w:color w:val="auto"/>
              </w:rPr>
            </w:pPr>
          </w:p>
        </w:tc>
        <w:tc>
          <w:tcPr>
            <w:tcW w:w="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life (years)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7.5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38%–39%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5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6.36</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$5.01</w:t>
            </w:r>
          </w:p>
        </w:tc>
      </w:tr>
      <w:tr>
        <w:trPr>
          <w:trHeight w:val="365"/>
        </w:trPr>
        <w:tc>
          <w:tcPr>
            <w:tcW w:w="4140" w:type="dxa"/>
            <w:vAlign w:val="bottom"/>
          </w:tcPr>
          <w:p>
            <w:pPr>
              <w:spacing w:after="0"/>
              <w:rPr>
                <w:sz w:val="24"/>
                <w:szCs w:val="24"/>
                <w:color w:val="auto"/>
              </w:rPr>
            </w:pPr>
          </w:p>
        </w:tc>
        <w:tc>
          <w:tcPr>
            <w:tcW w:w="5180" w:type="dxa"/>
            <w:vAlign w:val="bottom"/>
            <w:gridSpan w:val="2"/>
          </w:tcPr>
          <w:p>
            <w:pPr>
              <w:jc w:val="right"/>
              <w:ind w:right="3440"/>
              <w:spacing w:after="0"/>
              <w:rPr>
                <w:sz w:val="20"/>
                <w:szCs w:val="20"/>
                <w:color w:val="auto"/>
              </w:rPr>
            </w:pPr>
            <w:r>
              <w:rPr>
                <w:rFonts w:ascii="Arial" w:cs="Arial" w:eastAsia="Arial" w:hAnsi="Arial"/>
                <w:sz w:val="18"/>
                <w:szCs w:val="18"/>
                <w:color w:val="auto"/>
              </w:rPr>
              <w:t>F-11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stock options were granted during the thirteen weeks ended March 31, 2005 or the nine months ended December 29, 2005.</w:t>
      </w:r>
    </w:p>
    <w:p>
      <w:pPr>
        <w:spacing w:after="0" w:line="17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Actual results could differ from those estimates.</w:t>
      </w:r>
    </w:p>
    <w:p>
      <w:pPr>
        <w:sectPr>
          <w:pgSz w:w="11900" w:h="16838" w:orient="portrait"/>
          <w:cols w:equalWidth="0" w:num="1">
            <w:col w:w="11420"/>
          </w:cols>
          <w:pgMar w:left="240" w:top="459"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Receivables consisted of the following at December 30, 2004 and December 29, 2005:</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Trade accounts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Less 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Predecessor</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Successor</w:t>
            </w:r>
          </w:p>
        </w:tc>
      </w:tr>
      <w:tr>
        <w:trPr>
          <w:trHeight w:val="149"/>
        </w:trPr>
        <w:tc>
          <w:tcPr>
            <w:tcW w:w="15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4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29,</w:t>
            </w:r>
          </w:p>
        </w:tc>
      </w:tr>
      <w:tr>
        <w:trPr>
          <w:trHeight w:val="175"/>
        </w:trPr>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7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23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w:t>
            </w:r>
          </w:p>
        </w:tc>
        <w:tc>
          <w:tcPr>
            <w:tcW w:w="7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43"/>
        </w:trPr>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44"/>
        </w:trPr>
        <w:tc>
          <w:tcPr>
            <w:tcW w:w="180" w:type="dxa"/>
            <w:vAlign w:val="bottom"/>
          </w:tcPr>
          <w:p>
            <w:pPr>
              <w:spacing w:after="0"/>
              <w:rPr>
                <w:sz w:val="21"/>
                <w:szCs w:val="21"/>
                <w:color w:val="auto"/>
              </w:rPr>
            </w:pPr>
          </w:p>
        </w:tc>
        <w:tc>
          <w:tcPr>
            <w:tcW w:w="13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w:t>
            </w:r>
          </w:p>
        </w:tc>
        <w:tc>
          <w:tcPr>
            <w:tcW w:w="70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31" w:lineRule="exact"/>
        <w:rPr>
          <w:sz w:val="20"/>
          <w:szCs w:val="20"/>
          <w:color w:val="auto"/>
        </w:rPr>
      </w:pPr>
    </w:p>
    <w:p>
      <w:pPr>
        <w:sectPr>
          <w:pgSz w:w="11900" w:h="16838" w:orient="portrait"/>
          <w:cols w:equalWidth="0" w:num="2">
            <w:col w:w="7740" w:space="720"/>
            <w:col w:w="2960"/>
          </w:cols>
          <w:pgMar w:left="240" w:top="459" w:right="239" w:bottom="1440" w:gutter="0" w:footer="0" w:header="0"/>
          <w:type w:val="continuous"/>
        </w:sectPr>
      </w:pPr>
    </w:p>
    <w:p>
      <w:pPr>
        <w:ind w:right="140" w:firstLine="456"/>
        <w:spacing w:after="0" w:line="268" w:lineRule="auto"/>
        <w:rPr>
          <w:sz w:val="20"/>
          <w:szCs w:val="20"/>
          <w:color w:val="auto"/>
        </w:rPr>
      </w:pPr>
      <w:r>
        <w:rPr>
          <w:rFonts w:ascii="Arial" w:cs="Arial" w:eastAsia="Arial" w:hAnsi="Arial"/>
          <w:sz w:val="18"/>
          <w:szCs w:val="18"/>
          <w:color w:val="auto"/>
        </w:rPr>
        <w:t>RCM’s taxable income and expenses are included in the consolidated Federal and state (other than in those states requiring unitary tax returns) tax returns of Regal and amounts payable related to income tax expense are settled as part of the net Amounts Due from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5"/>
              </w:rPr>
              <w:t>Fiscal</w:t>
            </w:r>
          </w:p>
        </w:tc>
        <w:tc>
          <w:tcPr>
            <w:tcW w:w="6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13-Weeks Ended</w:t>
            </w:r>
          </w:p>
        </w:tc>
      </w:tr>
      <w:tr>
        <w:trPr>
          <w:trHeight w:val="174"/>
        </w:trPr>
        <w:tc>
          <w:tcPr>
            <w:tcW w:w="3720" w:type="dxa"/>
            <w:vAlign w:val="bottom"/>
          </w:tcPr>
          <w:p>
            <w:pPr>
              <w:spacing w:after="0"/>
              <w:rPr>
                <w:sz w:val="15"/>
                <w:szCs w:val="15"/>
                <w:color w:val="auto"/>
              </w:rPr>
            </w:pPr>
          </w:p>
        </w:tc>
        <w:tc>
          <w:tcPr>
            <w:tcW w:w="5020" w:type="dxa"/>
            <w:vAlign w:val="bottom"/>
            <w:gridSpan w:val="2"/>
          </w:tcPr>
          <w:p>
            <w:pPr>
              <w:jc w:val="center"/>
              <w:ind w:left="4557"/>
              <w:spacing w:after="0"/>
              <w:rPr>
                <w:sz w:val="20"/>
                <w:szCs w:val="20"/>
                <w:color w:val="auto"/>
              </w:rPr>
            </w:pPr>
            <w:r>
              <w:rPr>
                <w:rFonts w:ascii="Arial" w:cs="Arial" w:eastAsia="Arial" w:hAnsi="Arial"/>
                <w:sz w:val="14"/>
                <w:szCs w:val="14"/>
                <w:b w:val="1"/>
                <w:bCs w:val="1"/>
                <w:color w:val="auto"/>
                <w:w w:val="83"/>
              </w:rPr>
              <w:t>2003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March 31, 2005</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Federal:</w:t>
            </w:r>
          </w:p>
        </w:tc>
        <w:tc>
          <w:tcPr>
            <w:tcW w:w="46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Current</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$ 7.0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23"/>
        </w:trPr>
        <w:tc>
          <w:tcPr>
            <w:tcW w:w="37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46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37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8"/>
                <w:szCs w:val="18"/>
                <w:color w:val="auto"/>
              </w:rPr>
              <w:t>State:</w:t>
            </w:r>
          </w:p>
        </w:tc>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Current</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23"/>
        </w:trPr>
        <w:tc>
          <w:tcPr>
            <w:tcW w:w="37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46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2"/>
        </w:trPr>
        <w:tc>
          <w:tcPr>
            <w:tcW w:w="37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46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$ 8.4</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5020" w:type="dxa"/>
            <w:vAlign w:val="bottom"/>
            <w:gridSpan w:val="2"/>
          </w:tcPr>
          <w:p>
            <w:pPr>
              <w:jc w:val="right"/>
              <w:ind w:right="2776"/>
              <w:spacing w:after="0"/>
              <w:rPr>
                <w:sz w:val="20"/>
                <w:szCs w:val="20"/>
                <w:color w:val="auto"/>
              </w:rPr>
            </w:pPr>
            <w:r>
              <w:rPr>
                <w:rFonts w:ascii="Arial" w:cs="Arial" w:eastAsia="Arial" w:hAnsi="Arial"/>
                <w:sz w:val="18"/>
                <w:szCs w:val="18"/>
                <w:color w:val="auto"/>
              </w:rPr>
              <w:t>F-12</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extraordinary item by the U.S. federal statutory rate of 35%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Fiscal</w:t>
            </w: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6"/>
              </w:rPr>
              <w:t>13-Weeks Ended</w:t>
            </w:r>
          </w:p>
        </w:tc>
        <w:tc>
          <w:tcPr>
            <w:tcW w:w="0" w:type="dxa"/>
            <w:vAlign w:val="bottom"/>
          </w:tcPr>
          <w:p>
            <w:pPr>
              <w:spacing w:after="0"/>
              <w:rPr>
                <w:sz w:val="1"/>
                <w:szCs w:val="1"/>
                <w:color w:val="auto"/>
              </w:rPr>
            </w:pPr>
          </w:p>
        </w:tc>
      </w:tr>
      <w:tr>
        <w:trPr>
          <w:trHeight w:val="174"/>
        </w:trPr>
        <w:tc>
          <w:tcPr>
            <w:tcW w:w="84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March 31, 2005</w:t>
            </w:r>
          </w:p>
        </w:tc>
        <w:tc>
          <w:tcPr>
            <w:tcW w:w="0" w:type="dxa"/>
            <w:vAlign w:val="bottom"/>
          </w:tcPr>
          <w:p>
            <w:pPr>
              <w:spacing w:after="0"/>
              <w:rPr>
                <w:sz w:val="1"/>
                <w:szCs w:val="1"/>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rPr>
              <w:t>Provision calculated at federal statutory income tax rate</w:t>
            </w:r>
          </w:p>
        </w:tc>
        <w:tc>
          <w:tcPr>
            <w:tcW w:w="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$ 7.5</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$11.9</w:t>
            </w:r>
          </w:p>
        </w:tc>
        <w:tc>
          <w:tcPr>
            <w:tcW w:w="620" w:type="dxa"/>
            <w:vAlign w:val="bottom"/>
          </w:tcPr>
          <w:p>
            <w:pPr>
              <w:spacing w:after="0"/>
              <w:rPr>
                <w:sz w:val="17"/>
                <w:szCs w:val="17"/>
                <w:color w:val="auto"/>
              </w:rPr>
            </w:pPr>
          </w:p>
        </w:tc>
        <w:tc>
          <w:tcPr>
            <w:tcW w:w="540" w:type="dxa"/>
            <w:vAlign w:val="bottom"/>
            <w:tcBorders>
              <w:top w:val="single" w:sz="8" w:color="auto"/>
            </w:tcBorders>
          </w:tcPr>
          <w:p>
            <w:pPr>
              <w:jc w:val="right"/>
              <w:ind w:right="359"/>
              <w:spacing w:after="0" w:line="201"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State and local income taxes—net of federal benefit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Total income tax provision</w:t>
            </w:r>
          </w:p>
        </w:tc>
        <w:tc>
          <w:tcPr>
            <w:tcW w:w="3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$ 8.4</w:t>
            </w:r>
          </w:p>
        </w:tc>
        <w:tc>
          <w:tcPr>
            <w:tcW w:w="600" w:type="dxa"/>
            <w:vAlign w:val="bottom"/>
          </w:tcPr>
          <w:p>
            <w:pPr>
              <w:spacing w:after="0"/>
              <w:rPr>
                <w:sz w:val="19"/>
                <w:szCs w:val="19"/>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13.3</w:t>
            </w:r>
          </w:p>
        </w:tc>
        <w:tc>
          <w:tcPr>
            <w:tcW w:w="540" w:type="dxa"/>
            <w:vAlign w:val="bottom"/>
          </w:tcPr>
          <w:p>
            <w:pPr>
              <w:jc w:val="right"/>
              <w:ind w:right="359"/>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Significant components of the net deferred tax asset at December 30, 2004, consisted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6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440"/>
              <w:spacing w:after="0"/>
              <w:rPr>
                <w:sz w:val="20"/>
                <w:szCs w:val="20"/>
                <w:color w:val="auto"/>
              </w:rPr>
            </w:pPr>
            <w:r>
              <w:rPr>
                <w:rFonts w:ascii="Arial" w:cs="Arial" w:eastAsia="Arial" w:hAnsi="Arial"/>
                <w:sz w:val="18"/>
                <w:szCs w:val="18"/>
                <w:color w:val="auto"/>
              </w:rPr>
              <w:t>Allowance for bad debts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tcPr>
          <w:p>
            <w:pPr>
              <w:ind w:left="88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880"/>
              <w:spacing w:after="0"/>
              <w:rPr>
                <w:sz w:val="20"/>
                <w:szCs w:val="20"/>
                <w:color w:val="auto"/>
              </w:rPr>
            </w:pPr>
            <w:r>
              <w:rPr>
                <w:rFonts w:ascii="Arial" w:cs="Arial" w:eastAsia="Arial" w:hAnsi="Arial"/>
                <w:sz w:val="18"/>
                <w:szCs w:val="18"/>
                <w:color w:val="auto"/>
              </w:rPr>
              <w:t>Total deferred tax assets—net of valuation allowance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460" w:type="dxa"/>
            <w:vAlign w:val="bottom"/>
          </w:tcPr>
          <w:p>
            <w:pPr>
              <w:spacing w:after="0"/>
              <w:rPr>
                <w:sz w:val="20"/>
                <w:szCs w:val="20"/>
                <w:color w:val="auto"/>
              </w:rPr>
            </w:pPr>
            <w:r>
              <w:rPr>
                <w:rFonts w:ascii="Arial" w:cs="Arial" w:eastAsia="Arial" w:hAnsi="Arial"/>
                <w:sz w:val="18"/>
                <w:szCs w:val="18"/>
                <w:color w:val="auto"/>
              </w:rPr>
              <w:t>Deferred tax liabilities—excess of book basis over tax basis of fixed assets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Net deferred tax assets (liability)</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assessing the valuation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RCM has not recorded a valuation allowance against deferred tax assets at December 30, 2004, as management believes it is not more likely than not that such deferred tax asset amounts would not be realized in future tax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TRANSACTIONS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Included in media and events operating costs is $2.1 million related to purchases of movie tickets and concession products from the Members primarily for resale to NCM’s customers, of which $1.9 million was paid to Regal and $0.2 million was paid to AMC.</w:t>
      </w:r>
    </w:p>
    <w:p>
      <w:pPr>
        <w:spacing w:after="0" w:line="132"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Certain services (such as information technology and human resources support and payroll processing) were provided to RCM by Regal. Although originally provided without charge, estimates of the value of those services have been made and costs totaling $1.2 million, $1.3 million, and $0.3 million for fiscal 2003, fiscal 2004, and the thirteen weeks ended March 31, 2005, respectively, have been reflected in the accompanying statements of income.</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return for access to the patrons and theatre assets of Regal by the Company’s various businesses, agreed-upon “Circuit Share” payments are made by the Company to Regal. Such expenses totaled $15.3 million, $16.6 million, and $2.4 million during fiscal 2003, fiscal 2004, and the thirteen weeks ended March 31, 2005,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discussed in Note 1, at the formation of NCM and upon the admission of Cinemark as a Member, circuit share agreements and administrative services fee agreements were consummated with each Member. Circuit share expense and administrative fee revenue by Member for the nine months ended December 29, 2005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Circuit Share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Administrative</w:t>
            </w:r>
          </w:p>
        </w:tc>
      </w:tr>
      <w:tr>
        <w:trPr>
          <w:trHeight w:val="174"/>
        </w:trPr>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w w:val="92"/>
              </w:rPr>
              <w:t>Fee Revenue</w:t>
            </w: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AMC</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19.4</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Cinemark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Regal</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19.1</w:t>
            </w:r>
          </w:p>
        </w:tc>
        <w:tc>
          <w:tcPr>
            <w:tcW w:w="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r>
      <w:tr>
        <w:trPr>
          <w:trHeight w:val="224"/>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9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Circuit share costs incurred by NCM are not comparable to those incurred by RCM. Upon the formation of NCM, the level of such payments as a percentage of advertising revenues was significantly increased. Also, advertising revenues and related circuit share costs related to RCM Legacy Contracts that would have been recorded as such by RCM are not included in the statement of operations of NCM because of the provisions of the administrative services agreement, under which NCM earned a fee of 35% of the $88.0 million of revenue from such contracts. As the Legacy Contracts expire and NCM sells new advertising agreements, advertising revenues and related circuit share costs will increase.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Payments from NCM for employee and other services provided under the Transition Services Agreement to Regal and its subsidiaries totaled $3.3 million, and to AMC and its subsidiaries totaled $3.2 million. Additionally, Regal and its subsidiaries paid $0.1 million to NCM for services provided by NCM to RCI under the Transition Services Agreement.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2005, AMC and RCI purchased $0.5 million and $0.6 million, respectively, of NCM’s advertising inventory for their own use. The value of such purchases are calculated by reference to NCM’s advertising rate card and is included in advertising revenue.</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further described in Note 9 “Stock Option Plan”, certain RCM employees who would become employees of NCM had been granted Regal stock options and restricted stock. As specified within the Contribution and Unit Holders Agreement and in accordance with the RCI Severance Plan for Equity Compensation (the “Severance Plan”), in lieu of continued participation in the Regal stock option and restricted stock plan by these employees, Regal agreed to make cash payments to these employees at an agreed-upon value for such options and restricted stock, with payments to be made on the dates which such options and restricted stock would have otherwise vested. Additionally, the Contribution and Unit Holders Agreement provided that NCM will reimburse Regal $4.0 million associated with Regal’s obligations under this arrangement. This $4.0 million obligation was recorded as a liability on NCM’s records as of March 29, 2005, reducing the capital accounts of AMC and Regal pro-rata to their ownership percentages. The first payment of $0.5 million was made to Regal on March 29, 2005, with the remaining $3.5 million payable on March 29, 2006.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National CineMedia, the cost of the Severance Plan will be recorded as an expense over the remaining required service periods. As the payments under the Plan are being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funded by Regal, Regal will be credited with a capital contribution equal to this severance plan expense. During the period ended December 29, 2005, severance expense and the related capital contribution were $8.5 million. Severance expense for fiscal years 2006, 2007 and 2008 at a minimum will be $4.2 million, $2.0 million and $0.7 million, respectively, prior to the inclusion of payments in lieu of distributions on restricted stock and the impact of any employee terminations.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Members at December 29, 2005 is comprised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spacing w:after="0"/>
              <w:rPr>
                <w:sz w:val="20"/>
                <w:szCs w:val="20"/>
                <w:color w:val="auto"/>
              </w:rPr>
            </w:pPr>
            <w:r>
              <w:rPr>
                <w:rFonts w:ascii="Arial" w:cs="Arial" w:eastAsia="Arial" w:hAnsi="Arial"/>
                <w:sz w:val="18"/>
                <w:szCs w:val="18"/>
                <w:color w:val="auto"/>
              </w:rPr>
              <w:t>Circuit share payments</w:t>
            </w:r>
          </w:p>
        </w:tc>
        <w:tc>
          <w:tcPr>
            <w:tcW w:w="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AMC</w:t>
            </w:r>
          </w:p>
        </w:tc>
        <w:tc>
          <w:tcPr>
            <w:tcW w:w="4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Regal</w:t>
            </w:r>
          </w:p>
        </w:tc>
        <w:tc>
          <w:tcPr>
            <w:tcW w:w="20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8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$11.7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0.1</w:t>
            </w:r>
          </w:p>
        </w:tc>
        <w:tc>
          <w:tcPr>
            <w:tcW w:w="42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$10.6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Cost reimbursement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Compensation-related payment</w:t>
            </w:r>
          </w:p>
        </w:tc>
        <w:tc>
          <w:tcPr>
            <w:tcW w:w="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Administrative fee</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12.3</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96" w:lineRule="exact"/>
        <w:rPr>
          <w:sz w:val="20"/>
          <w:szCs w:val="20"/>
          <w:color w:val="auto"/>
        </w:rPr>
      </w:pPr>
    </w:p>
    <w:p>
      <w:pPr>
        <w:ind w:right="160" w:firstLine="456"/>
        <w:spacing w:after="0" w:line="278" w:lineRule="auto"/>
        <w:rPr>
          <w:sz w:val="20"/>
          <w:szCs w:val="20"/>
          <w:color w:val="auto"/>
        </w:rPr>
      </w:pPr>
      <w:r>
        <w:rPr>
          <w:rFonts w:ascii="Arial" w:cs="Arial" w:eastAsia="Arial" w:hAnsi="Arial"/>
          <w:sz w:val="16"/>
          <w:szCs w:val="16"/>
          <w:color w:val="auto"/>
        </w:rPr>
        <w:t>NCM has signed an Amended and Restated Demand Promissory Note (the “Demand Note”) with its Members (the “Holders”) under which the Company may borrow up to $11 million on a revolving basis. Borrowings under the Demand Note are funded by the Members pro rata to their ownership of units. The Demand Note has a final maturity of the earlier of (1) March 31, 2007; (2)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unanimous demand of all Holders; or (3) upon an Event of Default as defined. Interest is payable monthly, at 200 basis points over LIBOR. Interest paid to the Members during 2005 was less than $0.1 million.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29, 2005, outstanding borrowings under the Demand Note totaled $1.3 million. The interest rate as of that date was 6.34%.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 OBLIGATIONS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leases office facilities for its headquarters in Centennial, Colorado and also in various cities for its sales and marketing personnel as sales offices. The Company has no capital lease obligations. Total lease expense for the nine months ended December 29, 2005 was $1.1 million. Total lease expense for fiscal 2003, fiscal 2004, and the thirteen weeks ended March 31, 2005 was $1.3 million, $1.3 million, and $0.7 million,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2006</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2007</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2008</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2009</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2010</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Thereafter</w:t>
            </w:r>
          </w:p>
        </w:tc>
        <w:tc>
          <w:tcPr>
            <w:tcW w:w="79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8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p>
        </w:tc>
      </w:tr>
      <w:tr>
        <w:trPr>
          <w:trHeight w:val="20"/>
        </w:trPr>
        <w:tc>
          <w:tcPr>
            <w:tcW w:w="31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8280" w:type="dxa"/>
            <w:vAlign w:val="bottom"/>
            <w:gridSpan w:val="2"/>
          </w:tcPr>
          <w:p>
            <w:pPr>
              <w:jc w:val="right"/>
              <w:ind w:right="5452"/>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the formation of NCM, all office leases to which RCM was a party have been or are being transferred to NCM, and RCM will bear no financial responsibility for payments under these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RCM participated in the Regal Entertainment Group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elections made by the employee. RCM made discretionary contributions of $0.1 million, $0.2 million, and $0.1 million during fiscal 2003, fiscal 2004, and the thirteen weeks ended March 31, 2005, respectively. Subsequent to the formation of NCM, all RCM participants in the Regal 401(k) plan became participants in the NCM 401(k) plan.</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NCM sponsors the National CineMedia LLC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elections made by the employee. The Company made discretionary contributions of $0.3 million during the period ended December 29, 2005.</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April, 2006 the National CineMedia, LLC 2006 Unit Option Plan was approved. Under this plan, options to purchase approximately 23.6 units at a strike price of $1.0 million per unit were issued to certain eligible employees. These options vest over a five-year period, with vesting beginning at December 31, 2007. In accordance with SFAS No. 123(R), these options will be accounted for as liability rather than equity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PLAN</w:t>
      </w:r>
    </w:p>
    <w:p>
      <w:pPr>
        <w:spacing w:after="0" w:line="96"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Certain employees of the Company participated in the 2002 Regal Entertainment Group Stock Incentive Plan while employees of RCM. Stock option grants were made at exercise prices not less than the fair market value as of the date of grant and were exercisable in installments of 20% per year. For the years ended January 1, 2004, December 30, 2004, and the three months ended March 31, 2005, RCM recorded administrative compensation expense related to these stock options of $1.4 million, $1.4 million and $0.3 million, respectively, related to such options.</w:t>
      </w:r>
    </w:p>
    <w:p>
      <w:pPr>
        <w:spacing w:after="0" w:line="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connection with the July 1, 2003, and June 2, 2004, extraordinary cash dividends paid by Regal and pursuant to the antidilution adjustment terms of the Incentive Plan, the exercise price and the number of shares of common stock subject to options were adjusted to prevent dilution and restore their economic position to that existing immediately before the extraordinary dividends. Stock option information presented herein has been adjusted to give effect to the extraordinary dividends. There were no accounting consequences for changes made to reduce the exercise prices and increase the number of shares underlying options as a result of the extraordinary cash dividends because (1) the aggregate intrinsic value of the awards immediately after the extraordinary dividends was not greater than the aggregate intrinsic value of the awards immediately before the extraordinary dividends and (2) the ratio of the exercise price per share to the market value per share was not reduced.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held by RCM employees: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Weighted</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at Year</w:t>
            </w:r>
          </w:p>
        </w:tc>
        <w:tc>
          <w:tcPr>
            <w:tcW w:w="0" w:type="dxa"/>
            <w:vAlign w:val="bottom"/>
          </w:tcPr>
          <w:p>
            <w:pPr>
              <w:spacing w:after="0"/>
              <w:rPr>
                <w:sz w:val="1"/>
                <w:szCs w:val="1"/>
                <w:color w:val="auto"/>
              </w:rPr>
            </w:pPr>
          </w:p>
        </w:tc>
      </w:tr>
      <w:tr>
        <w:trPr>
          <w:trHeight w:val="174"/>
        </w:trPr>
        <w:tc>
          <w:tcPr>
            <w:tcW w:w="694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Outstanding</w:t>
            </w:r>
          </w:p>
        </w:tc>
        <w:tc>
          <w:tcPr>
            <w:tcW w:w="280" w:type="dxa"/>
            <w:vAlign w:val="bottom"/>
          </w:tcPr>
          <w:p>
            <w:pPr>
              <w:spacing w:after="0"/>
              <w:rPr>
                <w:sz w:val="15"/>
                <w:szCs w:val="15"/>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Shares Price</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Under option—December 26, 2002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3,399,682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5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6940" w:type="dxa"/>
            <w:vAlign w:val="bottom"/>
          </w:tcPr>
          <w:p>
            <w:pPr>
              <w:ind w:left="440"/>
              <w:spacing w:after="0"/>
              <w:rPr>
                <w:sz w:val="20"/>
                <w:szCs w:val="20"/>
                <w:color w:val="auto"/>
              </w:rPr>
            </w:pPr>
            <w:r>
              <w:rPr>
                <w:rFonts w:ascii="Arial" w:cs="Arial" w:eastAsia="Arial" w:hAnsi="Arial"/>
                <w:sz w:val="18"/>
                <w:szCs w:val="18"/>
                <w:color w:val="auto"/>
              </w:rPr>
              <w:t>Options granted in 2003 at fair value</w:t>
            </w:r>
          </w:p>
        </w:tc>
        <w:tc>
          <w:tcPr>
            <w:tcW w:w="740" w:type="dxa"/>
            <w:vAlign w:val="bottom"/>
          </w:tcPr>
          <w:p>
            <w:pPr>
              <w:jc w:val="right"/>
              <w:spacing w:after="0"/>
              <w:rPr>
                <w:sz w:val="20"/>
                <w:szCs w:val="20"/>
                <w:color w:val="auto"/>
              </w:rPr>
            </w:pPr>
            <w:r>
              <w:rPr>
                <w:rFonts w:ascii="Arial" w:cs="Arial" w:eastAsia="Arial" w:hAnsi="Arial"/>
                <w:sz w:val="18"/>
                <w:szCs w:val="18"/>
                <w:color w:val="auto"/>
              </w:rPr>
              <w:t>541,018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4"/>
                <w:szCs w:val="24"/>
                <w:color w:val="auto"/>
              </w:rPr>
            </w:pPr>
          </w:p>
        </w:tc>
        <w:tc>
          <w:tcPr>
            <w:tcW w:w="560" w:type="dxa"/>
            <w:vAlign w:val="bottom"/>
          </w:tcPr>
          <w:p>
            <w:pPr>
              <w:jc w:val="center"/>
              <w:ind w:left="174"/>
              <w:spacing w:after="0"/>
              <w:rPr>
                <w:sz w:val="20"/>
                <w:szCs w:val="20"/>
                <w:color w:val="auto"/>
              </w:rPr>
            </w:pPr>
            <w:r>
              <w:rPr>
                <w:rFonts w:ascii="Arial" w:cs="Arial" w:eastAsia="Arial" w:hAnsi="Arial"/>
                <w:sz w:val="18"/>
                <w:szCs w:val="18"/>
                <w:color w:val="auto"/>
                <w:w w:val="85"/>
              </w:rPr>
              <w:t>4.19</w:t>
            </w:r>
          </w:p>
        </w:tc>
        <w:tc>
          <w:tcPr>
            <w:tcW w:w="5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Options exercised in 2003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(549,742)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Options canceled in 2003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(130,507)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Under option—January 1, 2004</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3,260,451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269,332</w:t>
            </w:r>
          </w:p>
        </w:tc>
        <w:tc>
          <w:tcPr>
            <w:tcW w:w="0" w:type="dxa"/>
            <w:vAlign w:val="bottom"/>
          </w:tcPr>
          <w:p>
            <w:pPr>
              <w:spacing w:after="0"/>
              <w:rPr>
                <w:sz w:val="1"/>
                <w:szCs w:val="1"/>
                <w:color w:val="auto"/>
              </w:rPr>
            </w:pPr>
          </w:p>
        </w:tc>
      </w:tr>
      <w:tr>
        <w:trPr>
          <w:trHeight w:val="318"/>
        </w:trPr>
        <w:tc>
          <w:tcPr>
            <w:tcW w:w="6940" w:type="dxa"/>
            <w:vAlign w:val="bottom"/>
          </w:tcPr>
          <w:p>
            <w:pPr>
              <w:ind w:left="440"/>
              <w:spacing w:after="0"/>
              <w:rPr>
                <w:sz w:val="20"/>
                <w:szCs w:val="20"/>
                <w:color w:val="auto"/>
              </w:rPr>
            </w:pPr>
            <w:r>
              <w:rPr>
                <w:rFonts w:ascii="Arial" w:cs="Arial" w:eastAsia="Arial" w:hAnsi="Arial"/>
                <w:sz w:val="18"/>
                <w:szCs w:val="18"/>
                <w:color w:val="auto"/>
              </w:rPr>
              <w:t>Options granted in 2004 at fair value</w:t>
            </w:r>
          </w:p>
        </w:tc>
        <w:tc>
          <w:tcPr>
            <w:tcW w:w="740" w:type="dxa"/>
            <w:vAlign w:val="bottom"/>
          </w:tcPr>
          <w:p>
            <w:pPr>
              <w:jc w:val="right"/>
              <w:spacing w:after="0"/>
              <w:rPr>
                <w:sz w:val="20"/>
                <w:szCs w:val="20"/>
                <w:color w:val="auto"/>
              </w:rPr>
            </w:pPr>
            <w:r>
              <w:rPr>
                <w:rFonts w:ascii="Arial" w:cs="Arial" w:eastAsia="Arial" w:hAnsi="Arial"/>
                <w:sz w:val="18"/>
                <w:szCs w:val="18"/>
                <w:color w:val="auto"/>
              </w:rPr>
              <w:t>116,750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4"/>
                <w:szCs w:val="24"/>
                <w:color w:val="auto"/>
              </w:rPr>
            </w:pPr>
          </w:p>
        </w:tc>
        <w:tc>
          <w:tcPr>
            <w:tcW w:w="560" w:type="dxa"/>
            <w:vAlign w:val="bottom"/>
          </w:tcPr>
          <w:p>
            <w:pPr>
              <w:jc w:val="center"/>
              <w:ind w:left="174"/>
              <w:spacing w:after="0"/>
              <w:rPr>
                <w:sz w:val="20"/>
                <w:szCs w:val="20"/>
                <w:color w:val="auto"/>
              </w:rPr>
            </w:pPr>
            <w:r>
              <w:rPr>
                <w:rFonts w:ascii="Arial" w:cs="Arial" w:eastAsia="Arial" w:hAnsi="Arial"/>
                <w:sz w:val="18"/>
                <w:szCs w:val="18"/>
                <w:color w:val="auto"/>
                <w:w w:val="85"/>
              </w:rPr>
              <w:t>5.01</w:t>
            </w:r>
          </w:p>
        </w:tc>
        <w:tc>
          <w:tcPr>
            <w:tcW w:w="5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Options exercised in 2004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(801,189)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Options canceled in 2004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(81,563)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Under option—December 30, 2004</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2,494,449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291,793</w:t>
            </w:r>
          </w:p>
        </w:tc>
        <w:tc>
          <w:tcPr>
            <w:tcW w:w="0" w:type="dxa"/>
            <w:vAlign w:val="bottom"/>
          </w:tcPr>
          <w:p>
            <w:pPr>
              <w:spacing w:after="0"/>
              <w:rPr>
                <w:sz w:val="1"/>
                <w:szCs w:val="1"/>
                <w:color w:val="auto"/>
              </w:rPr>
            </w:pPr>
          </w:p>
        </w:tc>
      </w:tr>
      <w:tr>
        <w:trPr>
          <w:trHeight w:val="318"/>
        </w:trPr>
        <w:tc>
          <w:tcPr>
            <w:tcW w:w="6940" w:type="dxa"/>
            <w:vAlign w:val="bottom"/>
          </w:tcPr>
          <w:p>
            <w:pPr>
              <w:ind w:left="440"/>
              <w:spacing w:after="0"/>
              <w:rPr>
                <w:sz w:val="20"/>
                <w:szCs w:val="20"/>
                <w:color w:val="auto"/>
              </w:rPr>
            </w:pPr>
            <w:r>
              <w:rPr>
                <w:rFonts w:ascii="Arial" w:cs="Arial" w:eastAsia="Arial" w:hAnsi="Arial"/>
                <w:sz w:val="18"/>
                <w:szCs w:val="18"/>
                <w:color w:val="auto"/>
              </w:rPr>
              <w:t>Options exercised in 2005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(74,888)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4"/>
                <w:szCs w:val="24"/>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40" w:type="dxa"/>
            <w:vAlign w:val="bottom"/>
          </w:tcPr>
          <w:p>
            <w:pPr>
              <w:ind w:left="440"/>
              <w:spacing w:after="0"/>
              <w:rPr>
                <w:sz w:val="20"/>
                <w:szCs w:val="20"/>
                <w:color w:val="auto"/>
              </w:rPr>
            </w:pPr>
            <w:r>
              <w:rPr>
                <w:rFonts w:ascii="Arial" w:cs="Arial" w:eastAsia="Arial" w:hAnsi="Arial"/>
                <w:sz w:val="18"/>
                <w:szCs w:val="18"/>
                <w:color w:val="auto"/>
              </w:rPr>
              <w:t>Options canceled in 2005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(6,480)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Under option—March 31, 2005</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2,413,081</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707,549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information about the Plan’s stock options at March 31, 2005,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Options 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5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5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2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Exercisable at</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8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Range of Exercise Price</w:t>
            </w:r>
          </w:p>
        </w:tc>
        <w:tc>
          <w:tcPr>
            <w:tcW w:w="5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March 31, 2005</w:t>
            </w:r>
          </w:p>
        </w:tc>
        <w:tc>
          <w:tcPr>
            <w:tcW w:w="5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r>
      <w:tr>
        <w:trPr>
          <w:trHeight w:val="195"/>
        </w:trPr>
        <w:tc>
          <w:tcPr>
            <w:tcW w:w="5740" w:type="dxa"/>
            <w:vAlign w:val="bottom"/>
            <w:gridSpan w:val="2"/>
          </w:tcPr>
          <w:p>
            <w:pPr>
              <w:spacing w:after="0" w:line="195" w:lineRule="exact"/>
              <w:rPr>
                <w:sz w:val="20"/>
                <w:szCs w:val="20"/>
                <w:color w:val="auto"/>
              </w:rPr>
            </w:pPr>
            <w:r>
              <w:rPr>
                <w:rFonts w:ascii="Arial" w:cs="Arial" w:eastAsia="Arial" w:hAnsi="Arial"/>
                <w:sz w:val="18"/>
                <w:szCs w:val="18"/>
                <w:color w:val="auto"/>
              </w:rPr>
              <w:t>$2.69–$5.38</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782,837</w:t>
            </w:r>
          </w:p>
        </w:tc>
        <w:tc>
          <w:tcPr>
            <w:tcW w:w="5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3.09</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393,039</w:t>
            </w:r>
          </w:p>
        </w:tc>
        <w:tc>
          <w:tcPr>
            <w:tcW w:w="5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3.09</w:t>
            </w:r>
          </w:p>
        </w:tc>
        <w:tc>
          <w:tcPr>
            <w:tcW w:w="20" w:type="dxa"/>
            <w:vAlign w:val="bottom"/>
          </w:tcPr>
          <w:p>
            <w:pPr>
              <w:spacing w:after="0"/>
              <w:rPr>
                <w:sz w:val="16"/>
                <w:szCs w:val="16"/>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$7.80–$11.51</w:t>
            </w:r>
          </w:p>
        </w:tc>
        <w:tc>
          <w:tcPr>
            <w:tcW w:w="920" w:type="dxa"/>
            <w:vAlign w:val="bottom"/>
          </w:tcPr>
          <w:p>
            <w:pPr>
              <w:jc w:val="right"/>
              <w:spacing w:after="0"/>
              <w:rPr>
                <w:sz w:val="20"/>
                <w:szCs w:val="20"/>
                <w:color w:val="auto"/>
              </w:rPr>
            </w:pPr>
            <w:r>
              <w:rPr>
                <w:rFonts w:ascii="Arial" w:cs="Arial" w:eastAsia="Arial" w:hAnsi="Arial"/>
                <w:sz w:val="18"/>
                <w:szCs w:val="18"/>
                <w:color w:val="auto"/>
              </w:rPr>
              <w:t>752,095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11.11</w:t>
            </w:r>
          </w:p>
        </w:tc>
        <w:tc>
          <w:tcPr>
            <w:tcW w:w="920" w:type="dxa"/>
            <w:vAlign w:val="bottom"/>
          </w:tcPr>
          <w:p>
            <w:pPr>
              <w:jc w:val="right"/>
              <w:spacing w:after="0"/>
              <w:rPr>
                <w:sz w:val="20"/>
                <w:szCs w:val="20"/>
                <w:color w:val="auto"/>
              </w:rPr>
            </w:pPr>
            <w:r>
              <w:rPr>
                <w:rFonts w:ascii="Arial" w:cs="Arial" w:eastAsia="Arial" w:hAnsi="Arial"/>
                <w:sz w:val="18"/>
                <w:szCs w:val="18"/>
                <w:color w:val="auto"/>
              </w:rPr>
              <w:t>114,856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10.21</w:t>
            </w: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$12.24–$17.83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878,149</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14.69</w:t>
            </w:r>
          </w:p>
        </w:tc>
        <w:tc>
          <w:tcPr>
            <w:tcW w:w="5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199,654</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14.23</w:t>
            </w:r>
          </w:p>
        </w:tc>
        <w:tc>
          <w:tcPr>
            <w:tcW w:w="20" w:type="dxa"/>
            <w:vAlign w:val="bottom"/>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2,413,081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9.81</w:t>
            </w:r>
          </w:p>
        </w:tc>
        <w:tc>
          <w:tcPr>
            <w:tcW w:w="920" w:type="dxa"/>
            <w:vAlign w:val="bottom"/>
          </w:tcPr>
          <w:p>
            <w:pPr>
              <w:jc w:val="right"/>
              <w:spacing w:after="0"/>
              <w:rPr>
                <w:sz w:val="20"/>
                <w:szCs w:val="20"/>
                <w:color w:val="auto"/>
              </w:rPr>
            </w:pPr>
            <w:r>
              <w:rPr>
                <w:rFonts w:ascii="Arial" w:cs="Arial" w:eastAsia="Arial" w:hAnsi="Arial"/>
                <w:sz w:val="18"/>
                <w:szCs w:val="18"/>
                <w:color w:val="auto"/>
              </w:rPr>
              <w:t>707,549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first quarter of fiscal 2005, Regal granted restricted stock awards to certain officers and key employees of RCM. Under the restricted stock program, common stock of Regal was granted at no cost to officers and key employees, subject to a continued employment restriction. The restriction is fulfilled upon continued employment for a specified number of years (typically four years after the award date) and as such restrictions lapse, the award immediately vests. The plan participants are entitled to cash dividends and to vote their respective shares, although the sale and transfer of such shares is prohibited during the restricted period. On February 11, 2005, 75,170 shares were granted under the restricted stock program at a share price of $19.90 per share. Unearned compensation of approximately $1.5 million (equivalent to the market value at the date of grant) will be amortized to expense over the restriction period.</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 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12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 contribution. During the nine-months ended December 29, 2005, the Company recorded total severance expense of approximately $8.5 million, including approximately $0.1 million of payments in lieu of dividends, related to the Severance Plan.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 The table below presents the estimated allocation of the expense if the Company did allocate it to these specific line items: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Advertising operating costs</w:t>
            </w:r>
          </w:p>
        </w:tc>
        <w:tc>
          <w:tcPr>
            <w:tcW w:w="76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Network costs</w:t>
            </w:r>
          </w:p>
        </w:tc>
        <w:tc>
          <w:tcPr>
            <w:tcW w:w="76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76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Administrative costs</w:t>
            </w:r>
          </w:p>
        </w:tc>
        <w:tc>
          <w:tcPr>
            <w:tcW w:w="73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4"/>
        </w:trPr>
        <w:tc>
          <w:tcPr>
            <w:tcW w:w="3760" w:type="dxa"/>
            <w:vAlign w:val="bottom"/>
          </w:tcPr>
          <w:p>
            <w:pPr>
              <w:ind w:left="440"/>
              <w:spacing w:after="0"/>
              <w:rPr>
                <w:sz w:val="20"/>
                <w:szCs w:val="20"/>
                <w:color w:val="auto"/>
              </w:rPr>
            </w:pPr>
            <w:r>
              <w:rPr>
                <w:rFonts w:ascii="Arial" w:cs="Arial" w:eastAsia="Arial" w:hAnsi="Arial"/>
                <w:sz w:val="18"/>
                <w:szCs w:val="18"/>
                <w:color w:val="auto"/>
              </w:rPr>
              <w:t>Total</w:t>
            </w:r>
          </w:p>
        </w:tc>
        <w:tc>
          <w:tcPr>
            <w:tcW w:w="7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w:t>
            </w:r>
          </w:p>
        </w:tc>
      </w:tr>
      <w:tr>
        <w:trPr>
          <w:trHeight w:val="20"/>
        </w:trPr>
        <w:tc>
          <w:tcPr>
            <w:tcW w:w="37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7660" w:type="dxa"/>
            <w:vAlign w:val="bottom"/>
            <w:gridSpan w:val="2"/>
          </w:tcPr>
          <w:p>
            <w:pPr>
              <w:jc w:val="right"/>
              <w:ind w:right="5452"/>
              <w:spacing w:after="0"/>
              <w:rPr>
                <w:sz w:val="20"/>
                <w:szCs w:val="20"/>
                <w:color w:val="auto"/>
              </w:rPr>
            </w:pPr>
            <w:r>
              <w:rPr>
                <w:rFonts w:ascii="Arial" w:cs="Arial" w:eastAsia="Arial" w:hAnsi="Arial"/>
                <w:sz w:val="18"/>
                <w:szCs w:val="18"/>
                <w:color w:val="auto"/>
              </w:rPr>
              <w:t>F-18</w:t>
            </w: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2004 AND DECEMBER 29, 2005, AND FOR THE YEARS ENDED JANUARY 1, 2004 AND DECEMBER 30, 2004,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2005 AND THE NINE MONTHS ENDED DECEMBER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charges under the Severance Plan are estimated to be $4.2 million in 2006, $1.9 million in 2007 and $0.6 million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Certain network affiliate agreements require the Company to make a payment equal to the higher of a specified percentage of advertising sold in the network affiliate theatres or a minimum guaranteed amount. For one such agreement, the minimum guaranteed amount is dependent upon the number of patrons attending the affiliate’s theatres. During the period ended December 29, 2005, the amount of guaranteed payments made exceeded the advertising sold multiplied by the sharing percentage by $0.8 million, of which all but less than $0.1 million related to one network affiliate agreement which expired in November 2005. The aggregate minimum guaranteed amounts required under these agreements, exclusive of those calculated on a per-patron basis,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100" w:type="dxa"/>
            <w:vAlign w:val="bottom"/>
          </w:tcPr>
          <w:p>
            <w:pPr>
              <w:spacing w:after="0"/>
              <w:rPr>
                <w:sz w:val="20"/>
                <w:szCs w:val="20"/>
                <w:color w:val="auto"/>
              </w:rPr>
            </w:pPr>
            <w:r>
              <w:rPr>
                <w:rFonts w:ascii="Arial" w:cs="Arial" w:eastAsia="Arial" w:hAnsi="Arial"/>
                <w:sz w:val="18"/>
                <w:szCs w:val="18"/>
                <w:color w:val="auto"/>
              </w:rPr>
              <w:t>2006</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w:t>
            </w:r>
          </w:p>
        </w:tc>
      </w:tr>
      <w:tr>
        <w:trPr>
          <w:trHeight w:val="222"/>
        </w:trPr>
        <w:tc>
          <w:tcPr>
            <w:tcW w:w="1110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4"/>
        </w:trPr>
        <w:tc>
          <w:tcPr>
            <w:tcW w:w="111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w:t>
            </w:r>
          </w:p>
        </w:tc>
      </w:tr>
      <w:tr>
        <w:trPr>
          <w:trHeight w:val="20"/>
        </w:trPr>
        <w:tc>
          <w:tcPr>
            <w:tcW w:w="1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Quarter</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2"/>
                <w:szCs w:val="12"/>
                <w:color w:val="auto"/>
              </w:rPr>
            </w:pPr>
          </w:p>
        </w:tc>
        <w:tc>
          <w:tcPr>
            <w:tcW w:w="10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Third</w:t>
            </w:r>
          </w:p>
        </w:tc>
        <w:tc>
          <w:tcPr>
            <w:tcW w:w="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3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w w:val="76"/>
              </w:rPr>
              <w:t>(Dollars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w w:val="83"/>
              </w:rPr>
              <w:t>in millions)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Advertising and Other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25.6</w:t>
            </w:r>
          </w:p>
        </w:tc>
        <w:tc>
          <w:tcPr>
            <w:tcW w:w="30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30.4</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72"/>
              <w:spacing w:after="0"/>
              <w:rPr>
                <w:sz w:val="20"/>
                <w:szCs w:val="20"/>
                <w:color w:val="auto"/>
              </w:rPr>
            </w:pPr>
            <w:r>
              <w:rPr>
                <w:rFonts w:ascii="Arial" w:cs="Arial" w:eastAsia="Arial" w:hAnsi="Arial"/>
                <w:sz w:val="18"/>
                <w:szCs w:val="18"/>
                <w:color w:val="auto"/>
              </w:rPr>
              <w:t>(2.1)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Balance Sheet: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25.4</w:t>
            </w:r>
          </w:p>
        </w:tc>
        <w:tc>
          <w:tcPr>
            <w:tcW w:w="30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32.4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Shareholders’/Members’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29, 2006</w:t>
            </w:r>
          </w:p>
        </w:tc>
        <w:tc>
          <w:tcPr>
            <w:tcW w:w="0" w:type="dxa"/>
            <w:vAlign w:val="bottom"/>
          </w:tcPr>
          <w:p>
            <w:pPr>
              <w:spacing w:after="0"/>
              <w:rPr>
                <w:sz w:val="1"/>
                <w:szCs w:val="1"/>
                <w:color w:val="auto"/>
              </w:rPr>
            </w:pPr>
          </w:p>
        </w:tc>
      </w:tr>
      <w:tr>
        <w:trPr>
          <w:trHeight w:val="149"/>
        </w:trPr>
        <w:tc>
          <w:tcPr>
            <w:tcW w:w="8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5"/>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29, 2006</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(See Note 10)</w:t>
            </w:r>
          </w:p>
        </w:tc>
        <w:tc>
          <w:tcPr>
            <w:tcW w:w="0" w:type="dxa"/>
            <w:vAlign w:val="bottom"/>
          </w:tcPr>
          <w:p>
            <w:pPr>
              <w:spacing w:after="0"/>
              <w:rPr>
                <w:sz w:val="1"/>
                <w:szCs w:val="1"/>
                <w:color w:val="auto"/>
              </w:rPr>
            </w:pPr>
          </w:p>
        </w:tc>
      </w:tr>
      <w:tr>
        <w:trPr>
          <w:trHeight w:val="208"/>
        </w:trPr>
        <w:tc>
          <w:tcPr>
            <w:tcW w:w="890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Receivables—net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50.1</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89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Network affiliate agreements, net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Deferred offering costs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900" w:type="dxa"/>
            <w:vAlign w:val="bottom"/>
          </w:tcPr>
          <w:p>
            <w:pPr>
              <w:ind w:left="4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Deposits and other</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8900" w:type="dxa"/>
            <w:vAlign w:val="bottom"/>
          </w:tcPr>
          <w:p>
            <w:pPr>
              <w:ind w:left="88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Amounts due to Members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Accrued payroll and related expenses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90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OTHER LIABILITIES—BORROWINGS</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325"/>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220"/>
              <w:spacing w:after="0"/>
              <w:rPr>
                <w:sz w:val="20"/>
                <w:szCs w:val="20"/>
                <w:color w:val="auto"/>
              </w:rPr>
            </w:pPr>
            <w:r>
              <w:rPr>
                <w:rFonts w:ascii="Arial" w:cs="Arial" w:eastAsia="Arial" w:hAnsi="Arial"/>
                <w:sz w:val="18"/>
                <w:szCs w:val="18"/>
                <w:color w:val="auto"/>
              </w:rPr>
              <w:t>(See Notes 1 and 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900" w:type="dxa"/>
            <w:vAlign w:val="bottom"/>
          </w:tcPr>
          <w:p>
            <w:pPr>
              <w:spacing w:after="0"/>
              <w:rPr>
                <w:sz w:val="20"/>
                <w:szCs w:val="20"/>
                <w:color w:val="auto"/>
              </w:rPr>
            </w:pPr>
            <w:r>
              <w:rPr>
                <w:rFonts w:ascii="Arial" w:cs="Arial" w:eastAsia="Arial" w:hAnsi="Arial"/>
                <w:sz w:val="18"/>
                <w:szCs w:val="18"/>
                <w:color w:val="auto"/>
              </w:rPr>
              <w:t>MEMBERS’ EQUITY</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9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3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3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6 months</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728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2005</w:t>
            </w:r>
          </w:p>
        </w:tc>
        <w:tc>
          <w:tcPr>
            <w:tcW w:w="3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June 29, 2006</w:t>
            </w:r>
          </w:p>
        </w:tc>
        <w:tc>
          <w:tcPr>
            <w:tcW w:w="4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June 29, 2006</w:t>
            </w:r>
          </w:p>
        </w:tc>
        <w:tc>
          <w:tcPr>
            <w:tcW w:w="0" w:type="dxa"/>
            <w:vAlign w:val="bottom"/>
          </w:tcPr>
          <w:p>
            <w:pPr>
              <w:spacing w:after="0"/>
              <w:rPr>
                <w:sz w:val="1"/>
                <w:szCs w:val="1"/>
                <w:color w:val="auto"/>
              </w:rPr>
            </w:pPr>
          </w:p>
        </w:tc>
      </w:tr>
      <w:tr>
        <w:trPr>
          <w:trHeight w:val="201"/>
        </w:trPr>
        <w:tc>
          <w:tcPr>
            <w:tcW w:w="728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Administrative fees—Members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Meetings and events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Advertising operating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Meetings and events operating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Circuit share costs—Members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Severance Plan costs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(2.2)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560" w:type="dxa"/>
            <w:vAlign w:val="bottom"/>
          </w:tcPr>
          <w:p>
            <w:pPr>
              <w:jc w:val="center"/>
              <w:ind w:left="772"/>
              <w:spacing w:after="0"/>
              <w:rPr>
                <w:sz w:val="20"/>
                <w:szCs w:val="20"/>
                <w:color w:val="auto"/>
              </w:rPr>
            </w:pPr>
            <w:r>
              <w:rPr>
                <w:rFonts w:ascii="Arial" w:cs="Arial" w:eastAsia="Arial" w:hAnsi="Arial"/>
                <w:sz w:val="18"/>
                <w:szCs w:val="18"/>
                <w:b w:val="1"/>
                <w:bCs w:val="1"/>
                <w:color w:val="auto"/>
              </w:rPr>
              <w:t>NATIONAL CINEMEDIA, LLC</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5"/>
        </w:trPr>
        <w:tc>
          <w:tcPr>
            <w:tcW w:w="10560" w:type="dxa"/>
            <w:vAlign w:val="bottom"/>
          </w:tcPr>
          <w:p>
            <w:pPr>
              <w:jc w:val="center"/>
              <w:ind w:left="772"/>
              <w:spacing w:after="0"/>
              <w:rPr>
                <w:sz w:val="20"/>
                <w:szCs w:val="20"/>
                <w:color w:val="auto"/>
              </w:rPr>
            </w:pPr>
            <w:r>
              <w:rPr>
                <w:rFonts w:ascii="Arial" w:cs="Arial" w:eastAsia="Arial" w:hAnsi="Arial"/>
                <w:sz w:val="18"/>
                <w:szCs w:val="18"/>
                <w:b w:val="1"/>
                <w:bCs w:val="1"/>
                <w:color w:val="auto"/>
                <w:w w:val="95"/>
              </w:rPr>
              <w:t>CONDENSED STATEMENTS OF CASH FLOWS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0560" w:type="dxa"/>
            <w:vAlign w:val="bottom"/>
          </w:tcPr>
          <w:p>
            <w:pPr>
              <w:jc w:val="center"/>
              <w:ind w:left="792"/>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10560" w:type="dxa"/>
            <w:vAlign w:val="bottom"/>
          </w:tcPr>
          <w:p>
            <w:pPr>
              <w:jc w:val="center"/>
              <w:ind w:left="79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40"/>
        </w:trPr>
        <w:tc>
          <w:tcPr>
            <w:tcW w:w="10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6 months</w:t>
            </w:r>
          </w:p>
        </w:tc>
      </w:tr>
      <w:tr>
        <w:trPr>
          <w:trHeight w:val="149"/>
        </w:trPr>
        <w:tc>
          <w:tcPr>
            <w:tcW w:w="10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r>
      <w:tr>
        <w:trPr>
          <w:trHeight w:val="174"/>
        </w:trPr>
        <w:tc>
          <w:tcPr>
            <w:tcW w:w="105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June 29, 2006</w:t>
            </w:r>
          </w:p>
        </w:tc>
      </w:tr>
      <w:tr>
        <w:trPr>
          <w:trHeight w:val="202"/>
        </w:trPr>
        <w:tc>
          <w:tcPr>
            <w:tcW w:w="1056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16"/>
        </w:trPr>
        <w:tc>
          <w:tcPr>
            <w:tcW w:w="10560" w:type="dxa"/>
            <w:vAlign w:val="bottom"/>
          </w:tcPr>
          <w:p>
            <w:pPr>
              <w:ind w:left="880"/>
              <w:spacing w:after="0"/>
              <w:rPr>
                <w:sz w:val="20"/>
                <w:szCs w:val="20"/>
                <w:color w:val="auto"/>
              </w:rPr>
            </w:pPr>
            <w:r>
              <w:rPr>
                <w:rFonts w:ascii="Arial" w:cs="Arial" w:eastAsia="Arial" w:hAnsi="Arial"/>
                <w:sz w:val="18"/>
                <w:szCs w:val="18"/>
                <w:color w:val="auto"/>
              </w:rPr>
              <w:t>Severance Plan and Share-Based Compensation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10560" w:type="dxa"/>
            <w:vAlign w:val="bottom"/>
          </w:tcPr>
          <w:p>
            <w:pPr>
              <w:ind w:left="8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Increase in receivables—net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Decrease in prepaid expenses and other 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Increase in deposits and other assets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Decrease in accounts payable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Increase in amounts due to 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Payment of Severance Plan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560" w:type="dxa"/>
            <w:vAlign w:val="bottom"/>
          </w:tcPr>
          <w:p>
            <w:pPr>
              <w:ind w:left="1300"/>
              <w:spacing w:after="0"/>
              <w:rPr>
                <w:sz w:val="20"/>
                <w:szCs w:val="20"/>
                <w:color w:val="auto"/>
              </w:rPr>
            </w:pPr>
            <w:r>
              <w:rPr>
                <w:rFonts w:ascii="Arial" w:cs="Arial" w:eastAsia="Arial" w:hAnsi="Arial"/>
                <w:sz w:val="18"/>
                <w:szCs w:val="18"/>
                <w:color w:val="auto"/>
              </w:rPr>
              <w:t>Increase in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22"/>
        </w:trPr>
        <w:tc>
          <w:tcPr>
            <w:tcW w:w="10560" w:type="dxa"/>
            <w:vAlign w:val="bottom"/>
          </w:tcPr>
          <w:p>
            <w:pPr>
              <w:ind w:left="1300"/>
              <w:spacing w:after="0"/>
              <w:rPr>
                <w:sz w:val="20"/>
                <w:szCs w:val="20"/>
                <w:color w:val="auto"/>
              </w:rPr>
            </w:pPr>
            <w:r>
              <w:rPr>
                <w:rFonts w:ascii="Arial" w:cs="Arial" w:eastAsia="Arial" w:hAnsi="Arial"/>
                <w:sz w:val="18"/>
                <w:szCs w:val="18"/>
                <w:color w:val="auto"/>
              </w:rPr>
              <w:t>Increase in deferred revenue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23"/>
        </w:trPr>
        <w:tc>
          <w:tcPr>
            <w:tcW w:w="10560" w:type="dxa"/>
            <w:vAlign w:val="bottom"/>
          </w:tcPr>
          <w:p>
            <w:pPr>
              <w:ind w:left="17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10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10560" w:type="dxa"/>
            <w:vAlign w:val="bottom"/>
          </w:tcPr>
          <w:p>
            <w:pPr>
              <w:ind w:left="4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10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Proceeds of short-term borrowings from Members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Repayments of short-term borrowings to Members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Proceeds from borrowings under Revolving Credit Facility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Repayments of borrowings under Revolving Credit Facility</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0560" w:type="dxa"/>
            <w:vAlign w:val="bottom"/>
          </w:tcPr>
          <w:p>
            <w:pPr>
              <w:ind w:left="440"/>
              <w:spacing w:after="0"/>
              <w:rPr>
                <w:sz w:val="20"/>
                <w:szCs w:val="20"/>
                <w:color w:val="auto"/>
              </w:rPr>
            </w:pPr>
            <w:r>
              <w:rPr>
                <w:rFonts w:ascii="Arial" w:cs="Arial" w:eastAsia="Arial" w:hAnsi="Arial"/>
                <w:sz w:val="18"/>
                <w:szCs w:val="18"/>
                <w:color w:val="auto"/>
              </w:rPr>
              <w:t>Capital contribution from Member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r>
      <w:tr>
        <w:trPr>
          <w:trHeight w:val="222"/>
        </w:trPr>
        <w:tc>
          <w:tcPr>
            <w:tcW w:w="10560" w:type="dxa"/>
            <w:vAlign w:val="bottom"/>
          </w:tcPr>
          <w:p>
            <w:pPr>
              <w:ind w:left="440"/>
              <w:spacing w:after="0"/>
              <w:rPr>
                <w:sz w:val="20"/>
                <w:szCs w:val="20"/>
                <w:color w:val="auto"/>
              </w:rPr>
            </w:pPr>
            <w:r>
              <w:rPr>
                <w:rFonts w:ascii="Arial" w:cs="Arial" w:eastAsia="Arial" w:hAnsi="Arial"/>
                <w:sz w:val="18"/>
                <w:szCs w:val="18"/>
                <w:color w:val="auto"/>
              </w:rPr>
              <w:t>Distributions to Members</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10560" w:type="dxa"/>
            <w:vAlign w:val="bottom"/>
          </w:tcPr>
          <w:p>
            <w:pPr>
              <w:ind w:left="17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r>
      <w:tr>
        <w:trPr>
          <w:trHeight w:val="217"/>
        </w:trPr>
        <w:tc>
          <w:tcPr>
            <w:tcW w:w="105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22"/>
        </w:trPr>
        <w:tc>
          <w:tcPr>
            <w:tcW w:w="10560" w:type="dxa"/>
            <w:vAlign w:val="bottom"/>
          </w:tcPr>
          <w:p>
            <w:pPr>
              <w:spacing w:after="0"/>
              <w:rPr>
                <w:sz w:val="20"/>
                <w:szCs w:val="20"/>
                <w:color w:val="auto"/>
              </w:rPr>
            </w:pPr>
            <w:r>
              <w:rPr>
                <w:rFonts w:ascii="Arial" w:cs="Arial" w:eastAsia="Arial" w:hAnsi="Arial"/>
                <w:sz w:val="18"/>
                <w:szCs w:val="18"/>
                <w:color w:val="auto"/>
              </w:rPr>
              <w:t>CASH AND CASH EQUIVALENTS, BEGINNING PERIOD</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4"/>
        </w:trPr>
        <w:tc>
          <w:tcPr>
            <w:tcW w:w="10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0"/>
        </w:trPr>
        <w:tc>
          <w:tcPr>
            <w:tcW w:w="10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National CineMedia, LLC (the “Company” or “NCM”) provides advertising, business meetings, and event services to its Members under Exhibitor Services Agreements which extend through April 1, 2010. NCM also provides such services to certain third-party theatre circuits under “Network Affiliate Agreements” expiring at various dates through September 16, 2009. The Company operates on a 52-week fiscal year, with the fiscal year ending on the first Thursday after December 25, which in certain years results in a 53-week year. See the footnotes to the Company’s audited financial statements included in this prospectus for a description of the transactions by which the Company was formed and capitalized.</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the result of final adjustments to the valuations attributed to the assets and liabilities contributed to the Company at formation, NCN contributed additional cash to NCM during 2006, which was then distributed to RCM Holdings and Cinemark Media, thus having no impact on the assets and liabilities of NCM.</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There are currently 1,261 Member units outstanding, of which 630 (50.0%) are owned by RCM Holdings, 370 (29.3%) are owned by NCN, and 261 (20.7%) are owned by Cinemark Media. Should a Liquidity Event as defined in the LLCOA occur, each Member’s ownership percentage will be recalculated based upon the percentage of the total Advertising Circuit Share (as defined below) paid in the previous twelve months which was paid to that Member.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NCM has entered into a variety of governance and business arrangements with NCN, RCM Holdings, and Cinemark Media and their affiliates, which are described in the Company’s audited financial statements, beginning on page F-2. Capitalized terms as used herein have the same meanings as defined in the audited financial statements.</w:t>
      </w:r>
    </w:p>
    <w:p>
      <w:pPr>
        <w:spacing w:after="0" w:line="14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During 2006, the “Advertising Circuit Share Percentage” was 68%, while in 2005 it was 65%. The Advertising Circuit Share is allocated among the Members based on a formula which takes into account the number of patrons served and screens operated by each Member during the previous quarter. In accordance with the LLCOA, the Advertising Circuit Share Percentage may be changed at the end of each year by a unanimous vote of the Members.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Pursuant to the ESAs, AMC and Regal, through their subsidiaries, retained all advertising contracts sold by NCN’s or RCM’s sales teams prior to April 1, 2005 and agreed to pay an administrative fee (32% during 2006 and 35% during 2005) to NCM to service these contracts. Cinemark retained all advertising contracts signed pursuant to the Screenvision Agreements again subject to a 32% administrative fee payable to NCM for all revenue generated by these agreements subsequent to December 31, 2005. Total advertising revenue managed by NCM associated with the Legacy Contracts was $36.7 million and $6.2 million for the three month periods ended June 30, 2005 and June 29, 2006, and $10.9 million for the six months ended June 29, 2006. Administrative fee revenue will decline over time as the Legacy Contracts expire.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NCM was not formed until March 29, 2005, there are no comparative six-month statements of operations or cash flows available for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RCM’s operating results for the three months ended March 31, 2005 are presented in the Company’s audited financial statements beginning on page F-2.</w:t>
      </w:r>
    </w:p>
    <w:p>
      <w:pPr>
        <w:spacing w:after="0" w:line="18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These financial statements are unaudited and are prepared in accordance with the rules and regulations of the Securities and Exchange Commission for interim financial information. The accounting policies used in the preparation of these financial statements are the same as those used in the preparation of the Company’s audited financial statements, as modified by accounting standards for interim financial statements. In the opinion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management, all adjustments, consisting only of normal recurring accruals, have been made to present fairly the Company’s interim financial position and results of operations.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a result of the various related party agreements, the operating results as presented are not necessarily indicative of the results which would have occurred if all agreements were with non-related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June 2006, the FASB issued FASB Interpretation No. 48, “Accounting for Uncertainty in Income Taxes—an Interpretation of FASB Statement No. 109.” This Interpretation clarifies the accounting for uncertainty in income taxes recognized in an enterprise’s financial statements in accordance with FASB Statement No. 109, “Accounting for Income Taxes,”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As a limited liability company, National CineMedia LLC’s taxable income or loss is allocated to the Founding Members in accordance with the provisions of our operating documents. However, with the proposed formation of National CineMedia Inc., it will be a taxable entity and will be required to consider this Interpretation as it relates to both itself and the Company’s consolidated tax position at NCM Inc. We are currently evaluating the impact the Interpretation may have on its future financial condition, results of operations and cash flows.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October 2006 the FASB issued Statement of Financial Accounting Standards No. 157, “Fair Value Measurements.” This statement does not require any new fair value measurements but provides guidance on how to measure fair value and clarifies the definition of fair value under GAAP. The statement also requires new disclosures about the extent to which fair value measurements in financial statements are based on quoted market prices, market-corroborated inputs or unobservable inputs that are based on management’s judgments and estimates. The statement is effective for fiscal years beginning after November 15, 2007. The statement will be applied prospectively by the Company for any fair value measurements that arise after the date of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ind w:left="460"/>
              <w:spacing w:after="0"/>
              <w:rPr>
                <w:sz w:val="20"/>
                <w:szCs w:val="20"/>
                <w:color w:val="auto"/>
              </w:rPr>
            </w:pPr>
            <w:r>
              <w:rPr>
                <w:rFonts w:ascii="Arial" w:cs="Arial" w:eastAsia="Arial" w:hAnsi="Arial"/>
                <w:sz w:val="18"/>
                <w:szCs w:val="18"/>
                <w:color w:val="auto"/>
              </w:rPr>
              <w:t>Receivables consisted of the following at June 29, 2006:</w:t>
            </w: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360" w:type="dxa"/>
            <w:vAlign w:val="bottom"/>
          </w:tcPr>
          <w:p>
            <w:pPr>
              <w:spacing w:after="0"/>
              <w:rPr>
                <w:sz w:val="20"/>
                <w:szCs w:val="20"/>
                <w:color w:val="auto"/>
              </w:rPr>
            </w:pPr>
            <w:r>
              <w:rPr>
                <w:rFonts w:ascii="Arial" w:cs="Arial" w:eastAsia="Arial" w:hAnsi="Arial"/>
                <w:sz w:val="18"/>
                <w:szCs w:val="18"/>
                <w:color w:val="auto"/>
              </w:rPr>
              <w:t>Trade accounts</w:t>
            </w:r>
          </w:p>
        </w:tc>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4. RELATED PARTY TRANSACTIONS</w:t>
            </w:r>
          </w:p>
        </w:tc>
        <w:tc>
          <w:tcPr>
            <w:tcW w:w="2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460"/>
              <w:spacing w:after="0"/>
              <w:rPr>
                <w:sz w:val="20"/>
                <w:szCs w:val="20"/>
                <w:color w:val="auto"/>
              </w:rPr>
            </w:pPr>
            <w:r>
              <w:rPr>
                <w:rFonts w:ascii="Arial" w:cs="Arial" w:eastAsia="Arial" w:hAnsi="Arial"/>
                <w:sz w:val="18"/>
                <w:szCs w:val="18"/>
                <w:color w:val="auto"/>
                <w:w w:val="92"/>
              </w:rPr>
              <w:t>Amounts due to (from) Members at June 29, 2006 is comprised of:</w:t>
            </w:r>
          </w:p>
        </w:tc>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60" w:type="dxa"/>
            <w:vAlign w:val="bottom"/>
            <w:vMerge w:val="restart"/>
          </w:tcPr>
          <w:p>
            <w:pPr>
              <w:spacing w:after="0"/>
              <w:rPr>
                <w:sz w:val="20"/>
                <w:szCs w:val="20"/>
                <w:color w:val="auto"/>
              </w:rPr>
            </w:pPr>
            <w:r>
              <w:rPr>
                <w:rFonts w:ascii="Arial" w:cs="Arial" w:eastAsia="Arial" w:hAnsi="Arial"/>
                <w:sz w:val="18"/>
                <w:szCs w:val="18"/>
                <w:color w:val="auto"/>
              </w:rPr>
              <w:t>Circuit share payments</w:t>
            </w:r>
          </w:p>
        </w:tc>
        <w:tc>
          <w:tcPr>
            <w:tcW w:w="286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AMC</w:t>
            </w:r>
          </w:p>
        </w:tc>
        <w:tc>
          <w:tcPr>
            <w:tcW w:w="2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2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Regal</w:t>
            </w:r>
          </w:p>
        </w:tc>
        <w:tc>
          <w:tcPr>
            <w:tcW w:w="2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36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$11.2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w:t>
            </w:r>
          </w:p>
        </w:tc>
        <w:tc>
          <w:tcPr>
            <w:tcW w:w="420" w:type="dxa"/>
            <w:vAlign w:val="bottom"/>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4"/>
              </w:rPr>
              <w:t>$16.0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Cost reimbursement</w:t>
            </w:r>
          </w:p>
        </w:tc>
        <w:tc>
          <w:tcPr>
            <w:tcW w:w="348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Administrative fee</w:t>
            </w:r>
          </w:p>
        </w:tc>
        <w:tc>
          <w:tcPr>
            <w:tcW w:w="2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34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60" w:type="dxa"/>
            <w:vAlign w:val="bottom"/>
          </w:tcPr>
          <w:p>
            <w:pPr>
              <w:spacing w:after="0"/>
              <w:rPr>
                <w:sz w:val="24"/>
                <w:szCs w:val="24"/>
                <w:color w:val="auto"/>
              </w:rPr>
            </w:pPr>
          </w:p>
        </w:tc>
        <w:tc>
          <w:tcPr>
            <w:tcW w:w="3480" w:type="dxa"/>
            <w:vAlign w:val="bottom"/>
            <w:gridSpan w:val="3"/>
          </w:tcPr>
          <w:p>
            <w:pPr>
              <w:jc w:val="right"/>
              <w:ind w:right="2960"/>
              <w:spacing w:after="0"/>
              <w:rPr>
                <w:sz w:val="20"/>
                <w:szCs w:val="20"/>
                <w:color w:val="auto"/>
              </w:rPr>
            </w:pPr>
            <w:r>
              <w:rPr>
                <w:rFonts w:ascii="Arial" w:cs="Arial" w:eastAsia="Arial" w:hAnsi="Arial"/>
                <w:sz w:val="18"/>
                <w:szCs w:val="18"/>
                <w:color w:val="auto"/>
              </w:rPr>
              <w:t>F-24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Circuit share expense and administrative fee revenue by Member during the three months ended June 30, 2005 is as follows:</w:t>
      </w:r>
    </w:p>
    <w:p>
      <w:pPr>
        <w:spacing w:after="0" w:line="207" w:lineRule="exact"/>
        <w:rPr>
          <w:sz w:val="20"/>
          <w:szCs w:val="20"/>
          <w:color w:val="auto"/>
        </w:rPr>
      </w:pPr>
    </w:p>
    <w:p>
      <w:pPr>
        <w:jc w:val="right"/>
        <w:spacing w:after="0"/>
        <w:tabs>
          <w:tab w:leader="none" w:pos="1540" w:val="left"/>
        </w:tabs>
        <w:rPr>
          <w:sz w:val="20"/>
          <w:szCs w:val="20"/>
          <w:color w:val="auto"/>
        </w:rPr>
      </w:pPr>
      <w:r>
        <w:rPr>
          <w:rFonts w:ascii="Arial" w:cs="Arial" w:eastAsia="Arial" w:hAnsi="Arial"/>
          <w:sz w:val="14"/>
          <w:szCs w:val="14"/>
          <w:b w:val="1"/>
          <w:bCs w:val="1"/>
          <w:color w:val="auto"/>
        </w:rPr>
        <w:t>Circuit share expense</w:t>
      </w:r>
      <w:r>
        <w:rPr>
          <w:sz w:val="20"/>
          <w:szCs w:val="20"/>
          <w:color w:val="auto"/>
        </w:rPr>
        <w:tab/>
      </w:r>
      <w:r>
        <w:rPr>
          <w:rFonts w:ascii="Arial" w:cs="Arial" w:eastAsia="Arial" w:hAnsi="Arial"/>
          <w:sz w:val="12"/>
          <w:szCs w:val="12"/>
          <w:b w:val="1"/>
          <w:bCs w:val="1"/>
          <w:u w:val="single" w:color="auto"/>
          <w:color w:val="auto"/>
        </w:rPr>
        <w:t>Administrative fee revenue</w:t>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7080" w:type="dxa"/>
            <w:vAlign w:val="bottom"/>
          </w:tcPr>
          <w:p>
            <w:pPr>
              <w:spacing w:after="0" w:line="201" w:lineRule="exact"/>
              <w:rPr>
                <w:sz w:val="20"/>
                <w:szCs w:val="20"/>
                <w:color w:val="auto"/>
              </w:rPr>
            </w:pPr>
            <w:r>
              <w:rPr>
                <w:rFonts w:ascii="Arial" w:cs="Arial" w:eastAsia="Arial" w:hAnsi="Arial"/>
                <w:sz w:val="18"/>
                <w:szCs w:val="18"/>
                <w:color w:val="auto"/>
              </w:rPr>
              <w:t>AMC</w:t>
            </w:r>
          </w:p>
        </w:tc>
        <w:tc>
          <w:tcPr>
            <w:tcW w:w="560" w:type="dxa"/>
            <w:vAlign w:val="bottom"/>
            <w:tcBorders>
              <w:top w:val="single" w:sz="8" w:color="auto"/>
            </w:tcBorders>
          </w:tcPr>
          <w:p>
            <w:pPr>
              <w:jc w:val="right"/>
              <w:ind w:right="372"/>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Regal</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7080" w:type="dxa"/>
            <w:vAlign w:val="bottom"/>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Circuit share expense and administrative fee revenue by Member during the three months ended June 29, 2006 is as follows:</w:t>
      </w:r>
    </w:p>
    <w:p>
      <w:pPr>
        <w:spacing w:after="0" w:line="20" w:lineRule="exact"/>
        <w:rPr>
          <w:sz w:val="20"/>
          <w:szCs w:val="20"/>
          <w:color w:val="auto"/>
        </w:rPr>
      </w:pPr>
      <w:r>
        <w:rPr>
          <w:sz w:val="20"/>
          <w:szCs w:val="20"/>
          <w:color w:val="auto"/>
        </w:rPr>
        <w:br w:type="column"/>
      </w:r>
    </w:p>
    <w:p>
      <w:pPr>
        <w:ind w:left="1347" w:hanging="1347"/>
        <w:spacing w:after="0"/>
        <w:tabs>
          <w:tab w:leader="none" w:pos="134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3.7</w:t>
      </w:r>
    </w:p>
    <w:p>
      <w:pPr>
        <w:spacing w:after="0" w:line="49" w:lineRule="exact"/>
        <w:rPr>
          <w:rFonts w:ascii="Arial" w:cs="Arial" w:eastAsia="Arial" w:hAnsi="Arial"/>
          <w:sz w:val="15"/>
          <w:szCs w:val="15"/>
          <w:color w:val="auto"/>
        </w:rPr>
      </w:pPr>
    </w:p>
    <w:p>
      <w:pPr>
        <w:ind w:left="1347"/>
        <w:spacing w:after="0"/>
        <w:rPr>
          <w:rFonts w:ascii="Arial" w:cs="Arial" w:eastAsia="Arial" w:hAnsi="Arial"/>
          <w:sz w:val="15"/>
          <w:szCs w:val="15"/>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950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4" w:lineRule="exact"/>
        <w:rPr>
          <w:sz w:val="20"/>
          <w:szCs w:val="20"/>
          <w:color w:val="auto"/>
        </w:rPr>
      </w:pPr>
    </w:p>
    <w:p>
      <w:pPr>
        <w:ind w:left="1267" w:hanging="1267"/>
        <w:spacing w:after="0"/>
        <w:tabs>
          <w:tab w:leader="none" w:pos="126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9950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9950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9220" w:space="633"/>
            <w:col w:w="1567"/>
          </w:cols>
          <w:pgMar w:left="240" w:top="459" w:right="239" w:bottom="1440" w:gutter="0" w:footer="0" w:header="0"/>
          <w:type w:val="continuous"/>
        </w:sectPr>
      </w:pPr>
    </w:p>
    <w:p>
      <w:pPr>
        <w:spacing w:after="0" w:line="42" w:lineRule="exact"/>
        <w:rPr>
          <w:sz w:val="20"/>
          <w:szCs w:val="20"/>
          <w:color w:val="auto"/>
        </w:rPr>
      </w:pPr>
    </w:p>
    <w:p>
      <w:pPr>
        <w:ind w:left="7080"/>
        <w:spacing w:after="0"/>
        <w:tabs>
          <w:tab w:leader="none" w:pos="9840" w:val="left"/>
        </w:tabs>
        <w:rPr>
          <w:sz w:val="20"/>
          <w:szCs w:val="20"/>
          <w:color w:val="auto"/>
        </w:rPr>
      </w:pPr>
      <w:r>
        <w:rPr>
          <w:rFonts w:ascii="Arial" w:cs="Arial" w:eastAsia="Arial" w:hAnsi="Arial"/>
          <w:sz w:val="14"/>
          <w:szCs w:val="14"/>
          <w:b w:val="1"/>
          <w:bCs w:val="1"/>
          <w:color w:val="auto"/>
        </w:rPr>
        <w:t>Circuit share expense</w:t>
      </w:r>
      <w:r>
        <w:rPr>
          <w:sz w:val="20"/>
          <w:szCs w:val="20"/>
          <w:color w:val="auto"/>
        </w:rPr>
        <w:tab/>
      </w:r>
      <w:r>
        <w:rPr>
          <w:rFonts w:ascii="Arial" w:cs="Arial" w:eastAsia="Arial" w:hAnsi="Arial"/>
          <w:sz w:val="12"/>
          <w:szCs w:val="12"/>
          <w:b w:val="1"/>
          <w:bCs w:val="1"/>
          <w:u w:val="single" w:color="auto"/>
          <w:color w:val="auto"/>
        </w:rPr>
        <w:t>Administrative fee revenue</w:t>
      </w: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7080" w:type="dxa"/>
            <w:vAlign w:val="bottom"/>
          </w:tcPr>
          <w:p>
            <w:pPr>
              <w:spacing w:after="0" w:line="201" w:lineRule="exact"/>
              <w:rPr>
                <w:sz w:val="20"/>
                <w:szCs w:val="20"/>
                <w:color w:val="auto"/>
              </w:rPr>
            </w:pPr>
            <w:r>
              <w:rPr>
                <w:rFonts w:ascii="Arial" w:cs="Arial" w:eastAsia="Arial" w:hAnsi="Arial"/>
                <w:sz w:val="18"/>
                <w:szCs w:val="18"/>
                <w:color w:val="auto"/>
              </w:rPr>
              <w:t>AMC</w:t>
            </w:r>
          </w:p>
        </w:tc>
        <w:tc>
          <w:tcPr>
            <w:tcW w:w="520" w:type="dxa"/>
            <w:vAlign w:val="bottom"/>
            <w:tcBorders>
              <w:top w:val="single" w:sz="8" w:color="auto"/>
            </w:tcBorders>
          </w:tcPr>
          <w:p>
            <w:pPr>
              <w:jc w:val="right"/>
              <w:ind w:right="332"/>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Cinemark</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Regal</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4"/>
        </w:trPr>
        <w:tc>
          <w:tcPr>
            <w:tcW w:w="7080" w:type="dxa"/>
            <w:vAlign w:val="bottom"/>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7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Circuit share expense and administrative fee revenue by Member during the six months ended June 29, 2006 is as follows:</w:t>
      </w:r>
    </w:p>
    <w:p>
      <w:pPr>
        <w:spacing w:after="0" w:line="20" w:lineRule="exact"/>
        <w:rPr>
          <w:sz w:val="20"/>
          <w:szCs w:val="20"/>
          <w:color w:val="auto"/>
        </w:rPr>
      </w:pPr>
      <w:r>
        <w:rPr>
          <w:sz w:val="20"/>
          <w:szCs w:val="20"/>
          <w:color w:val="auto"/>
        </w:rPr>
        <w:br w:type="column"/>
      </w:r>
    </w:p>
    <w:p>
      <w:pPr>
        <w:ind w:left="1347" w:hanging="1347"/>
        <w:spacing w:after="0"/>
        <w:tabs>
          <w:tab w:leader="none" w:pos="1347" w:val="left"/>
        </w:tabs>
        <w:numPr>
          <w:ilvl w:val="0"/>
          <w:numId w:val="120"/>
        </w:numPr>
        <w:rPr>
          <w:rFonts w:ascii="Arial" w:cs="Arial" w:eastAsia="Arial" w:hAnsi="Arial"/>
          <w:sz w:val="15"/>
          <w:szCs w:val="15"/>
          <w:color w:val="auto"/>
        </w:rPr>
      </w:pPr>
      <w:r>
        <w:rPr>
          <w:rFonts w:ascii="Arial" w:cs="Arial" w:eastAsia="Arial" w:hAnsi="Arial"/>
          <w:sz w:val="15"/>
          <w:szCs w:val="15"/>
          <w:color w:val="auto"/>
        </w:rPr>
        <w:t>0.1</w:t>
      </w:r>
    </w:p>
    <w:p>
      <w:pPr>
        <w:spacing w:after="0" w:line="49" w:lineRule="exact"/>
        <w:rPr>
          <w:rFonts w:ascii="Arial" w:cs="Arial" w:eastAsia="Arial" w:hAnsi="Arial"/>
          <w:sz w:val="15"/>
          <w:szCs w:val="15"/>
          <w:color w:val="auto"/>
        </w:rPr>
      </w:pPr>
    </w:p>
    <w:p>
      <w:pPr>
        <w:ind w:left="1307"/>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1347"/>
        <w:spacing w:after="0"/>
        <w:rPr>
          <w:rFonts w:ascii="Arial" w:cs="Arial" w:eastAsia="Arial" w:hAnsi="Arial"/>
          <w:sz w:val="15"/>
          <w:szCs w:val="15"/>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950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44" w:lineRule="exact"/>
        <w:rPr>
          <w:sz w:val="20"/>
          <w:szCs w:val="20"/>
          <w:color w:val="auto"/>
        </w:rPr>
      </w:pPr>
    </w:p>
    <w:p>
      <w:pPr>
        <w:ind w:left="1347" w:hanging="1347"/>
        <w:spacing w:after="0"/>
        <w:tabs>
          <w:tab w:leader="none" w:pos="134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9950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9950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9133" w:space="720"/>
            <w:col w:w="1567"/>
          </w:cols>
          <w:pgMar w:left="240" w:top="459" w:right="23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Arial" w:cs="Arial" w:eastAsia="Arial" w:hAnsi="Arial"/>
                <w:sz w:val="18"/>
                <w:szCs w:val="18"/>
                <w:color w:val="auto"/>
              </w:rPr>
              <w:t>AMC</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Circuit share expense</w:t>
            </w:r>
          </w:p>
        </w:tc>
        <w:tc>
          <w:tcPr>
            <w:tcW w:w="1540" w:type="dxa"/>
            <w:vAlign w:val="bottom"/>
          </w:tcPr>
          <w:p>
            <w:pPr>
              <w:spacing w:after="0"/>
              <w:rPr>
                <w:sz w:val="14"/>
                <w:szCs w:val="1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Administrative fee revenue</w:t>
            </w:r>
          </w:p>
        </w:tc>
        <w:tc>
          <w:tcPr>
            <w:tcW w:w="0" w:type="dxa"/>
            <w:vAlign w:val="bottom"/>
          </w:tcPr>
          <w:p>
            <w:pPr>
              <w:spacing w:after="0"/>
              <w:rPr>
                <w:sz w:val="1"/>
                <w:szCs w:val="1"/>
                <w:color w:val="auto"/>
              </w:rPr>
            </w:pPr>
          </w:p>
        </w:tc>
      </w:tr>
      <w:tr>
        <w:trPr>
          <w:trHeight w:val="201"/>
        </w:trPr>
        <w:tc>
          <w:tcPr>
            <w:tcW w:w="7080" w:type="dxa"/>
            <w:vAlign w:val="bottom"/>
            <w:vMerge w:val="continue"/>
          </w:tcPr>
          <w:p>
            <w:pPr>
              <w:spacing w:after="0"/>
              <w:rPr>
                <w:sz w:val="17"/>
                <w:szCs w:val="17"/>
                <w:color w:val="auto"/>
              </w:rPr>
            </w:pPr>
          </w:p>
        </w:tc>
        <w:tc>
          <w:tcPr>
            <w:tcW w:w="520" w:type="dxa"/>
            <w:vAlign w:val="bottom"/>
            <w:tcBorders>
              <w:top w:val="single" w:sz="8" w:color="auto"/>
            </w:tcBorders>
          </w:tcPr>
          <w:p>
            <w:pPr>
              <w:jc w:val="right"/>
              <w:ind w:right="339"/>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w:t>
            </w:r>
          </w:p>
        </w:tc>
        <w:tc>
          <w:tcPr>
            <w:tcW w:w="1540" w:type="dxa"/>
            <w:vAlign w:val="bottom"/>
          </w:tcPr>
          <w:p>
            <w:pPr>
              <w:spacing w:after="0"/>
              <w:rPr>
                <w:sz w:val="17"/>
                <w:szCs w:val="17"/>
                <w:color w:val="auto"/>
              </w:rPr>
            </w:pPr>
          </w:p>
        </w:tc>
        <w:tc>
          <w:tcPr>
            <w:tcW w:w="720" w:type="dxa"/>
            <w:vAlign w:val="bottom"/>
            <w:tcBorders>
              <w:top w:val="single" w:sz="8" w:color="auto"/>
            </w:tcBorders>
          </w:tcPr>
          <w:p>
            <w:pPr>
              <w:jc w:val="right"/>
              <w:ind w:right="56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Cinemark</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Regal</w:t>
            </w: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5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22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Included in costs of revenue—meetings and events is $0.6 million, $0.6 million, and $0.8 million for the three months ended June 30, 2005, the three months ended June 29, 2006, and the six months ended June 29, 2006, respectively, related to purchases of movie tickets and concession products from Regal primarily for resale to NCM’s customers. For AMC, $0.3 million and $0.4 million of such products were purchased for resale for the three months ended June 29, 2006 and the six months ended June 29, 2006, respectively.</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 months ended June 29, 2006, AMC and RCI purchased $0.2 million and $0.3 million, respectively, of NCM’s advertising inventory for their own use. During the six months ended June 29, 2006, AMC and RCI purchased $0.3 million and $0.7 million, respectively, of NCM’s advertising inventory for their own use. The value of such purchases are calculated by reference to NCM’s advertising rate card and is included in advertising revenue, with 68% of such amounts returned by NCM to the Members as Advertising Circuit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normal course of business, the Company has revenue and other transactions with companies which are affiliates of the Members.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OFFERING COSTS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Company has paid certain costs associated with the proposed initial public offering of National CineMedia Inc., a newly formed holding company whose sole asset will be approximately % of the common membership units of the Company. These costs will be reimbursed to the Company by National CineMedia Inc. at the time of its formation. Should National CineMedia Inc. not be formed, these deferred offering costs would be expensed as administrative expenses at the time the determination is made that the formation will not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had signed an Amended and Restated Demand Promissory Note (the “Demand Note”) with its Members (the “Holders”) under which the Company could borrow up to $11.0 million on a revolving basis. Borrowings under the Demand Note were funded by the Members pro rata to their ownership of units. Interest was payable monthly, at 200 basis points over LIBOR. Interest paid to the Members during the three months ended June 30, 2005 was less than $0.1 million.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22, 2006 the Demand Note was cancelled and replaced by a bank-funded $20.0 million Revolving Credit Agreement (“the Revolver”), of which $2.0 million may be utilized in support of letters of credit. The Revolver is collateralized by trade receivables, and borrowings under the Revolver are limited to 85% of eligible trade receivables as defined. The Revolver has a final maturity of March 22, 2008, but may be prepaid by the Company at its option pursuant to the terms of the Revolver, and bears interest, at NCM’s option, at either an adjusted Eurodollar rate or the base rate plus, in each case, an applicable margin. Outstanding borrowings at June 29, 2006 were $8.0 million. Available borrowings under the Revolver were $12.0 million at June 29, 2006. The aggregate interest rate on outstanding borrowings as of that date was 7.2%.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MEMBERS’ EQUITY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80" w:type="dxa"/>
            <w:vAlign w:val="bottom"/>
          </w:tcPr>
          <w:p>
            <w:pPr>
              <w:ind w:left="460"/>
              <w:spacing w:after="0"/>
              <w:rPr>
                <w:sz w:val="20"/>
                <w:szCs w:val="20"/>
                <w:color w:val="auto"/>
              </w:rPr>
            </w:pPr>
            <w:r>
              <w:rPr>
                <w:rFonts w:ascii="Arial" w:cs="Arial" w:eastAsia="Arial" w:hAnsi="Arial"/>
                <w:sz w:val="18"/>
                <w:szCs w:val="18"/>
                <w:color w:val="auto"/>
              </w:rPr>
              <w:t>During the six months ended June 29, 2006, activity in members’ equity is as follows: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2"/>
        </w:trPr>
        <w:tc>
          <w:tcPr>
            <w:tcW w:w="10880" w:type="dxa"/>
            <w:vAlign w:val="bottom"/>
          </w:tcPr>
          <w:p>
            <w:pPr>
              <w:spacing w:after="0"/>
              <w:rPr>
                <w:sz w:val="20"/>
                <w:szCs w:val="20"/>
                <w:color w:val="auto"/>
              </w:rPr>
            </w:pPr>
            <w:r>
              <w:rPr>
                <w:rFonts w:ascii="Arial" w:cs="Arial" w:eastAsia="Arial" w:hAnsi="Arial"/>
                <w:sz w:val="18"/>
                <w:szCs w:val="18"/>
                <w:color w:val="auto"/>
              </w:rPr>
              <w:t>Balance at December 29, 2005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4"/>
                <w:szCs w:val="24"/>
                <w:color w:val="auto"/>
              </w:rPr>
            </w:pPr>
          </w:p>
        </w:tc>
      </w:tr>
      <w:tr>
        <w:trPr>
          <w:trHeight w:val="216"/>
        </w:trPr>
        <w:tc>
          <w:tcPr>
            <w:tcW w:w="10880" w:type="dxa"/>
            <w:vAlign w:val="bottom"/>
          </w:tcPr>
          <w:p>
            <w:pPr>
              <w:spacing w:after="0"/>
              <w:rPr>
                <w:sz w:val="20"/>
                <w:szCs w:val="20"/>
                <w:color w:val="auto"/>
              </w:rPr>
            </w:pPr>
            <w:r>
              <w:rPr>
                <w:rFonts w:ascii="Arial" w:cs="Arial" w:eastAsia="Arial" w:hAnsi="Arial"/>
                <w:sz w:val="18"/>
                <w:szCs w:val="18"/>
                <w:color w:val="auto"/>
              </w:rPr>
              <w:t>Capital contribution from Member</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r>
      <w:tr>
        <w:trPr>
          <w:trHeight w:val="216"/>
        </w:trPr>
        <w:tc>
          <w:tcPr>
            <w:tcW w:w="10880" w:type="dxa"/>
            <w:vAlign w:val="bottom"/>
          </w:tcPr>
          <w:p>
            <w:pPr>
              <w:spacing w:after="0"/>
              <w:rPr>
                <w:sz w:val="20"/>
                <w:szCs w:val="20"/>
                <w:color w:val="auto"/>
              </w:rPr>
            </w:pPr>
            <w:r>
              <w:rPr>
                <w:rFonts w:ascii="Arial" w:cs="Arial" w:eastAsia="Arial" w:hAnsi="Arial"/>
                <w:sz w:val="18"/>
                <w:szCs w:val="18"/>
                <w:color w:val="auto"/>
              </w:rPr>
              <w:t>Contribution of severance plan payments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10880" w:type="dxa"/>
            <w:vAlign w:val="bottom"/>
          </w:tcPr>
          <w:p>
            <w:pPr>
              <w:spacing w:after="0"/>
              <w:rPr>
                <w:sz w:val="20"/>
                <w:szCs w:val="20"/>
                <w:color w:val="auto"/>
              </w:rPr>
            </w:pPr>
            <w:r>
              <w:rPr>
                <w:rFonts w:ascii="Arial" w:cs="Arial" w:eastAsia="Arial" w:hAnsi="Arial"/>
                <w:sz w:val="18"/>
                <w:szCs w:val="18"/>
                <w:color w:val="auto"/>
              </w:rPr>
              <w:t>Share-based compensation cost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r>
      <w:tr>
        <w:trPr>
          <w:trHeight w:val="216"/>
        </w:trPr>
        <w:tc>
          <w:tcPr>
            <w:tcW w:w="1088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22"/>
        </w:trPr>
        <w:tc>
          <w:tcPr>
            <w:tcW w:w="108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(10.6)</w:t>
            </w:r>
          </w:p>
        </w:tc>
      </w:tr>
      <w:tr>
        <w:trPr>
          <w:trHeight w:val="224"/>
        </w:trPr>
        <w:tc>
          <w:tcPr>
            <w:tcW w:w="10880" w:type="dxa"/>
            <w:vAlign w:val="bottom"/>
          </w:tcPr>
          <w:p>
            <w:pPr>
              <w:ind w:left="440"/>
              <w:spacing w:after="0"/>
              <w:rPr>
                <w:sz w:val="20"/>
                <w:szCs w:val="20"/>
                <w:color w:val="auto"/>
              </w:rPr>
            </w:pPr>
            <w:r>
              <w:rPr>
                <w:rFonts w:ascii="Arial" w:cs="Arial" w:eastAsia="Arial" w:hAnsi="Arial"/>
                <w:sz w:val="18"/>
                <w:szCs w:val="18"/>
                <w:color w:val="auto"/>
              </w:rPr>
              <w:t>Balance at June 29, 2006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0"/>
        </w:trPr>
        <w:tc>
          <w:tcPr>
            <w:tcW w:w="10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sponsors the National CineMedia LLC 401(k) Profit Sharing Plan (the “plan”) under section 401(k) of the Internal Revenue Code of 1986, as amended, for the benefit of substantially all full-time employees. The Company made discretionary contributions of $0.1 million and $0.3 million during the three and six months ended June 29, 2006, respectively.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RCI Severance Plan for Equity Compensation, payments are made to certain employees of the company who were previously employed by RCM, and who held unvested options to purchase shares of Regal’s common stock on the date of their termination from RCM. The Company recorded severance expense of $3.7 million, $0.8 million, and $2.7 million for the three months ended June 30, 2005, and the three and six months ended June 29, 2006, respectively. The Company records the expense as a separate line item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 The table below presents the estimated allocation of the expense if the Company did allocate it to these specific line items: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Three months ended</w:t>
            </w:r>
          </w:p>
        </w:tc>
        <w:tc>
          <w:tcPr>
            <w:tcW w:w="10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Three months ended</w:t>
            </w:r>
          </w:p>
        </w:tc>
        <w:tc>
          <w:tcPr>
            <w:tcW w:w="108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Six months ended</w:t>
            </w:r>
          </w:p>
        </w:tc>
        <w:tc>
          <w:tcPr>
            <w:tcW w:w="0" w:type="dxa"/>
            <w:vAlign w:val="bottom"/>
          </w:tcPr>
          <w:p>
            <w:pPr>
              <w:spacing w:after="0"/>
              <w:rPr>
                <w:sz w:val="1"/>
                <w:szCs w:val="1"/>
                <w:color w:val="auto"/>
              </w:rPr>
            </w:pPr>
          </w:p>
        </w:tc>
      </w:tr>
      <w:tr>
        <w:trPr>
          <w:trHeight w:val="161"/>
        </w:trPr>
        <w:tc>
          <w:tcPr>
            <w:tcW w:w="5880" w:type="dxa"/>
            <w:vAlign w:val="bottom"/>
            <w:vMerge w:val="restart"/>
          </w:tcPr>
          <w:p>
            <w:pPr>
              <w:spacing w:after="0"/>
              <w:rPr>
                <w:sz w:val="20"/>
                <w:szCs w:val="20"/>
                <w:color w:val="auto"/>
              </w:rPr>
            </w:pPr>
            <w:r>
              <w:rPr>
                <w:rFonts w:ascii="Arial" w:cs="Arial" w:eastAsia="Arial" w:hAnsi="Arial"/>
                <w:sz w:val="18"/>
                <w:szCs w:val="18"/>
                <w:color w:val="auto"/>
              </w:rPr>
              <w:t>Advertising operating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36"/>
              <w:spacing w:after="0"/>
              <w:rPr>
                <w:sz w:val="20"/>
                <w:szCs w:val="20"/>
                <w:color w:val="auto"/>
              </w:rPr>
            </w:pPr>
            <w:r>
              <w:rPr>
                <w:rFonts w:ascii="Arial" w:cs="Arial" w:eastAsia="Arial" w:hAnsi="Arial"/>
                <w:sz w:val="14"/>
                <w:szCs w:val="14"/>
                <w:b w:val="1"/>
                <w:bCs w:val="1"/>
                <w:color w:val="auto"/>
                <w:w w:val="90"/>
              </w:rPr>
              <w:t>June 30, 2005</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June 29, 2006</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June 29, 2006</w:t>
            </w:r>
          </w:p>
        </w:tc>
        <w:tc>
          <w:tcPr>
            <w:tcW w:w="0" w:type="dxa"/>
            <w:vAlign w:val="bottom"/>
          </w:tcPr>
          <w:p>
            <w:pPr>
              <w:spacing w:after="0"/>
              <w:rPr>
                <w:sz w:val="1"/>
                <w:szCs w:val="1"/>
                <w:color w:val="auto"/>
              </w:rPr>
            </w:pPr>
          </w:p>
        </w:tc>
      </w:tr>
      <w:tr>
        <w:trPr>
          <w:trHeight w:val="201"/>
        </w:trPr>
        <w:tc>
          <w:tcPr>
            <w:tcW w:w="5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0.1</w:t>
            </w:r>
          </w:p>
        </w:tc>
        <w:tc>
          <w:tcPr>
            <w:tcW w:w="10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April 4, 2006 the Company’s Board of Directors approved the National CineMedia, LLC 2006 Unit Option Plan. Under this plan, options to purchase approximately 23.6 units at a strike price of $1.0 million per unit have been issued to certain eligible employees. These options vest over a five year period, with vesting beginning at December 31, 2007. The options include provisions under which the holders may be able to put the options back to the Company and receive a cash payment based on a formula tied to the attainment of certain operating performance thresholds. Therefore, under Statement of Financial Accounting Standard SFAS No. 123(R), these options will be accounted for as liability rather than equity awards.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has estimated the fair value of these options as $0.3 million per unit, based on the Black-Scholes option pricing model. This model requires that we make estimates of various factors used in the Black-Scholes model, the most critical of which are the fair value of our equity and the expected volatility of our equity value. As our options were granted in contemplation of an initial public offering as described in Note 10, we have considered the expected pricing of the initial public offering to estimate our equity value. Under liability accounting, the Company will re-estimate the fair value of the options as of each reporting date. The fair value of the options will be charged to operations over the vesting period. Charges or credits related to changes in the estimated fair value of the options will be recognized as of each reporting date.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life of options - 9 years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Risk free interest rate - 4.9%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volatility of membership units - 30.0%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Dividend yield - 3.0%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were determined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expected life of the options was determined by using the average calculated vesting and contractual term of the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risk free interest rate was determined by using the 10-year treasury rate as of the grant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volatility was estimated based on comparable companies and industry indexes for historic stock price volatility; and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estimated dividend yield was determined using management’s expectations based on estimated cash flow characteristics and expected dividend policy after the initial public offering discussed in Note 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forfeiture rate was not significant because a substantial number of options are held by a few executives of the Company who are expected to continue employment thru the vesting period.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six month period ended June 29, 2006, the Company issued 26.034 unit options all at an exercise price of $1.1 million. During the six month period ended June 29, 2006, no options were exercised, 2.031 options were forfeited due to employee terminations, and 23.004 options are outstanding at June 29, 2006. None of the options have vested and none had intrinsic value.</w:t>
      </w:r>
    </w:p>
    <w:p>
      <w:pPr>
        <w:spacing w:after="0" w:line="140"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For the six month period ended June 29, 2006, the Company recognized $0.3 million of share-based compensation expense for these options. As of June 29, 2006, unrecognized compensation cost related to non-vested options was $7.7 million, which amount will be recognized over a weighted average remaining period of between 66 and 78 months, subject to variability due to the requirement to re-estimate fair value of the options as of each reporting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the Company’s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 FORMA BALANCE SHEET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National CineMedia, Inc., a newly formed holding company, has filed a registration statement for an initial public offering (“IPO”) of its common stock.</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net proceeds from the offering, estimated to be $ , will be used to acquire an approximate % interest in the Company. In connection therewith, the Company intends to effect a recapitalization under which:</w:t>
      </w:r>
    </w:p>
    <w:p>
      <w:pPr>
        <w:sectPr>
          <w:pgSz w:w="11900" w:h="16838" w:orient="portrait"/>
          <w:cols w:equalWidth="0" w:num="1">
            <w:col w:w="11380"/>
          </w:cols>
          <w:pgMar w:left="240" w:top="460" w:right="279" w:bottom="1440" w:gutter="0" w:footer="0" w:header="0"/>
        </w:sectPr>
      </w:pPr>
    </w:p>
    <w:p>
      <w:pPr>
        <w:spacing w:after="0" w:line="5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be recapitalized on a non-cash basis with a distribution to the Members of</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common membership units and</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preferred</w:t>
      </w:r>
    </w:p>
    <w:p>
      <w:pPr>
        <w:spacing w:after="0" w:line="49" w:lineRule="exact"/>
        <w:rPr>
          <w:sz w:val="20"/>
          <w:szCs w:val="20"/>
          <w:color w:val="auto"/>
        </w:rPr>
      </w:pPr>
    </w:p>
    <w:p>
      <w:pPr>
        <w:sectPr>
          <w:pgSz w:w="11900" w:h="16838" w:orient="portrait"/>
          <w:cols w:equalWidth="0" w:num="4">
            <w:col w:w="600" w:space="180"/>
            <w:col w:w="6540" w:space="580"/>
            <w:col w:w="2200" w:space="540"/>
            <w:col w:w="740"/>
          </w:cols>
          <w:pgMar w:left="240" w:top="460" w:right="27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membership units for each currently outstanding membership unit.</w:t>
      </w:r>
    </w:p>
    <w:p>
      <w:pPr>
        <w:sectPr>
          <w:pgSz w:w="11900" w:h="16838" w:orient="portrait"/>
          <w:cols w:equalWidth="0" w:num="1">
            <w:col w:w="11380"/>
          </w:cols>
          <w:pgMar w:left="240" w:top="460" w:right="279" w:bottom="1440" w:gutter="0" w:footer="0" w:header="0"/>
          <w:type w:val="continuous"/>
        </w:sectPr>
      </w:pPr>
    </w:p>
    <w:p>
      <w:pPr>
        <w:spacing w:after="0" w:line="118" w:lineRule="exact"/>
        <w:rPr>
          <w:sz w:val="20"/>
          <w:szCs w:val="20"/>
          <w:color w:val="auto"/>
        </w:rPr>
      </w:pPr>
    </w:p>
    <w:p>
      <w:pPr>
        <w:ind w:left="780" w:hanging="249"/>
        <w:spacing w:after="0"/>
        <w:tabs>
          <w:tab w:leader="none" w:pos="7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will split the newly issued common membership units into the number of units necessary to allow National CineMedia, Inc. to acquire</w:t>
      </w:r>
    </w:p>
    <w:p>
      <w:pPr>
        <w:sectPr>
          <w:pgSz w:w="11900" w:h="16838" w:orient="portrait"/>
          <w:cols w:equalWidth="0" w:num="1">
            <w:col w:w="11380"/>
          </w:cols>
          <w:pgMar w:left="240" w:top="460" w:right="279" w:bottom="1440" w:gutter="0" w:footer="0" w:header="0"/>
          <w:type w:val="continuous"/>
        </w:sectPr>
      </w:pPr>
    </w:p>
    <w:p>
      <w:pPr>
        <w:spacing w:after="0" w:line="38" w:lineRule="exact"/>
        <w:rPr>
          <w:sz w:val="20"/>
          <w:szCs w:val="20"/>
          <w:color w:val="auto"/>
        </w:rPr>
      </w:pPr>
    </w:p>
    <w:p>
      <w:pPr>
        <w:ind w:left="780" w:right="500"/>
        <w:spacing w:after="0" w:line="261" w:lineRule="auto"/>
        <w:rPr>
          <w:sz w:val="20"/>
          <w:szCs w:val="20"/>
          <w:color w:val="auto"/>
        </w:rPr>
      </w:pPr>
      <w:r>
        <w:rPr>
          <w:rFonts w:ascii="Arial" w:cs="Arial" w:eastAsia="Arial" w:hAnsi="Arial"/>
          <w:sz w:val="18"/>
          <w:szCs w:val="18"/>
          <w:color w:val="auto"/>
        </w:rPr>
        <w:t>one common membership unit of the Company for each share issued in the IPO and achieve an approximate % ownership interest in the Company.</w:t>
      </w:r>
    </w:p>
    <w:p>
      <w:pPr>
        <w:sectPr>
          <w:pgSz w:w="11900" w:h="16838" w:orient="portrait"/>
          <w:cols w:equalWidth="0" w:num="1">
            <w:col w:w="11380"/>
          </w:cols>
          <w:pgMar w:left="240" w:top="460" w:right="279" w:bottom="1440" w:gutter="0" w:footer="0" w:header="0"/>
          <w:type w:val="continuous"/>
        </w:sectPr>
      </w:pPr>
    </w:p>
    <w:p>
      <w:pPr>
        <w:spacing w:after="0" w:line="57" w:lineRule="exact"/>
        <w:rPr>
          <w:sz w:val="20"/>
          <w:szCs w:val="20"/>
          <w:color w:val="auto"/>
        </w:rPr>
      </w:pPr>
    </w:p>
    <w:p>
      <w:pPr>
        <w:jc w:val="both"/>
        <w:ind w:left="780" w:right="320" w:hanging="249"/>
        <w:spacing w:after="0" w:line="259"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National CineMedia, Inc. will become a member and the managing member of the Company upon their purchase of common membership units as described above at a price per share equal to the IPO offering price of National CineMedia, Inc. common stock, net of underwriting discounts and commissions.</w:t>
      </w:r>
    </w:p>
    <w:p>
      <w:pPr>
        <w:spacing w:after="0" w:line="59" w:lineRule="exact"/>
        <w:rPr>
          <w:rFonts w:ascii="Arial" w:cs="Arial" w:eastAsia="Arial" w:hAnsi="Arial"/>
          <w:sz w:val="18"/>
          <w:szCs w:val="18"/>
          <w:color w:val="auto"/>
        </w:rPr>
      </w:pPr>
    </w:p>
    <w:p>
      <w:pPr>
        <w:ind w:left="780" w:right="360" w:hanging="249"/>
        <w:spacing w:after="0" w:line="357" w:lineRule="auto"/>
        <w:tabs>
          <w:tab w:leader="none" w:pos="7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Company will pay the proceeds from the sale of common membership units to National CineMedia, Inc. to the Founding Members in consideration of the Members agreeing to change the terms of the ESAs in a transaction accounted for as a distribution to the Founding Members.</w:t>
      </w:r>
    </w:p>
    <w:p>
      <w:pPr>
        <w:ind w:left="780" w:hanging="249"/>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will be borrowed under a new senior credit facility, the net proceeds of which will be used to repay the Company’s</w:t>
      </w:r>
    </w:p>
    <w:p>
      <w:pPr>
        <w:spacing w:after="0" w:line="1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existing bank debt and to pay approximately $</w:t>
      </w:r>
      <w:r>
        <w:rPr>
          <w:rFonts w:ascii="Arial" w:cs="Arial" w:eastAsia="Arial" w:hAnsi="Arial"/>
          <w:sz w:val="15"/>
          <w:szCs w:val="15"/>
          <w:color w:val="auto"/>
        </w:rPr>
        <w:t>million to the Founding Members to redeem the newly created preferred membership units.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pro forma balance sheet presented in the financial statements reflects the impact of the above transactions on the historic balance sheet as if they had occurred on June 29, 2006.</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REGISTERED INDEPENDENT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Cinema Network, Inc.:</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audited the accompanying statements of operations, stockholder’s equity, and cash flows of National Cinema Network, Inc. (a wholly owned subsidiary of AMC Entertainment Inc.) for the period December 24, 2004 through March 31, 2005 (Successor Company operations), and for the period April 2, 2004 through December 23, 2004 and the year ended April 1, 2004 (Predecessor Company operations).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our opinion, the Successor Company financial statements present fairly, in all material respects, the results of operations, stockholder’s equity, and cash flows of National Cinema Network, Inc. for the period December 24, 2004 through March 31, 2005 in conformity with accounting principles generally accepted in the United States of America. Further, in our opinion, the Predecessor Company financial statements referred to above present fairly, in all material respects, the results of operations, stockholder’s equity, and cash flows for the period April 2, 2004 through December 23, 2004 and the year ended April 1, 2004 in conformity with accounting principles generally accepted in the United States of America.</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10,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36" w:lineRule="exact"/>
        <w:rPr>
          <w:sz w:val="20"/>
          <w:szCs w:val="20"/>
          <w:color w:val="auto"/>
        </w:rPr>
      </w:pPr>
    </w:p>
    <w:p>
      <w:pPr>
        <w:jc w:val="both"/>
        <w:ind w:left="440" w:right="1000"/>
        <w:spacing w:after="0" w:line="317" w:lineRule="auto"/>
        <w:rPr>
          <w:sz w:val="20"/>
          <w:szCs w:val="20"/>
          <w:color w:val="auto"/>
        </w:rPr>
      </w:pPr>
      <w:r>
        <w:rPr>
          <w:rFonts w:ascii="Arial" w:cs="Arial" w:eastAsia="Arial" w:hAnsi="Arial"/>
          <w:sz w:val="16"/>
          <w:szCs w:val="16"/>
          <w:color w:val="auto"/>
        </w:rPr>
        <w:t>Circuit costs—Related Party Advertising operating costs Network costs</w:t>
      </w:r>
    </w:p>
    <w:p>
      <w:pPr>
        <w:ind w:left="440"/>
        <w:spacing w:after="0"/>
        <w:rPr>
          <w:sz w:val="20"/>
          <w:szCs w:val="20"/>
          <w:color w:val="auto"/>
        </w:rPr>
      </w:pPr>
      <w:r>
        <w:rPr>
          <w:rFonts w:ascii="Arial" w:cs="Arial" w:eastAsia="Arial" w:hAnsi="Arial"/>
          <w:sz w:val="18"/>
          <w:szCs w:val="18"/>
          <w:color w:val="auto"/>
        </w:rPr>
        <w:t>Selling and marketing expense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Office closure expense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charge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(gain) on disposition of assets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EARNING (LOSS) BEFORE INCOME TAXES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NATIONAL CINEMA NETWORK,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-661670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89"/>
              </w:rPr>
              <w:t>April 2, 2004</w:t>
            </w:r>
          </w:p>
        </w:tc>
        <w:tc>
          <w:tcPr>
            <w:tcW w:w="54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24,</w:t>
            </w:r>
          </w:p>
        </w:tc>
      </w:tr>
      <w:tr>
        <w:trPr>
          <w:trHeight w:val="149"/>
        </w:trPr>
        <w:tc>
          <w:tcPr>
            <w:tcW w:w="12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through</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1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540" w:type="dxa"/>
            <w:vAlign w:val="bottom"/>
            <w:tcBorders>
              <w:right w:val="single" w:sz="8" w:color="auto"/>
            </w:tcBorders>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23,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 2004</w:t>
            </w:r>
          </w:p>
        </w:tc>
        <w:tc>
          <w:tcPr>
            <w:tcW w:w="140" w:type="dxa"/>
            <w:vAlign w:val="bottom"/>
          </w:tcPr>
          <w:p>
            <w:pPr>
              <w:spacing w:after="0"/>
              <w:rPr>
                <w:sz w:val="12"/>
                <w:szCs w:val="12"/>
                <w:color w:val="auto"/>
              </w:rPr>
            </w:pPr>
          </w:p>
        </w:tc>
        <w:tc>
          <w:tcPr>
            <w:tcW w:w="6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3"/>
              </w:rPr>
              <w:t>2004</w:t>
            </w:r>
          </w:p>
        </w:tc>
        <w:tc>
          <w:tcPr>
            <w:tcW w:w="7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March 31, 2005</w:t>
            </w:r>
          </w:p>
        </w:tc>
      </w:tr>
      <w:tr>
        <w:trPr>
          <w:trHeight w:val="175"/>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54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4"/>
                <w:szCs w:val="14"/>
                <w:b w:val="1"/>
                <w:bCs w:val="1"/>
                <w:color w:val="auto"/>
                <w:w w:val="83"/>
              </w:rPr>
              <w:t>(Predecessor)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(Successor)</w:t>
            </w: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69.9</w:t>
            </w:r>
          </w:p>
        </w:tc>
        <w:tc>
          <w:tcPr>
            <w:tcW w:w="6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56.5</w:t>
            </w:r>
          </w:p>
        </w:tc>
        <w:tc>
          <w:tcPr>
            <w:tcW w:w="5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35"/>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r>
      <w:tr>
        <w:trPr>
          <w:trHeight w:val="244"/>
        </w:trPr>
        <w:tc>
          <w:tcPr>
            <w:tcW w:w="120" w:type="dxa"/>
            <w:vAlign w:val="bottom"/>
          </w:tcPr>
          <w:p>
            <w:pPr>
              <w:spacing w:after="0"/>
              <w:rPr>
                <w:sz w:val="21"/>
                <w:szCs w:val="21"/>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66.6</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49.2</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1"/>
                <w:szCs w:val="2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87"/>
        </w:trPr>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00"/>
        <w:spacing w:after="0"/>
        <w:rPr>
          <w:sz w:val="20"/>
          <w:szCs w:val="20"/>
          <w:color w:val="auto"/>
        </w:rPr>
      </w:pPr>
      <w:r>
        <w:rPr>
          <w:rFonts w:ascii="Arial" w:cs="Arial" w:eastAsia="Arial" w:hAnsi="Arial"/>
          <w:sz w:val="15"/>
          <w:szCs w:val="15"/>
          <w:color w:val="auto"/>
        </w:rPr>
        <w:t>See accompanying notes to financial statements.</w:t>
      </w:r>
    </w:p>
    <w:p>
      <w:pPr>
        <w:spacing w:after="0" w:line="192" w:lineRule="exact"/>
        <w:rPr>
          <w:sz w:val="20"/>
          <w:szCs w:val="20"/>
          <w:color w:val="auto"/>
        </w:rPr>
      </w:pPr>
    </w:p>
    <w:p>
      <w:pPr>
        <w:jc w:val="center"/>
        <w:ind w:right="4000"/>
        <w:spacing w:after="0"/>
        <w:rPr>
          <w:sz w:val="20"/>
          <w:szCs w:val="20"/>
          <w:color w:val="auto"/>
        </w:rPr>
      </w:pPr>
      <w:r>
        <w:rPr>
          <w:rFonts w:ascii="Arial" w:cs="Arial" w:eastAsia="Arial" w:hAnsi="Arial"/>
          <w:sz w:val="18"/>
          <w:szCs w:val="18"/>
          <w:color w:val="auto"/>
        </w:rPr>
        <w:t>F-30</w:t>
      </w:r>
    </w:p>
    <w:p>
      <w:pPr>
        <w:sectPr>
          <w:pgSz w:w="11900" w:h="16838" w:orient="portrait"/>
          <w:cols w:equalWidth="0" w:num="2">
            <w:col w:w="3440" w:space="580"/>
            <w:col w:w="740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Common Stock</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Retained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94"/>
              <w:spacing w:after="0" w:line="148"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9"/>
              </w:rPr>
              <w:t>Paid-In</w:t>
            </w:r>
          </w:p>
        </w:tc>
        <w:tc>
          <w:tcPr>
            <w:tcW w:w="2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56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Predecessor From April 3, 2003 Through</w:t>
            </w:r>
          </w:p>
        </w:tc>
        <w:tc>
          <w:tcPr>
            <w:tcW w:w="300" w:type="dxa"/>
            <w:vAlign w:val="bottom"/>
          </w:tcPr>
          <w:p>
            <w:pPr>
              <w:spacing w:after="0"/>
              <w:rPr>
                <w:sz w:val="14"/>
                <w:szCs w:val="14"/>
                <w:color w:val="auto"/>
              </w:rPr>
            </w:pPr>
          </w:p>
        </w:tc>
        <w:tc>
          <w:tcPr>
            <w:tcW w:w="11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8"/>
              </w:rPr>
              <w:t>Shares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Capital</w:t>
            </w:r>
          </w:p>
        </w:tc>
        <w:tc>
          <w:tcPr>
            <w:tcW w:w="2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Deficit)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December 23, 2004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940" w:type="dxa"/>
            <w:vAlign w:val="bottom"/>
          </w:tcPr>
          <w:p>
            <w:pPr>
              <w:spacing w:after="0"/>
              <w:rPr>
                <w:sz w:val="20"/>
                <w:szCs w:val="20"/>
                <w:color w:val="auto"/>
              </w:rPr>
            </w:pPr>
            <w:r>
              <w:rPr>
                <w:rFonts w:ascii="Arial" w:cs="Arial" w:eastAsia="Arial" w:hAnsi="Arial"/>
                <w:sz w:val="18"/>
                <w:szCs w:val="18"/>
                <w:color w:val="auto"/>
              </w:rPr>
              <w:t>BALANCE—April 3, 2003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(1.7)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Comprehensive loss—net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w w:val="79"/>
              </w:rPr>
              <w:t>1.9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BALANCE—April 1, 2004</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Comprehensive loss—net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Arial" w:cs="Arial" w:eastAsia="Arial" w:hAnsi="Arial"/>
                <w:sz w:val="18"/>
                <w:szCs w:val="18"/>
                <w:color w:val="auto"/>
                <w:w w:val="79"/>
              </w:rPr>
              <w:t>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BALANCE—Prior to merger transaction</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Elimination of Predecessor Company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66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(1,000)</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BALANCE—December 23, 2004</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w w:val="93"/>
              </w:rPr>
              <w:t>Successor From Inception on December 24, 2004</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Through March 31, 2005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940" w:type="dxa"/>
            <w:vAlign w:val="bottom"/>
          </w:tcPr>
          <w:p>
            <w:pPr>
              <w:spacing w:after="0"/>
              <w:rPr>
                <w:sz w:val="20"/>
                <w:szCs w:val="20"/>
                <w:color w:val="auto"/>
              </w:rPr>
            </w:pPr>
            <w:r>
              <w:rPr>
                <w:rFonts w:ascii="Arial" w:cs="Arial" w:eastAsia="Arial" w:hAnsi="Arial"/>
                <w:sz w:val="18"/>
                <w:szCs w:val="18"/>
                <w:color w:val="auto"/>
              </w:rPr>
              <w:t>BALANCE—December 24, 2004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Comprehensive loss—net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Capital contribution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880"/>
              <w:spacing w:after="0"/>
              <w:rPr>
                <w:sz w:val="20"/>
                <w:szCs w:val="20"/>
                <w:color w:val="auto"/>
              </w:rPr>
            </w:pPr>
            <w:r>
              <w:rPr>
                <w:rFonts w:ascii="Arial" w:cs="Arial" w:eastAsia="Arial" w:hAnsi="Arial"/>
                <w:sz w:val="18"/>
                <w:szCs w:val="18"/>
                <w:color w:val="auto"/>
              </w:rPr>
              <w:t>AMC Entertainment Inc.</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BALANCE—March 31, 2005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32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(0.9)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02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 (loss)</w:t>
      </w:r>
    </w:p>
    <w:p>
      <w:pPr>
        <w:spacing w:after="0" w:line="36" w:lineRule="exact"/>
        <w:rPr>
          <w:sz w:val="20"/>
          <w:szCs w:val="20"/>
          <w:color w:val="auto"/>
        </w:rPr>
      </w:pPr>
    </w:p>
    <w:p>
      <w:pPr>
        <w:ind w:left="660" w:right="240" w:hanging="215"/>
        <w:spacing w:after="0" w:line="254" w:lineRule="auto"/>
        <w:rPr>
          <w:sz w:val="20"/>
          <w:szCs w:val="20"/>
          <w:color w:val="auto"/>
        </w:rPr>
      </w:pPr>
      <w:r>
        <w:rPr>
          <w:rFonts w:ascii="Arial" w:cs="Arial" w:eastAsia="Arial" w:hAnsi="Arial"/>
          <w:sz w:val="18"/>
          <w:szCs w:val="18"/>
          <w:color w:val="auto"/>
        </w:rPr>
        <w:t>Adjustments to reconcile net income (loss) to net cash provided by (used in) operating activities:</w:t>
      </w:r>
    </w:p>
    <w:p>
      <w:pPr>
        <w:ind w:left="440"/>
        <w:spacing w:after="0"/>
        <w:rPr>
          <w:sz w:val="20"/>
          <w:szCs w:val="20"/>
          <w:color w:val="auto"/>
        </w:rPr>
      </w:pPr>
      <w:r>
        <w:rPr>
          <w:rFonts w:ascii="Arial" w:cs="Arial" w:eastAsia="Arial" w:hAnsi="Arial"/>
          <w:sz w:val="18"/>
          <w:szCs w:val="18"/>
          <w:color w:val="auto"/>
        </w:rPr>
        <w:t>Stock-based compensation</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(gain) on disposition of assets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assets and liabilities: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assets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liabilities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(used in)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 expenditures</w:t>
      </w:r>
    </w:p>
    <w:p>
      <w:pPr>
        <w:spacing w:after="0" w:line="36" w:lineRule="exact"/>
        <w:rPr>
          <w:sz w:val="20"/>
          <w:szCs w:val="20"/>
          <w:color w:val="auto"/>
        </w:rPr>
      </w:pPr>
    </w:p>
    <w:p>
      <w:pPr>
        <w:ind w:left="880" w:right="1640" w:hanging="431"/>
        <w:spacing w:after="0" w:line="352" w:lineRule="auto"/>
        <w:rPr>
          <w:sz w:val="20"/>
          <w:szCs w:val="20"/>
          <w:color w:val="auto"/>
        </w:rPr>
      </w:pPr>
      <w:r>
        <w:rPr>
          <w:rFonts w:ascii="Arial" w:cs="Arial" w:eastAsia="Arial" w:hAnsi="Arial"/>
          <w:sz w:val="16"/>
          <w:szCs w:val="16"/>
          <w:color w:val="auto"/>
        </w:rPr>
        <w:t>Proceeds from disposition of long-term assets Net cash provided by investing activities</w:t>
      </w:r>
    </w:p>
    <w:p>
      <w:pPr>
        <w:spacing w:after="0" w:line="1" w:lineRule="exact"/>
        <w:rPr>
          <w:sz w:val="20"/>
          <w:szCs w:val="20"/>
          <w:color w:val="auto"/>
        </w:rPr>
      </w:pPr>
    </w:p>
    <w:p>
      <w:pPr>
        <w:ind w:left="220" w:hanging="215"/>
        <w:spacing w:after="0" w:line="266" w:lineRule="auto"/>
        <w:rPr>
          <w:sz w:val="20"/>
          <w:szCs w:val="20"/>
          <w:color w:val="auto"/>
        </w:rPr>
      </w:pPr>
      <w:r>
        <w:rPr>
          <w:rFonts w:ascii="Arial" w:cs="Arial" w:eastAsia="Arial" w:hAnsi="Arial"/>
          <w:sz w:val="18"/>
          <w:szCs w:val="18"/>
          <w:color w:val="auto"/>
        </w:rPr>
        <w:t>CASH FLOWS FROM FINANCING ACTIVITIES—Increase (decrease) in Due from Parent</w:t>
      </w:r>
    </w:p>
    <w:p>
      <w:pPr>
        <w:ind w:right="660"/>
        <w:spacing w:after="0" w:line="334" w:lineRule="auto"/>
        <w:rPr>
          <w:sz w:val="20"/>
          <w:szCs w:val="20"/>
          <w:color w:val="auto"/>
        </w:rPr>
      </w:pPr>
      <w:r>
        <w:rPr>
          <w:rFonts w:ascii="Arial" w:cs="Arial" w:eastAsia="Arial" w:hAnsi="Arial"/>
          <w:sz w:val="16"/>
          <w:szCs w:val="16"/>
          <w:color w:val="auto"/>
        </w:rPr>
        <w:t>NET INCREASE (DECREASE) IN CASH AND EQUIVALENTS CASH AND EQUIVALENTS—Beginning of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EQUIVALENTS—End of year</w:t>
      </w:r>
    </w:p>
    <w:p>
      <w:pPr>
        <w:spacing w:after="0" w:line="90" w:lineRule="exact"/>
        <w:rPr>
          <w:sz w:val="20"/>
          <w:szCs w:val="20"/>
          <w:color w:val="auto"/>
        </w:rPr>
      </w:pPr>
    </w:p>
    <w:p>
      <w:pPr>
        <w:ind w:left="220" w:right="140" w:hanging="215"/>
        <w:spacing w:after="0" w:line="268" w:lineRule="auto"/>
        <w:rPr>
          <w:sz w:val="20"/>
          <w:szCs w:val="20"/>
          <w:color w:val="auto"/>
        </w:rPr>
      </w:pPr>
      <w:r>
        <w:rPr>
          <w:rFonts w:ascii="Arial" w:cs="Arial" w:eastAsia="Arial" w:hAnsi="Arial"/>
          <w:sz w:val="18"/>
          <w:szCs w:val="18"/>
          <w:color w:val="auto"/>
        </w:rPr>
        <w:t>SUPPLEMENTAL DISCLOSURE OF CASH FLOW INFORMATION— Cash paid for income taxes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4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4"/>
              </w:rPr>
              <w:t>52 weeks</w:t>
            </w:r>
          </w:p>
        </w:tc>
        <w:tc>
          <w:tcPr>
            <w:tcW w:w="120" w:type="dxa"/>
            <w:vAlign w:val="bottom"/>
          </w:tcPr>
          <w:p>
            <w:pPr>
              <w:spacing w:after="0"/>
              <w:rPr>
                <w:sz w:val="14"/>
                <w:szCs w:val="14"/>
                <w:color w:val="auto"/>
              </w:rPr>
            </w:pPr>
          </w:p>
        </w:tc>
        <w:tc>
          <w:tcPr>
            <w:tcW w:w="180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4"/>
                <w:szCs w:val="14"/>
                <w:b w:val="1"/>
                <w:bCs w:val="1"/>
                <w:color w:val="auto"/>
                <w:w w:val="92"/>
              </w:rPr>
              <w:t>April 2, 2004</w:t>
            </w:r>
          </w:p>
        </w:tc>
        <w:tc>
          <w:tcPr>
            <w:tcW w:w="6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24, 2004</w:t>
            </w:r>
          </w:p>
        </w:tc>
      </w:tr>
      <w:tr>
        <w:trPr>
          <w:trHeight w:val="149"/>
        </w:trPr>
        <w:tc>
          <w:tcPr>
            <w:tcW w:w="100" w:type="dxa"/>
            <w:vAlign w:val="bottom"/>
          </w:tcPr>
          <w:p>
            <w:pPr>
              <w:spacing w:after="0"/>
              <w:rPr>
                <w:sz w:val="12"/>
                <w:szCs w:val="12"/>
                <w:color w:val="auto"/>
              </w:rPr>
            </w:pPr>
          </w:p>
        </w:tc>
        <w:tc>
          <w:tcPr>
            <w:tcW w:w="1400" w:type="dxa"/>
            <w:vAlign w:val="bottom"/>
            <w:gridSpan w:val="3"/>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800" w:type="dxa"/>
            <w:vAlign w:val="bottom"/>
            <w:tcBorders>
              <w:right w:val="single" w:sz="8" w:color="auto"/>
            </w:tcBorders>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through</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1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April 1, 2004</w:t>
            </w:r>
          </w:p>
        </w:tc>
        <w:tc>
          <w:tcPr>
            <w:tcW w:w="19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23, 2004</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March 31, 2005</w:t>
            </w:r>
          </w:p>
        </w:tc>
      </w:tr>
      <w:tr>
        <w:trPr>
          <w:trHeight w:val="161"/>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(Predecessor)</w:t>
            </w:r>
          </w:p>
        </w:tc>
        <w:tc>
          <w:tcPr>
            <w:tcW w:w="72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(Predecessor)</w:t>
            </w:r>
          </w:p>
        </w:tc>
        <w:tc>
          <w:tcPr>
            <w:tcW w:w="84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Pr>
          <w:p>
            <w:pPr>
              <w:spacing w:after="0"/>
              <w:rPr>
                <w:sz w:val="14"/>
                <w:szCs w:val="14"/>
                <w:color w:val="auto"/>
              </w:rPr>
            </w:pPr>
          </w:p>
        </w:tc>
      </w:tr>
      <w:tr>
        <w:trPr>
          <w:trHeight w:val="478"/>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840" w:type="dxa"/>
            <w:vAlign w:val="bottom"/>
            <w:tcBorders>
              <w:right w:val="single" w:sz="8" w:color="auto"/>
            </w:tcBorders>
          </w:tcPr>
          <w:p>
            <w:pPr>
              <w:spacing w:after="0"/>
              <w:rPr>
                <w:sz w:val="24"/>
                <w:szCs w:val="24"/>
                <w:color w:val="auto"/>
              </w:rPr>
            </w:pP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675"/>
        </w:trPr>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right w:val="single" w:sz="8" w:color="auto"/>
            </w:tcBorders>
            <w:gridSpan w:val="2"/>
          </w:tcPr>
          <w:p>
            <w:pPr>
              <w:jc w:val="right"/>
              <w:ind w:right="9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00" w:type="dxa"/>
            <w:vAlign w:val="bottom"/>
          </w:tcPr>
          <w:p>
            <w:pPr>
              <w:spacing w:after="0"/>
              <w:rPr>
                <w:sz w:val="21"/>
                <w:szCs w:val="21"/>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43"/>
        </w:trPr>
        <w:tc>
          <w:tcPr>
            <w:tcW w:w="100" w:type="dxa"/>
            <w:vAlign w:val="bottom"/>
          </w:tcPr>
          <w:p>
            <w:pPr>
              <w:spacing w:after="0"/>
              <w:rPr>
                <w:sz w:val="21"/>
                <w:szCs w:val="21"/>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86"/>
        </w:trPr>
        <w:tc>
          <w:tcPr>
            <w:tcW w:w="100" w:type="dxa"/>
            <w:vAlign w:val="bottom"/>
          </w:tcPr>
          <w:p>
            <w:pPr>
              <w:spacing w:after="0"/>
              <w:rPr>
                <w:sz w:val="24"/>
                <w:szCs w:val="2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(11.9)</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43"/>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43"/>
        </w:trPr>
        <w:tc>
          <w:tcPr>
            <w:tcW w:w="100" w:type="dxa"/>
            <w:vAlign w:val="bottom"/>
          </w:tcPr>
          <w:p>
            <w:pPr>
              <w:spacing w:after="0"/>
              <w:rPr>
                <w:sz w:val="21"/>
                <w:szCs w:val="21"/>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9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44"/>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729"/>
        </w:trPr>
        <w:tc>
          <w:tcPr>
            <w:tcW w:w="100" w:type="dxa"/>
            <w:vAlign w:val="bottom"/>
          </w:tcPr>
          <w:p>
            <w:pPr>
              <w:spacing w:after="0"/>
              <w:rPr>
                <w:sz w:val="24"/>
                <w:szCs w:val="2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800" w:type="dxa"/>
            <w:vAlign w:val="bottom"/>
            <w:tcBorders>
              <w:right w:val="single" w:sz="8" w:color="auto"/>
            </w:tcBorders>
            <w:gridSpan w:val="2"/>
          </w:tcPr>
          <w:p>
            <w:pPr>
              <w:jc w:val="right"/>
              <w:ind w:right="9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4"/>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00" w:type="dxa"/>
            <w:vAlign w:val="bottom"/>
          </w:tcPr>
          <w:p>
            <w:pPr>
              <w:spacing w:after="0"/>
              <w:rPr>
                <w:sz w:val="24"/>
                <w:szCs w:val="2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9"/>
        </w:trPr>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4"/>
        </w:trPr>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spacing w:after="0"/>
              <w:rPr>
                <w:sz w:val="21"/>
                <w:szCs w:val="21"/>
                <w:color w:val="auto"/>
              </w:rPr>
            </w:pP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840" w:type="dxa"/>
            <w:vAlign w:val="bottom"/>
            <w:tcBorders>
              <w:right w:val="single" w:sz="8" w:color="auto"/>
            </w:tcBorders>
          </w:tcPr>
          <w:p>
            <w:pPr>
              <w:spacing w:after="0"/>
              <w:rPr>
                <w:sz w:val="24"/>
                <w:szCs w:val="24"/>
                <w:color w:val="auto"/>
              </w:rPr>
            </w:pP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80" w:space="700"/>
            <w:col w:w="522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accompanying notes to financial statements.</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00"/>
          </w:cols>
          <w:pgMar w:left="240" w:top="459" w:right="35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ind w:right="2540" w:firstLine="2604"/>
        <w:spacing w:after="0" w:line="387" w:lineRule="auto"/>
        <w:rPr>
          <w:sz w:val="20"/>
          <w:szCs w:val="20"/>
          <w:color w:val="auto"/>
        </w:rPr>
      </w:pPr>
      <w:r>
        <w:rPr>
          <w:rFonts w:ascii="Arial" w:cs="Arial" w:eastAsia="Arial" w:hAnsi="Arial"/>
          <w:sz w:val="18"/>
          <w:szCs w:val="18"/>
          <w:b w:val="1"/>
          <w:bCs w:val="1"/>
          <w:color w:val="auto"/>
        </w:rPr>
        <w:t>PERIODS ENDED MARCH 31, 2005, DECEMBER 23, 2004, AND APRIL 1, 2004 1. THE COMPANY AND BASIS OF PRESENTATION:</w:t>
      </w:r>
    </w:p>
    <w:p>
      <w:pPr>
        <w:spacing w:after="0" w:line="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National Cinema Network, Inc. (“NCN” or the “Company”), a wholly owned subsidiary of AMC Entertainment Inc. (“AMC”), is principally involved in “in-theatre advertising.” NCN provides both a slide program and a “Pre-Show Countdown” program. The slide program is comprised of “On-Screen Entertainment” (such as trivia questions and facts) and commercial advertising. This program runs before feature films. The “Pre-Show Countdown” program is on-screen advertising intended to run during the seating period immediately prior to the advertised show time. The Company also provides: in-theatre audio which is played in the theatre complex; internet advertising; and other promotional in-theatre products. Programs run in theatres throughout the United States.</w:t>
      </w:r>
    </w:p>
    <w:p>
      <w:pPr>
        <w:spacing w:after="0" w:line="116" w:lineRule="exact"/>
        <w:rPr>
          <w:sz w:val="20"/>
          <w:szCs w:val="20"/>
          <w:color w:val="auto"/>
        </w:rPr>
      </w:pPr>
    </w:p>
    <w:p>
      <w:pPr>
        <w:jc w:val="both"/>
        <w:ind w:right="180" w:firstLine="456"/>
        <w:spacing w:after="0" w:line="283" w:lineRule="auto"/>
        <w:rPr>
          <w:sz w:val="20"/>
          <w:szCs w:val="20"/>
          <w:color w:val="auto"/>
        </w:rPr>
      </w:pPr>
      <w:r>
        <w:rPr>
          <w:rFonts w:ascii="Arial" w:cs="Arial" w:eastAsia="Arial" w:hAnsi="Arial"/>
          <w:sz w:val="16"/>
          <w:szCs w:val="16"/>
          <w:color w:val="auto"/>
        </w:rPr>
        <w:t>Effective April 1, 2005, AMC and Regal Entertainment Group (“REG”) combined their respective cinema screen advertising businesses into a new joint venture (the ”Joint Venture”) company called National CineMedia, LLC (“NCM”). The new company engages in the marketing and sale of cinema advertising and promotions products; business communications and training services; and the distribution of digital alternative content. AMC contributed fixed assets and exhibitor agreements of NCN to NCM. In consideration of the NCN contributions described above, NCM, issued a 37% interest in its Class A units to NCN.</w:t>
      </w:r>
    </w:p>
    <w:p>
      <w:pPr>
        <w:spacing w:after="0" w:line="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Subsequent to March 31, 2005, NCM received a $7.3 million cash contribution from Cinemark Media Inc. for an ownership interest in NCM, reducing NCN’s ownership interest in the Joint Venture to 29%.</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REG received 63% of the membership interests in NCM at its formation REG was deemed to be the “acquiring entity” and NCN was deemed to be the “acquired entity” under the rules and regulations of the Securities and Exchange Commission (“SEC”). The financial statements presented herein are those required by Regulation S-X, Rule 3.05, of the SEC, for an “acquired entity.”</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financial statements include the accounts of the NCN business contributed to NCM, and exclude the accounts of its subsidiary, National Cinema Network of Canada, Inc., and other minor business activities not contributed to NCM.</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AMC completed a merger on December 23, 2004, in which Marquee Holdings Inc. (“Holdings”) acquired AMC (the “Predecessor”). Upon the consummation of the merger between Marquee and AMC on December 23, 2004, Marquee merged with and into AMC, with AMC as the surviving reporting entity (the ”Successor”). The merger was treated as a purchase with Marquee being the “accounting acquirer” in accordance with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a result, the Successor applied the purchase method of accounting to the separable assets, including goodwill, and liabilities of the accounting acquiree, AMC and its subsidiaries, including NCN, as of December 23, 2004. The financial statements presented herein reflect the Successor’s application of purchase accounting for the period from December 24, 2004 through March 31, 2005.</w:t>
      </w:r>
    </w:p>
    <w:p>
      <w:pPr>
        <w:spacing w:after="0" w:line="12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—The Company has a 52/53 week fiscal year ending on the Thursday closest to the last day of March. Both the 2005 and 2004 fiscal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a 52 week period, with fiscal 2005 being separated into NCN as subsidiary of Successor for the 14 weeks from December 24, 2004 through March 31, 2005, and NCN as subsidiary of Predecessor for the 38 weeks from April 2, 2004 through December 23, 2004.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DECEMBER 23, 2004, AND APRIL 1, 2004</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Revenue Recognition and Circuit Agreements</w:t>
      </w:r>
      <w:r>
        <w:rPr>
          <w:rFonts w:ascii="Arial" w:cs="Arial" w:eastAsia="Arial" w:hAnsi="Arial"/>
          <w:sz w:val="16"/>
          <w:szCs w:val="16"/>
          <w:color w:val="auto"/>
        </w:rPr>
        <w:t>—The Company recognizes revenues related to on-screen advertising over the period the related advertising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delivered on-screen or in-theatre pursuant to the specific terms of its agreements with advertisers. NCN operates its advertising program through agreements with AMC and with other theatre circuits. These circuit agreements stipulate the amount of circuit payments a theatre will receive for running on-screen slides, on-film programs and other related in-theatre products and services. The Company’s circuit agreements have terms of 1 to 5 years, with an annual cancellation provision included in select agreements. Certain circuits have agreements requiring an annual minimum exhibitor share payment. The Company recognizes the minimum exhibitor share payments as an expense on a straight-line basis over the terms of the agreements and any excess minimum exhibitor share payments are recognized when earned.</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Office Closure Expense and Restructuring Charges</w:t>
      </w:r>
      <w:r>
        <w:rPr>
          <w:rFonts w:ascii="Arial" w:cs="Arial" w:eastAsia="Arial" w:hAnsi="Arial"/>
          <w:sz w:val="15"/>
          <w:szCs w:val="15"/>
          <w:color w:val="auto"/>
        </w:rPr>
        <w:t>—Office closure expense is primarily related to payments made or expected to be made to landlords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terminate a lease for office space that has been vacated. Offices are closed due to initiatives to reduce overhead costs by integrating the Company’s administrative functions into AMC’s home office location. Office closure expense is recognized at the time the office is vacated. Expected payments to landlords are accrued in full based on actual lease terms at discounted contractual amounts. Accretion expense for exit activities are included as a component of the office closure expense.</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recognizes restructuring charges based on the nature of the costs incurred. Costs resulting from one-time termination benefits where employees are not required to render future services are recognized as a liability when management commits to a plan of termination which identifies the number of employees to be terminated, their job classifications, locations, expected termination dates, date when the plan is to be communicated to the employees, and establishes the detailed terms of the benefits to be received by employees.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employees are required to render service until they are terminated in order to receive the termination benefits, the benefits are measured at the fair value of the costs and related liabilities at the communication date and are recognized ratably over the future service period from the communication date.</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March 2005, the Company recorded $0.8 million as a restructuring charge related to one-time termination benefits in connection with the announcement of the Joint Venture. During the period ended April 1, 2004, the Company recorded restructuring charges of $1.0 million primarily related to one-time termination benefits in connection with an initiative to reduce overhead costs by integrating the Company’s administrative functions into AMC’s home office location.</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Office closure expenses and restructuring charges following the contribution of NCN’s business to NCM are considered to have occurred subsequent to NCM’s formation and, therefore, are excluded from these financial statements.</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—The Company accounts for the stock options, restricted stock awards and deferred stock units under plans that AMC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sponsors following the recognition and measurement provisions of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No. 25”) and related interpretations. Stock-based employee compensation expense related to restricted stock awards and deferred stock units of $0.4 million was reflected in net income for fiscal 2004. There was no stock-based employee compensation expense related to restricted stock awards and deferred stock units for either period of fiscal 2005. No stock-based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DECEMBER 23, 2004, AND APRIL 1, 2004</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employee compensation expense for stock options was reflected in net income for fiscal 2005 and 2004, as all stock options granted under those plans had an exercise price equal to the fair market value of the underlying common stock on the date of grant.</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as if the fair value method had been applied to all stock awards and outstanding and unvested options in 2004 (in millions):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reported</w:t>
      </w:r>
    </w:p>
    <w:p>
      <w:pPr>
        <w:spacing w:after="0" w:line="36" w:lineRule="exact"/>
        <w:rPr>
          <w:sz w:val="20"/>
          <w:szCs w:val="20"/>
          <w:color w:val="auto"/>
        </w:rPr>
      </w:pPr>
    </w:p>
    <w:p>
      <w:pPr>
        <w:ind w:left="660" w:hanging="215"/>
        <w:spacing w:after="0" w:line="254" w:lineRule="auto"/>
        <w:rPr>
          <w:sz w:val="20"/>
          <w:szCs w:val="20"/>
          <w:color w:val="auto"/>
        </w:rPr>
      </w:pPr>
      <w:r>
        <w:rPr>
          <w:rFonts w:ascii="Arial" w:cs="Arial" w:eastAsia="Arial" w:hAnsi="Arial"/>
          <w:sz w:val="18"/>
          <w:szCs w:val="18"/>
          <w:color w:val="auto"/>
        </w:rPr>
        <w:t>Add stock based compensation expense included in reported net income—net of related tax effects</w:t>
      </w:r>
    </w:p>
    <w:p>
      <w:pPr>
        <w:ind w:left="660" w:right="280" w:hanging="215"/>
        <w:spacing w:after="0" w:line="261" w:lineRule="auto"/>
        <w:rPr>
          <w:sz w:val="20"/>
          <w:szCs w:val="20"/>
          <w:color w:val="auto"/>
        </w:rPr>
      </w:pPr>
      <w:r>
        <w:rPr>
          <w:rFonts w:ascii="Arial" w:cs="Arial" w:eastAsia="Arial" w:hAnsi="Arial"/>
          <w:sz w:val="18"/>
          <w:szCs w:val="18"/>
          <w:color w:val="auto"/>
        </w:rPr>
        <w:t>Deduct total stock-based compensation expense determined under fair value method for all awards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 forma</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April 2, 2004</w:t>
            </w:r>
          </w:p>
        </w:tc>
        <w:tc>
          <w:tcPr>
            <w:tcW w:w="74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24,</w:t>
            </w:r>
          </w:p>
        </w:tc>
      </w:tr>
      <w:tr>
        <w:trPr>
          <w:trHeight w:val="149"/>
        </w:trPr>
        <w:tc>
          <w:tcPr>
            <w:tcW w:w="12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52 weeks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through</w:t>
            </w:r>
          </w:p>
        </w:tc>
        <w:tc>
          <w:tcPr>
            <w:tcW w:w="7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23,</w:t>
            </w:r>
          </w:p>
        </w:tc>
        <w:tc>
          <w:tcPr>
            <w:tcW w:w="7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 2004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2004</w:t>
            </w:r>
          </w:p>
        </w:tc>
        <w:tc>
          <w:tcPr>
            <w:tcW w:w="7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March 31, 2005</w:t>
            </w:r>
          </w:p>
        </w:tc>
      </w:tr>
      <w:tr>
        <w:trPr>
          <w:trHeight w:val="175"/>
        </w:trPr>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(Predecessor)</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7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Pr>
          <w:p>
            <w:pPr>
              <w:spacing w:after="0"/>
              <w:rPr>
                <w:sz w:val="15"/>
                <w:szCs w:val="15"/>
                <w:color w:val="auto"/>
              </w:rPr>
            </w:pPr>
          </w:p>
        </w:tc>
      </w:tr>
      <w:tr>
        <w:trPr>
          <w:trHeight w:val="47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right w:val="single" w:sz="8" w:color="auto"/>
            </w:tcBorders>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w w:val="86"/>
              </w:rPr>
              <w:t>(0.9)</w:t>
            </w:r>
          </w:p>
        </w:tc>
      </w:tr>
      <w:tr>
        <w:trPr>
          <w:trHeight w:val="432"/>
        </w:trPr>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433"/>
        </w:trPr>
        <w:tc>
          <w:tcPr>
            <w:tcW w:w="1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0"/>
        </w:trPr>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right w:val="single" w:sz="8" w:color="auto"/>
            </w:tcBorders>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w w:val="86"/>
              </w:rPr>
              <w:t>(0.9)</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6080" w:space="700"/>
            <w:col w:w="4640"/>
          </w:cols>
          <w:pgMar w:left="240" w:top="460" w:right="239" w:bottom="1440" w:gutter="0" w:footer="0" w:header="0"/>
          <w:type w:val="continuous"/>
        </w:sect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—The Company joins with AMC in filing a consolidated U.S. Corporation Income Tax return and, in certain states, consolidated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returns. With respect to the consolidated federal and state income tax returns, the Company accrues income taxes to AMC as if the Company filed separate federal and state income tax returns. Deferred income taxes are provided to reflect the impact of temporary differences between the amount of assets and liabilities for financial reporting purposes and such amounts as measured by tax laws and regulations.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Capitalization of Internal Software Costs</w:t>
      </w:r>
      <w:r>
        <w:rPr>
          <w:rFonts w:ascii="Arial" w:cs="Arial" w:eastAsia="Arial" w:hAnsi="Arial"/>
          <w:sz w:val="18"/>
          <w:szCs w:val="18"/>
          <w:color w:val="auto"/>
        </w:rPr>
        <w:t>—In accordance with Statement of Position 98-1,</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the Costs of Computer Software Developed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Obtained for Internal Use</w:t>
      </w:r>
      <w:r>
        <w:rPr>
          <w:rFonts w:ascii="Arial" w:cs="Arial" w:eastAsia="Arial" w:hAnsi="Arial"/>
          <w:sz w:val="18"/>
          <w:szCs w:val="18"/>
          <w:color w:val="auto"/>
        </w:rPr>
        <w:t>, the Company capitalizes internally developed software costs. The costs are amortized on a straight-line basis over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for internal software costs was $-, $0.1 million and $0.6 million for the Successor period ended March 31, 2005, and the Predecessor periods ended December 23, 2004, and April 1, 2004, respectively.</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—The Company expenses advertising costs as incurred. Advertising expense was $0.2 million, $0.5 million and $1.1 million for the Successor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March 31, 2005, and the Predecessor periods ended December 23, 2004, and April 1, 2004, respectively, which is included in selling and marketing and in general and administrative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Company’s revenues are generated from approximately 5,000 theatre screens of which 63% are AMC screens. The total amount of slide and digital revenues earned from AMC screens for the Successor period ended March 31, 2005, was $5.2 million or 34% of the Company’s revenues. The total amount of Pre-Show revenue earned from AMC screens during the Successor period was $4.9 million or 32% of the Company’s revenues. The total amount of other in-theatre revenue earned from AMC screens for the Successor period was $2.3 million or 15% of the Company’s revenues. The AMC portion of circuit costs incurred by the Company for the Successor period was $5.5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PERIODS ENDED MARCH 31, 2005, DECEMBER 23, 2004, AND APRIL 1, 2004</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total amount of slide and digital revenues earned from AMC screens during the Predecessor period ended December 23, 2004, was $16.4 million or 29% of the Company’s revenues. The total amount of Pre-Show revenue earned from AMC screens during the period was $20.4 million or 36% of the Company’s revenues. The total amount of other in-theatre revenue earned from AMC screens for the period was $4.8 million or 9% of the Company’s revenues. The AMC portion of circuit costs for the period was $18.6 million.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Predecessor period ended April 1, 2004, the total amount of slide and digital revenues earned from AMC screens was $18.0 million, or 26% of the Company’s total revenues. The total amount of Pre-Show revenue earned from AMC screens in 2004 was $21.1 million or 30% of the Company’s revenues. The total amount of other in-theatre revenue earned from AMC screens for 2004 was $5.8 million or 8% of the Company’s revenues. The AMC portion of circuit costs for 2004 was $18.7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reflected in the Statement of Operations are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1"/>
              </w:rPr>
              <w:t>52 weeks</w:t>
            </w:r>
          </w:p>
        </w:tc>
        <w:tc>
          <w:tcPr>
            <w:tcW w:w="120" w:type="dxa"/>
            <w:vAlign w:val="bottom"/>
          </w:tcPr>
          <w:p>
            <w:pPr>
              <w:spacing w:after="0"/>
              <w:rPr>
                <w:sz w:val="14"/>
                <w:szCs w:val="14"/>
                <w:color w:val="auto"/>
              </w:rPr>
            </w:pPr>
          </w:p>
        </w:tc>
        <w:tc>
          <w:tcPr>
            <w:tcW w:w="180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4"/>
                <w:szCs w:val="14"/>
                <w:b w:val="1"/>
                <w:bCs w:val="1"/>
                <w:color w:val="auto"/>
                <w:w w:val="92"/>
              </w:rPr>
              <w:t>April 2, 2004</w:t>
            </w:r>
          </w:p>
        </w:tc>
        <w:tc>
          <w:tcPr>
            <w:tcW w:w="68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24, 2004</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800" w:type="dxa"/>
            <w:vAlign w:val="bottom"/>
            <w:tcBorders>
              <w:right w:val="single" w:sz="8" w:color="auto"/>
            </w:tcBorders>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through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5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April 1, 2004</w:t>
            </w:r>
          </w:p>
        </w:tc>
        <w:tc>
          <w:tcPr>
            <w:tcW w:w="1920" w:type="dxa"/>
            <w:vAlign w:val="bottom"/>
            <w:tcBorders>
              <w:right w:val="single" w:sz="8" w:color="auto"/>
            </w:tcBorders>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December 23, 2004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175"/>
        </w:trPr>
        <w:tc>
          <w:tcPr>
            <w:tcW w:w="61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5"/>
                <w:szCs w:val="15"/>
                <w:color w:val="auto"/>
              </w:rPr>
            </w:pPr>
          </w:p>
        </w:tc>
        <w:tc>
          <w:tcPr>
            <w:tcW w:w="1800" w:type="dxa"/>
            <w:vAlign w:val="bottom"/>
            <w:tcBorders>
              <w:right w:val="single" w:sz="8" w:color="auto"/>
            </w:tcBorders>
            <w:gridSpan w:val="2"/>
          </w:tcPr>
          <w:p>
            <w:pPr>
              <w:jc w:val="center"/>
              <w:ind w:right="960"/>
              <w:spacing w:after="0"/>
              <w:rPr>
                <w:sz w:val="20"/>
                <w:szCs w:val="20"/>
                <w:color w:val="auto"/>
              </w:rPr>
            </w:pPr>
            <w:r>
              <w:rPr>
                <w:rFonts w:ascii="Arial" w:cs="Arial" w:eastAsia="Arial" w:hAnsi="Arial"/>
                <w:sz w:val="14"/>
                <w:szCs w:val="14"/>
                <w:b w:val="1"/>
                <w:bCs w:val="1"/>
                <w:color w:val="auto"/>
                <w:w w:val="81"/>
              </w:rPr>
              <w:t>(Predecessor)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(Successor)</w:t>
            </w:r>
          </w:p>
        </w:tc>
        <w:tc>
          <w:tcPr>
            <w:tcW w:w="0" w:type="dxa"/>
            <w:vAlign w:val="bottom"/>
          </w:tcPr>
          <w:p>
            <w:pPr>
              <w:spacing w:after="0"/>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14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(0.2)</w:t>
            </w:r>
          </w:p>
        </w:tc>
        <w:tc>
          <w:tcPr>
            <w:tcW w:w="0" w:type="dxa"/>
            <w:vAlign w:val="bottom"/>
          </w:tcPr>
          <w:p>
            <w:pPr>
              <w:spacing w:after="0"/>
              <w:rPr>
                <w:sz w:val="1"/>
                <w:szCs w:val="1"/>
                <w:color w:val="auto"/>
              </w:rPr>
            </w:pPr>
          </w:p>
        </w:tc>
      </w:tr>
      <w:tr>
        <w:trPr>
          <w:trHeight w:val="249"/>
        </w:trPr>
        <w:tc>
          <w:tcPr>
            <w:tcW w:w="6140" w:type="dxa"/>
            <w:vAlign w:val="bottom"/>
          </w:tcPr>
          <w:p>
            <w:pPr>
              <w:ind w:left="4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0.5</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(0.1)</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880"/>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140" w:type="dxa"/>
            <w:vAlign w:val="bottom"/>
          </w:tcPr>
          <w:p>
            <w:pPr>
              <w:ind w:left="44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2"/>
                <w:szCs w:val="22"/>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49"/>
        </w:trPr>
        <w:tc>
          <w:tcPr>
            <w:tcW w:w="6140" w:type="dxa"/>
            <w:vAlign w:val="bottom"/>
          </w:tcPr>
          <w:p>
            <w:pPr>
              <w:ind w:left="4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880"/>
              <w:spacing w:after="0"/>
              <w:rPr>
                <w:sz w:val="20"/>
                <w:szCs w:val="20"/>
                <w:color w:val="auto"/>
              </w:rPr>
            </w:pPr>
            <w:r>
              <w:rPr>
                <w:rFonts w:ascii="Arial" w:cs="Arial" w:eastAsia="Arial" w:hAnsi="Arial"/>
                <w:sz w:val="18"/>
                <w:szCs w:val="18"/>
                <w:color w:val="auto"/>
              </w:rPr>
              <w:t>Total deferred</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expense (benefit)</w:t>
            </w: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40" w:type="dxa"/>
            <w:vAlign w:val="bottom"/>
            <w:vMerge w:val="continue"/>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right w:val="single" w:sz="8" w:color="auto"/>
            </w:tcBorders>
            <w:gridSpan w:val="2"/>
          </w:tcPr>
          <w:p>
            <w:pPr>
              <w:jc w:val="right"/>
              <w:ind w:right="840"/>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w w:val="86"/>
              </w:rPr>
              <w:t>(0.6)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difference between the effective rate and the U.S. federal income tax statutory rate of 35% is accounted for as follows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right="580" w:hanging="215"/>
        <w:spacing w:after="0" w:line="254" w:lineRule="auto"/>
        <w:rPr>
          <w:sz w:val="20"/>
          <w:szCs w:val="20"/>
          <w:color w:val="auto"/>
        </w:rPr>
      </w:pPr>
      <w:r>
        <w:rPr>
          <w:rFonts w:ascii="Arial" w:cs="Arial" w:eastAsia="Arial" w:hAnsi="Arial"/>
          <w:sz w:val="18"/>
          <w:szCs w:val="18"/>
          <w:color w:val="auto"/>
        </w:rPr>
        <w:t>Tax on earnings (loss) before (benefit) provision for income tax at statutory rates</w:t>
      </w:r>
    </w:p>
    <w:p>
      <w:pPr>
        <w:spacing w:after="0"/>
        <w:rPr>
          <w:sz w:val="20"/>
          <w:szCs w:val="20"/>
          <w:color w:val="auto"/>
        </w:rPr>
      </w:pPr>
      <w:r>
        <w:rPr>
          <w:rFonts w:ascii="Arial" w:cs="Arial" w:eastAsia="Arial" w:hAnsi="Arial"/>
          <w:sz w:val="18"/>
          <w:szCs w:val="18"/>
          <w:color w:val="auto"/>
        </w:rPr>
        <w:t>Add (subtract) tax effect of:</w:t>
      </w:r>
    </w:p>
    <w:p>
      <w:pPr>
        <w:spacing w:after="0" w:line="30" w:lineRule="exact"/>
        <w:rPr>
          <w:sz w:val="20"/>
          <w:szCs w:val="20"/>
          <w:color w:val="auto"/>
        </w:rPr>
      </w:pPr>
    </w:p>
    <w:p>
      <w:pPr>
        <w:ind w:right="2220" w:firstLine="432"/>
        <w:spacing w:after="0" w:line="331" w:lineRule="auto"/>
        <w:rPr>
          <w:sz w:val="20"/>
          <w:szCs w:val="20"/>
          <w:color w:val="auto"/>
        </w:rPr>
      </w:pPr>
      <w:r>
        <w:rPr>
          <w:rFonts w:ascii="Arial" w:cs="Arial" w:eastAsia="Arial" w:hAnsi="Arial"/>
          <w:sz w:val="18"/>
          <w:szCs w:val="18"/>
          <w:color w:val="auto"/>
        </w:rPr>
        <w:t>State income taxes—net of federal tax benefit Income tax (benefit) provision</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w w:val="84"/>
              </w:rPr>
              <w:t>52 weeks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4"/>
                <w:szCs w:val="14"/>
                <w:b w:val="1"/>
                <w:bCs w:val="1"/>
                <w:color w:val="auto"/>
                <w:w w:val="89"/>
              </w:rPr>
              <w:t>April 2, 2004</w:t>
            </w:r>
          </w:p>
        </w:tc>
        <w:tc>
          <w:tcPr>
            <w:tcW w:w="68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24, 2004</w:t>
            </w:r>
          </w:p>
        </w:tc>
      </w:tr>
      <w:tr>
        <w:trPr>
          <w:trHeight w:val="149"/>
        </w:trPr>
        <w:tc>
          <w:tcPr>
            <w:tcW w:w="100" w:type="dxa"/>
            <w:vAlign w:val="bottom"/>
          </w:tcPr>
          <w:p>
            <w:pPr>
              <w:spacing w:after="0"/>
              <w:rPr>
                <w:sz w:val="12"/>
                <w:szCs w:val="12"/>
                <w:color w:val="auto"/>
              </w:rPr>
            </w:pPr>
          </w:p>
        </w:tc>
        <w:tc>
          <w:tcPr>
            <w:tcW w:w="68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right w:val="single" w:sz="8" w:color="auto"/>
            </w:tcBorders>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through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April 1, 2004</w:t>
            </w:r>
          </w:p>
        </w:tc>
        <w:tc>
          <w:tcPr>
            <w:tcW w:w="700" w:type="dxa"/>
            <w:vAlign w:val="bottom"/>
          </w:tcPr>
          <w:p>
            <w:pPr>
              <w:spacing w:after="0"/>
              <w:rPr>
                <w:sz w:val="12"/>
                <w:szCs w:val="12"/>
                <w:color w:val="auto"/>
              </w:rPr>
            </w:pPr>
          </w:p>
        </w:tc>
        <w:tc>
          <w:tcPr>
            <w:tcW w:w="1900" w:type="dxa"/>
            <w:vAlign w:val="bottom"/>
            <w:tcBorders>
              <w:right w:val="single" w:sz="8" w:color="auto"/>
            </w:tcBorders>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85"/>
              </w:rPr>
              <w:t>December 23, 2004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March 31, 2005</w:t>
            </w:r>
          </w:p>
        </w:tc>
      </w:tr>
      <w:tr>
        <w:trPr>
          <w:trHeight w:val="175"/>
        </w:trPr>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1"/>
              </w:rPr>
              <w:t>(Predecessor)</w:t>
            </w: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(Predecessor)</w:t>
            </w:r>
          </w:p>
        </w:tc>
        <w:tc>
          <w:tcPr>
            <w:tcW w:w="80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(Successor)</w:t>
            </w:r>
          </w:p>
        </w:tc>
        <w:tc>
          <w:tcPr>
            <w:tcW w:w="60" w:type="dxa"/>
            <w:vAlign w:val="bottom"/>
          </w:tcPr>
          <w:p>
            <w:pPr>
              <w:spacing w:after="0"/>
              <w:rPr>
                <w:sz w:val="15"/>
                <w:szCs w:val="15"/>
                <w:color w:val="auto"/>
              </w:rPr>
            </w:pPr>
          </w:p>
        </w:tc>
      </w:tr>
      <w:tr>
        <w:trPr>
          <w:trHeight w:val="42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487"/>
        </w:trPr>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80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5880" w:space="320"/>
            <w:col w:w="5220"/>
          </w:cols>
          <w:pgMar w:left="240" w:top="459" w:right="2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NATIONAL CINEMA NETWORK,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PERIODS ENDED MARCH 31, 2005, DECEMBER 23, 2004, AND APRIL 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the Company’s sales and administrative operations were conducted in premises occupied under lease agreements with base terms ranging generally from one to four years, with certain leases containing options to extend the leases for an additional one to three years. The leases provide for fixed rentals. The Company also leases certain equipment under leases expiring at various dates. The majority of the leases provide that the Company will pay all, or substantially all, the taxes, maintenance, insurance, and certain other operating expenses. None of the Company’s operating leases were assumed by NCM and remained the obligations of AMC after March 31, 2005.</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Rent expense totaled $-, $0.6 million and $1.0 million for the Successor period ended March 31, 2005, and the Predecessor periods ended December 23, 2004, and April 1, 2004, respectively.</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b w:val="1"/>
          <w:bCs w:val="1"/>
          <w:i w:val="1"/>
          <w:iCs w:val="1"/>
          <w:color w:val="auto"/>
        </w:rPr>
        <w:t>Employee Benefit Plans</w:t>
      </w:r>
      <w:r>
        <w:rPr>
          <w:rFonts w:ascii="Arial" w:cs="Arial" w:eastAsia="Arial" w:hAnsi="Arial"/>
          <w:sz w:val="18"/>
          <w:szCs w:val="18"/>
          <w:color w:val="auto"/>
        </w:rPr>
        <w:t>—Employees of NCN are included in the benefit plans offered to AMC employees. All of the obligations related to NCN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remained with AMC subsequent to the formation of NCM. Descriptions of these plans are as follows:</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Defined Benefit Plan</w:t>
      </w:r>
      <w:r>
        <w:rPr>
          <w:rFonts w:ascii="Arial" w:cs="Arial" w:eastAsia="Arial" w:hAnsi="Arial"/>
          <w:sz w:val="16"/>
          <w:szCs w:val="16"/>
          <w:color w:val="auto"/>
        </w:rPr>
        <w:t>—AMC sponsors a noncontributory defined benefit pension plan covering, after a minimum of one year of employment, all</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 21 or older, who have completed 1,000 hours of service in their first twelve months of employment or in a calendar year and who are not covered by a collective bargaining agreement. Expenses of the defined benefit pension plan allocated to NCN from AMC totaled $0.1 million, $0.2 million, and $0.2 million during the Successor period ended March 31, 2005, and Predecessor periods ended December 23, 2004, and April 1, 2004, respectively.</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—AMC sponsors a voluntary 401(k) savings plan covering eligible employees after one year of service and age 21. The Company matches</w:t>
      </w:r>
      <w:r>
        <w:rPr>
          <w:rFonts w:ascii="Arial" w:cs="Arial" w:eastAsia="Arial" w:hAnsi="Arial"/>
          <w:sz w:val="16"/>
          <w:szCs w:val="16"/>
          <w:i w:val="1"/>
          <w:iCs w:val="1"/>
          <w:color w:val="auto"/>
        </w:rPr>
        <w:t xml:space="preserve"> </w:t>
      </w:r>
      <w:r>
        <w:rPr>
          <w:rFonts w:ascii="Arial" w:cs="Arial" w:eastAsia="Arial" w:hAnsi="Arial"/>
          <w:sz w:val="16"/>
          <w:szCs w:val="16"/>
          <w:color w:val="auto"/>
        </w:rPr>
        <w:t>100% of each eligible employee’s elective contributions up to 3% of the employee’s compensation and 50% of each eligible employee’s elective contributions on the next 2% of the employees pay. The Company’s expense under the 401(k) savings plan was $0.1 million, $0.2 million, and $0.3 million for the Successor period ended March 31, 2005, and the Predecessor periods ended December 23, 2004, and April 1, 2004,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Other Retirement Benefits</w:t>
      </w:r>
      <w:r>
        <w:rPr>
          <w:rFonts w:ascii="Arial" w:cs="Arial" w:eastAsia="Arial" w:hAnsi="Arial"/>
          <w:sz w:val="16"/>
          <w:szCs w:val="16"/>
          <w:color w:val="auto"/>
        </w:rPr>
        <w:t>—AMC currently offers eligible retirees the opportunity to participate in a health plan (medical and dental) and a life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plan. Substantially all employees may become eligible for these benefits provided that the employee must be at least 55 years of age and have 15 years of credited service at retirement. The health plan is contributory, with retiree contributions adjusted annually; the life insurance plan is noncontributory.</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Commitments</w:t>
      </w:r>
      <w:r>
        <w:rPr>
          <w:rFonts w:ascii="Arial" w:cs="Arial" w:eastAsia="Arial" w:hAnsi="Arial"/>
          <w:sz w:val="16"/>
          <w:szCs w:val="16"/>
          <w:color w:val="auto"/>
        </w:rPr>
        <w:t>—The Company operates its advertising program through agreements with theatre circuits. These exhibitor agreements stipulate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of exhibitor payments a theatre will receive for running on-screen slides, on-film programs and other related in-theatre products and services. An exhibitor agreement generally has a term of two to five years, with an annual cancellation provision included in select agreements. Certain circuits have agreements requiring an annual minimum exhibitor share payment. The Company’s total exhibitor share commitment as of the Successor period ended March 31, 2005, totals $3.0 million. As a result of the Joint Venture, NCN’s exhibitor share commitment is expected to be paid by March 2007. In certain circuit agreements, the Company has the right to subcontract theatres to other in-theatre advertising affiliates. Exhibitor share payments due to the exhibitor from subcontracted affiliate sales shall be credited against the annual minimum exhibit share payment in selected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14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827405</wp:posOffset>
            </wp:positionV>
            <wp:extent cx="2246630" cy="7118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466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433070</wp:posOffset>
            </wp:positionV>
            <wp:extent cx="11061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PROSPECTUS</w:t>
      </w:r>
    </w:p>
    <w:p>
      <w:pPr>
        <w:spacing w:after="0" w:line="7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206375</wp:posOffset>
            </wp:positionV>
            <wp:extent cx="11061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940" w:val="left"/>
          <w:tab w:leader="none" w:pos="5160" w:val="left"/>
          <w:tab w:leader="none" w:pos="8980" w:val="left"/>
        </w:tabs>
        <w:rPr>
          <w:sz w:val="20"/>
          <w:szCs w:val="20"/>
          <w:color w:val="auto"/>
        </w:rPr>
      </w:pPr>
      <w:r>
        <w:rPr>
          <w:rFonts w:ascii="Arial" w:cs="Arial" w:eastAsia="Arial" w:hAnsi="Arial"/>
          <w:sz w:val="32"/>
          <w:szCs w:val="32"/>
          <w:b w:val="1"/>
          <w:bCs w:val="1"/>
          <w:color w:val="auto"/>
        </w:rPr>
        <w:t>Credit Suisse</w:t>
      </w:r>
      <w:r>
        <w:rPr>
          <w:sz w:val="20"/>
          <w:szCs w:val="20"/>
          <w:color w:val="auto"/>
        </w:rPr>
        <w:tab/>
      </w:r>
      <w:r>
        <w:rPr>
          <w:rFonts w:ascii="Arial" w:cs="Arial" w:eastAsia="Arial" w:hAnsi="Arial"/>
          <w:sz w:val="32"/>
          <w:szCs w:val="32"/>
          <w:b w:val="1"/>
          <w:bCs w:val="1"/>
          <w:color w:val="auto"/>
        </w:rPr>
        <w:t>JPMorgan</w:t>
      </w:r>
      <w:r>
        <w:rPr>
          <w:sz w:val="20"/>
          <w:szCs w:val="20"/>
          <w:color w:val="auto"/>
        </w:rPr>
        <w:tab/>
      </w:r>
      <w:r>
        <w:rPr>
          <w:rFonts w:ascii="Arial" w:cs="Arial" w:eastAsia="Arial" w:hAnsi="Arial"/>
          <w:sz w:val="32"/>
          <w:szCs w:val="32"/>
          <w:b w:val="1"/>
          <w:bCs w:val="1"/>
          <w:color w:val="auto"/>
        </w:rPr>
        <w:t>Lehman Brothers</w:t>
      </w:r>
      <w:r>
        <w:rPr>
          <w:sz w:val="20"/>
          <w:szCs w:val="20"/>
          <w:color w:val="auto"/>
        </w:rPr>
        <w:tab/>
      </w:r>
      <w:r>
        <w:rPr>
          <w:rFonts w:ascii="Arial" w:cs="Arial" w:eastAsia="Arial" w:hAnsi="Arial"/>
          <w:sz w:val="32"/>
          <w:szCs w:val="32"/>
          <w:b w:val="1"/>
          <w:bCs w:val="1"/>
          <w:color w:val="auto"/>
        </w:rPr>
        <w:t>Morgan Stanley</w:t>
      </w:r>
    </w:p>
    <w:p>
      <w:pPr>
        <w:spacing w:after="0" w:line="200" w:lineRule="exact"/>
        <w:rPr>
          <w:sz w:val="20"/>
          <w:szCs w:val="20"/>
          <w:color w:val="auto"/>
        </w:rPr>
      </w:pPr>
    </w:p>
    <w:p>
      <w:pPr>
        <w:spacing w:after="0" w:line="314" w:lineRule="exact"/>
        <w:rPr>
          <w:sz w:val="20"/>
          <w:szCs w:val="20"/>
          <w:color w:val="auto"/>
        </w:rPr>
      </w:pPr>
    </w:p>
    <w:p>
      <w:pPr>
        <w:ind w:left="460"/>
        <w:spacing w:after="0"/>
        <w:tabs>
          <w:tab w:leader="none" w:pos="154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all dealers that effect transactions in these securities, whether or not participating in this offering, may be required</w:t>
      </w:r>
    </w:p>
    <w:p>
      <w:pPr>
        <w:spacing w:after="0" w:line="41"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b w:val="1"/>
          <w:bCs w:val="1"/>
          <w:color w:val="auto"/>
        </w:rPr>
        <w:t>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771525</wp:posOffset>
            </wp:positionV>
            <wp:extent cx="725043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expenses expected to be incurred in connection with the issuance and distribution of common stock registered hereby, all of which expenses, except for the Securities and Exchange Commission registration fee, are estimated.</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registration fee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listing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Association of Securities Dealers, Inc.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 Sky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037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73" w:lineRule="exact"/>
        <w:rPr>
          <w:sz w:val="20"/>
          <w:szCs w:val="20"/>
          <w:color w:val="auto"/>
        </w:rPr>
      </w:pPr>
    </w:p>
    <w:p>
      <w:pPr>
        <w:ind w:left="440" w:hanging="304"/>
        <w:spacing w:after="0"/>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32" w:hanging="232"/>
        <w:spacing w:after="0"/>
        <w:tabs>
          <w:tab w:leader="none" w:pos="232" w:val="left"/>
        </w:tabs>
        <w:numPr>
          <w:ilvl w:val="0"/>
          <w:numId w:val="125"/>
        </w:numPr>
        <w:rPr>
          <w:rFonts w:ascii="Arial" w:cs="Arial" w:eastAsia="Arial" w:hAnsi="Arial"/>
          <w:sz w:val="15"/>
          <w:szCs w:val="15"/>
          <w:color w:val="auto"/>
        </w:rPr>
      </w:pPr>
      <w:r>
        <w:rPr>
          <w:rFonts w:ascii="Arial" w:cs="Arial" w:eastAsia="Arial" w:hAnsi="Arial"/>
          <w:sz w:val="15"/>
          <w:szCs w:val="15"/>
          <w:color w:val="auto"/>
        </w:rPr>
        <w:t>74,900.00</w:t>
      </w:r>
    </w:p>
    <w:p>
      <w:pPr>
        <w:spacing w:after="0" w:line="4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rFonts w:ascii="Arial" w:cs="Arial" w:eastAsia="Arial" w:hAnsi="Arial"/>
          <w:sz w:val="15"/>
          <w:szCs w:val="15"/>
          <w:color w:val="auto"/>
        </w:rPr>
      </w:pPr>
    </w:p>
    <w:p>
      <w:pPr>
        <w:ind w:left="852"/>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918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ind w:left="852" w:hanging="852"/>
        <w:spacing w:after="0"/>
        <w:tabs>
          <w:tab w:leader="none" w:pos="8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5918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5918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9768" w:space="720"/>
            <w:col w:w="932"/>
          </w:cols>
          <w:pgMar w:left="240" w:top="459" w:right="239" w:bottom="1440" w:gutter="0" w:footer="0" w:header="0"/>
          <w:type w:val="continuous"/>
        </w:sectPr>
      </w:pPr>
    </w:p>
    <w:p>
      <w:pPr>
        <w:ind w:right="80" w:firstLine="456"/>
        <w:spacing w:after="0" w:line="255" w:lineRule="auto"/>
        <w:rPr>
          <w:sz w:val="20"/>
          <w:szCs w:val="20"/>
          <w:color w:val="auto"/>
        </w:rPr>
      </w:pPr>
      <w:r>
        <w:rPr>
          <w:rFonts w:ascii="Arial" w:cs="Arial" w:eastAsia="Arial" w:hAnsi="Arial"/>
          <w:sz w:val="18"/>
          <w:szCs w:val="18"/>
          <w:color w:val="auto"/>
        </w:rPr>
        <w:t>Section 102 of the Delaware General Corporation Law (the “DGCL”) grants us the power to limit the personal liability of our directors or our stockholders for monetary damages for breach of a fiduciary duty. Article Sixth of our Amended and Restated Certificate of Incorporation eliminates the personal liability of directors for monetary damages for actions taken as a director, except for liability for breach of duty of loyalty; for acts or omissions not in good faith or involving intentional misconduct or knowing violation of law; under Section 174 of the Delaware General Corporation Law (unlawful dividends); or for transactions from which the director derived improper personal benefit.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Section 145 of the DGCL, a corporation has the power to indemnify directors and officers under certain prescribed circumstances against certain costs and expenses, actually and reasonably incurred in connection with any action, suit or proceeding, whether civil, criminal, administrative or investigative, to which any of them is a party by reason of his being a director or officer of the corporation if it is determined that he acted in accordance with the applicable standard of conduct set forth in such statutory provision. Article VI of our Amended and Restated Bylaws requires us to indemnify any current or former directors or officers to the fullest extent permitted by the DGCL, and to pay expenses incurred in defending any such proceeding in advance of its final disposition upon delivery to us of an undertaking, by or on behalf of an indemnified person, to repay all amounts so advanced if it should be determined ultimately that such person is not entitled to be indemnified under this section or otherwise. Article VI also permits us to indemnify any current or former employees or agents to the fullest extent permitted by the DGCL, and to pay expenses incurred in defending any such proceeding in advance of its final disposition upon such terms and conditions, if any, as we deem appropriate.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145 of the DGCL authorizes a corporation to purchase and maintain insurance on behalf of any person who is or was a director, officer, employee or agent of the corporation against any liability asserted against and incurred by such person in any such capacity, or arising out of such person’s status as such. As permitted by Section 145 and Section 6.08 of our Amended and Restated Bylaws, we carry insurance policies insuring its directors and officers against certain liabilities that they may incur in their capacity as directors and officers.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intend to enter into separate indemnification agreements with each of our directors and officers, which may be broader than the specific indemnification provisions contained in the Delaware General Corporation Law. These indemnification agreements may require us, among other things, to indemnify our directors and officers against liabilities that may arise by reason of their status or service as directors or officers, other than liabilities arising from willful misconduct.</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These indemnification agreements may also require us to advance any expenses incurred by the directors or officers as a result of any proceeding against them as to which they could be indemnified and to obtain directors’ and officers’ insurance, if available on reasonable terms.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the Underwriting Agreement will obligate the underwriters, under certain circumstances, to indemnify our directors and officers for certain liabilities, including liabilities arising under the Securities Act.</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or Amended and Restated Bylaws, agreement, vote of stockholders or disinterested directors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October 5, 2006, the date of our formation, we have not sold securities without registration under the Securities Act of 1933.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Exhibit</w:t>
            </w:r>
          </w:p>
        </w:tc>
        <w:tc>
          <w:tcPr>
            <w:tcW w:w="560" w:type="dxa"/>
            <w:vAlign w:val="bottom"/>
          </w:tcPr>
          <w:p>
            <w:pPr>
              <w:spacing w:after="0"/>
              <w:rPr>
                <w:sz w:val="14"/>
                <w:szCs w:val="14"/>
                <w:color w:val="auto"/>
              </w:rPr>
            </w:pPr>
          </w:p>
        </w:tc>
        <w:tc>
          <w:tcPr>
            <w:tcW w:w="1042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46"/>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75"/>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3"/>
                <w:szCs w:val="23"/>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Certificate of Incorporation of NCM Inc.*</w:t>
            </w: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Form of Amended and Restated Certificate of Incorporation of NCM Inc. to be effective upon the closing of the offering being made pursuant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this Registration Statement.**</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Bylaws of NCM Inc.**</w:t>
            </w: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Form of Amended and Restated Bylaws of NCM Inc. to be effective upon the closing of the offering being made pursuant to this Registration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Certificate of Formation of NCM LLC.*</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Form of Second Amended and Restated Limited Liability Company Operating Agreement of NCM LLC.**</w:t>
            </w: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Form of Third Amended and Restated Limited Liability Company Operating Agreement of NCM LLC to be effective upon the closing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offering being made pursuant to this registration statement.**</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Specimen Common Stock Certificate of NCM Inc.**</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Opinion of Holme Roberts &amp; Owen LLP.**</w:t>
            </w:r>
          </w:p>
        </w:tc>
        <w:tc>
          <w:tcPr>
            <w:tcW w:w="0" w:type="dxa"/>
            <w:vAlign w:val="bottom"/>
          </w:tcPr>
          <w:p>
            <w:pPr>
              <w:spacing w:after="0"/>
              <w:rPr>
                <w:sz w:val="1"/>
                <w:szCs w:val="1"/>
                <w:color w:val="auto"/>
              </w:rPr>
            </w:pPr>
          </w:p>
        </w:tc>
      </w:tr>
      <w:tr>
        <w:trPr>
          <w:trHeight w:val="284"/>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National CineMedia, LLC Advertising Agreement between National CineMedia, LLC and NBC Universal, Inc., effective as of January 1, 2006.**</w:t>
            </w: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National CineMedia, LLC Advertising Agreement between National CineMedia, LLC and Sony Pictures Entertainment Inc., effective as of January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980" w:type="dxa"/>
            <w:vAlign w:val="bottom"/>
            <w:gridSpan w:val="2"/>
          </w:tcPr>
          <w:p>
            <w:pPr>
              <w:ind w:left="780"/>
              <w:spacing w:after="0"/>
              <w:rPr>
                <w:sz w:val="20"/>
                <w:szCs w:val="20"/>
                <w:color w:val="auto"/>
              </w:rPr>
            </w:pPr>
            <w:r>
              <w:rPr>
                <w:rFonts w:ascii="Arial" w:cs="Arial" w:eastAsia="Arial" w:hAnsi="Arial"/>
                <w:sz w:val="18"/>
                <w:szCs w:val="18"/>
                <w:color w:val="auto"/>
              </w:rPr>
              <w:t>1, 2006.**</w:t>
            </w: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6"/>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National CineMedia, LLC Advertising Agreement between National CineMedia, LLC and Twentieth Century Fox Film Corporation, effective 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January 1, 2006.**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14"/>
                <w:szCs w:val="14"/>
                <w:color w:val="auto"/>
              </w:rPr>
            </w:pPr>
          </w:p>
        </w:tc>
        <w:tc>
          <w:tcPr>
            <w:tcW w:w="5780" w:type="dxa"/>
            <w:vAlign w:val="bottom"/>
            <w:vMerge w:val="restart"/>
          </w:tcPr>
          <w:p>
            <w:pPr>
              <w:ind w:left="4920"/>
              <w:spacing w:after="0"/>
              <w:rPr>
                <w:sz w:val="20"/>
                <w:szCs w:val="20"/>
                <w:color w:val="auto"/>
              </w:rPr>
            </w:pPr>
            <w:r>
              <w:rPr>
                <w:rFonts w:ascii="Arial" w:cs="Arial" w:eastAsia="Arial" w:hAnsi="Arial"/>
                <w:sz w:val="14"/>
                <w:szCs w:val="14"/>
                <w:b w:val="1"/>
                <w:bCs w:val="1"/>
                <w:color w:val="auto"/>
              </w:rPr>
              <w:t>Description</w:t>
            </w: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5780" w:type="dxa"/>
            <w:vAlign w:val="bottom"/>
            <w:tcBorders>
              <w:bottom w:val="single" w:sz="8" w:color="auto"/>
            </w:tcBorders>
            <w:vMerge w:val="continue"/>
          </w:tcPr>
          <w:p>
            <w:pPr>
              <w:spacing w:after="0"/>
              <w:rPr>
                <w:sz w:val="14"/>
                <w:szCs w:val="14"/>
                <w:color w:val="auto"/>
              </w:rPr>
            </w:pPr>
          </w:p>
        </w:tc>
        <w:tc>
          <w:tcPr>
            <w:tcW w:w="4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3"/>
                <w:szCs w:val="23"/>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1"/>
              </w:rPr>
              <w:t>Regal CineMedia Corporation Advertising Agreement between National CineMedia, LLC and Turner Broadcasting System, Inc., as of January 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220" w:type="dxa"/>
            <w:vAlign w:val="bottom"/>
            <w:gridSpan w:val="2"/>
          </w:tcPr>
          <w:p>
            <w:pPr>
              <w:jc w:val="right"/>
              <w:ind w:right="4893"/>
              <w:spacing w:after="0"/>
              <w:rPr>
                <w:sz w:val="20"/>
                <w:szCs w:val="20"/>
                <w:color w:val="auto"/>
              </w:rPr>
            </w:pPr>
            <w:r>
              <w:rPr>
                <w:rFonts w:ascii="Arial" w:cs="Arial" w:eastAsia="Arial" w:hAnsi="Arial"/>
                <w:sz w:val="18"/>
                <w:szCs w:val="18"/>
                <w:color w:val="auto"/>
              </w:rPr>
              <w:t>2006.**</w:t>
            </w: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w w:val="90"/>
              </w:rPr>
              <w:t>National CineMedia, LLC Advertising Agreement between National CineMedia, LLC and Universal City Studios LLLP, dated as of June 1, 2005.**</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Senior Secured Credit Facility.**</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of Common Unit Subscription Agreement between NCM Inc. and NCM LLC.**</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of Tax Receivable Agreement between NCM Inc. and the Founding Members.**</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between NCM Inc. and the Founding Members.**</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of Director Designation and Voting Agreement between NCM Inc. and the Founding Members.**</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1"/>
              </w:rPr>
              <w:t>Form of Management Services Agreement between NCM Inc. and NCM LLC.**</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Digital Cinema Services Agreement between NCM LLC and</w:t>
            </w:r>
          </w:p>
        </w:tc>
        <w:tc>
          <w:tcPr>
            <w:tcW w:w="4720" w:type="dxa"/>
            <w:vAlign w:val="bottom"/>
          </w:tcPr>
          <w:p>
            <w:pPr>
              <w:jc w:val="right"/>
              <w:ind w:right="43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Form of Exhibitor Services Agreement between NCM LLC and Founding Members.**</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Form of Second Amended and Restated Software License Agreement.**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Loews Screen Integration Agreement.**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NCM Inc. 2006 Equity Incentive Plan.+**</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Option Substitution Agreement.+**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Option Agreements.+**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25, 2005, by and between NCM LLC and Kurt C. Hall.+**</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as of October 1, 2006, by and between NCM LLC and Clifford E. Marks.+**</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Employment Agreement dated as of April 17, 2006, by and between NCM LLC and Gary W. Ferrera.+**</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25, 2005, by and between NCM LLC and Thomas C. Galley.+**</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25, 2005, by and between NCM LLC and Ralph E. Hardy.+**</w:t>
            </w: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10.24</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Employment Assignment Agreement.+**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List of Subsidiaries.**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Consent of Deloitte &amp; Touche LLP.*</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Consent of Holme Roberts &amp; Owen LLP (included in Exhibit 5.1).**</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Power of attorney.*</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9037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3" w:lineRule="exact"/>
        <w:rPr>
          <w:sz w:val="20"/>
          <w:szCs w:val="20"/>
          <w:color w:val="auto"/>
        </w:rPr>
      </w:pPr>
    </w:p>
    <w:p>
      <w:pPr>
        <w:ind w:left="440" w:hanging="304"/>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120" w:right="9100" w:hanging="71"/>
        <w:spacing w:after="0" w:line="361" w:lineRule="auto"/>
        <w:tabs>
          <w:tab w:leader="none" w:pos="435"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To be filed by amendment. + Management contract.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Financial Statements included on page F-1 for a list of the financial statements included in this registration statement.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All schedules not identified above have been omitted because they are not required, are not applicable or the information is included in the selected consolidated financial data or notes contained in this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firstLine="464"/>
        <w:spacing w:after="0" w:line="290"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and county of Denver, state of Colorado, on October 12, 2006.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CineMedia, Inc.</w:t>
      </w:r>
    </w:p>
    <w:p>
      <w:pPr>
        <w:spacing w:after="0" w:line="225"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Kurt C. Hall</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Chief Executive Officer and Chairman</w:t>
      </w:r>
    </w:p>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jc w:val="center"/>
              <w:ind w:right="1444"/>
              <w:spacing w:after="0"/>
              <w:rPr>
                <w:sz w:val="20"/>
                <w:szCs w:val="20"/>
                <w:color w:val="auto"/>
              </w:rPr>
            </w:pPr>
            <w:r>
              <w:rPr>
                <w:rFonts w:ascii="Arial" w:cs="Arial" w:eastAsia="Arial" w:hAnsi="Arial"/>
                <w:sz w:val="14"/>
                <w:szCs w:val="14"/>
                <w:b w:val="1"/>
                <w:bCs w:val="1"/>
                <w:color w:val="auto"/>
                <w:w w:val="86"/>
              </w:rPr>
              <w:t>Signature</w:t>
            </w:r>
          </w:p>
        </w:tc>
        <w:tc>
          <w:tcPr>
            <w:tcW w:w="780" w:type="dxa"/>
            <w:vAlign w:val="bottom"/>
          </w:tcPr>
          <w:p>
            <w:pPr>
              <w:spacing w:after="0"/>
              <w:rPr>
                <w:sz w:val="14"/>
                <w:szCs w:val="14"/>
                <w:color w:val="auto"/>
              </w:rPr>
            </w:pPr>
          </w:p>
        </w:tc>
        <w:tc>
          <w:tcPr>
            <w:tcW w:w="4120" w:type="dxa"/>
            <w:vAlign w:val="bottom"/>
          </w:tcPr>
          <w:p>
            <w:pPr>
              <w:ind w:left="192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424"/>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tcPr>
          <w:p>
            <w:pPr>
              <w:jc w:val="center"/>
              <w:ind w:right="1464"/>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780"/>
              <w:spacing w:after="0"/>
              <w:rPr>
                <w:sz w:val="20"/>
                <w:szCs w:val="20"/>
                <w:color w:val="auto"/>
              </w:rPr>
            </w:pPr>
            <w:r>
              <w:rPr>
                <w:rFonts w:ascii="Arial" w:cs="Arial" w:eastAsia="Arial" w:hAnsi="Arial"/>
                <w:sz w:val="18"/>
                <w:szCs w:val="18"/>
                <w:color w:val="auto"/>
              </w:rPr>
              <w:t>President, Chief Executive Officer and Chairman</w:t>
            </w:r>
          </w:p>
        </w:tc>
        <w:tc>
          <w:tcPr>
            <w:tcW w:w="8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900" w:type="dxa"/>
            <w:vAlign w:val="bottom"/>
            <w:gridSpan w:val="2"/>
            <w:vMerge w:val="restart"/>
          </w:tcPr>
          <w:p>
            <w:pPr>
              <w:ind w:left="780"/>
              <w:spacing w:after="0"/>
              <w:rPr>
                <w:sz w:val="20"/>
                <w:szCs w:val="20"/>
                <w:color w:val="auto"/>
              </w:rPr>
            </w:pPr>
            <w:r>
              <w:rPr>
                <w:rFonts w:ascii="Arial" w:cs="Arial" w:eastAsia="Arial" w:hAnsi="Arial"/>
                <w:sz w:val="18"/>
                <w:szCs w:val="18"/>
                <w:i w:val="1"/>
                <w:iCs w:val="1"/>
                <w:color w:val="auto"/>
              </w:rPr>
              <w:t>(Principal Executive Officer)</w:t>
            </w:r>
          </w:p>
        </w:tc>
        <w:tc>
          <w:tcPr>
            <w:tcW w:w="1940" w:type="dxa"/>
            <w:vAlign w:val="bottom"/>
            <w:gridSpan w:val="2"/>
            <w:vMerge w:val="restart"/>
          </w:tcPr>
          <w:p>
            <w:pPr>
              <w:jc w:val="center"/>
              <w:ind w:left="712"/>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1464"/>
              <w:spacing w:after="0"/>
              <w:rPr>
                <w:sz w:val="20"/>
                <w:szCs w:val="20"/>
                <w:color w:val="auto"/>
              </w:rPr>
            </w:pPr>
            <w:r>
              <w:rPr>
                <w:rFonts w:ascii="Arial" w:cs="Arial" w:eastAsia="Arial" w:hAnsi="Arial"/>
                <w:sz w:val="14"/>
                <w:szCs w:val="14"/>
                <w:b w:val="1"/>
                <w:bCs w:val="1"/>
                <w:color w:val="auto"/>
                <w:w w:val="97"/>
              </w:rPr>
              <w:t>Kurt C. Hall</w:t>
            </w:r>
          </w:p>
        </w:tc>
        <w:tc>
          <w:tcPr>
            <w:tcW w:w="490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W. F</w:t>
            </w:r>
            <w:r>
              <w:rPr>
                <w:rFonts w:ascii="Arial" w:cs="Arial" w:eastAsia="Arial" w:hAnsi="Arial"/>
                <w:sz w:val="14"/>
                <w:szCs w:val="14"/>
                <w:color w:val="auto"/>
              </w:rPr>
              <w:t>ERRERA</w:t>
            </w:r>
          </w:p>
        </w:tc>
        <w:tc>
          <w:tcPr>
            <w:tcW w:w="4900" w:type="dxa"/>
            <w:vAlign w:val="bottom"/>
            <w:gridSpan w:val="2"/>
          </w:tcPr>
          <w:p>
            <w:pPr>
              <w:ind w:left="78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900" w:type="dxa"/>
            <w:vAlign w:val="bottom"/>
            <w:gridSpan w:val="2"/>
            <w:vMerge w:val="restart"/>
          </w:tcPr>
          <w:p>
            <w:pPr>
              <w:ind w:left="780"/>
              <w:spacing w:after="0"/>
              <w:rPr>
                <w:sz w:val="20"/>
                <w:szCs w:val="20"/>
                <w:color w:val="auto"/>
              </w:rPr>
            </w:pPr>
            <w:r>
              <w:rPr>
                <w:rFonts w:ascii="Arial" w:cs="Arial" w:eastAsia="Arial" w:hAnsi="Arial"/>
                <w:sz w:val="18"/>
                <w:szCs w:val="18"/>
                <w:i w:val="1"/>
                <w:iCs w:val="1"/>
                <w:color w:val="auto"/>
              </w:rPr>
              <w:t>(Principal Financial and Accounting Officer)</w:t>
            </w:r>
          </w:p>
        </w:tc>
        <w:tc>
          <w:tcPr>
            <w:tcW w:w="1940" w:type="dxa"/>
            <w:vAlign w:val="bottom"/>
            <w:gridSpan w:val="2"/>
            <w:vMerge w:val="restart"/>
          </w:tcPr>
          <w:p>
            <w:pPr>
              <w:jc w:val="center"/>
              <w:ind w:left="712"/>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1464"/>
              <w:spacing w:after="0"/>
              <w:rPr>
                <w:sz w:val="20"/>
                <w:szCs w:val="20"/>
                <w:color w:val="auto"/>
              </w:rPr>
            </w:pPr>
            <w:r>
              <w:rPr>
                <w:rFonts w:ascii="Arial" w:cs="Arial" w:eastAsia="Arial" w:hAnsi="Arial"/>
                <w:sz w:val="14"/>
                <w:szCs w:val="14"/>
                <w:b w:val="1"/>
                <w:bCs w:val="1"/>
                <w:color w:val="auto"/>
                <w:w w:val="93"/>
              </w:rPr>
              <w:t>Gary W. Ferrera</w:t>
            </w:r>
          </w:p>
        </w:tc>
        <w:tc>
          <w:tcPr>
            <w:tcW w:w="490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tcPr>
          <w:p>
            <w:pPr>
              <w:jc w:val="center"/>
              <w:ind w:right="1464"/>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78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40" w:type="dxa"/>
            <w:vAlign w:val="bottom"/>
            <w:gridSpan w:val="2"/>
            <w:vMerge w:val="restart"/>
          </w:tcPr>
          <w:p>
            <w:pPr>
              <w:jc w:val="center"/>
              <w:ind w:left="712"/>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1464"/>
              <w:spacing w:after="0"/>
              <w:rPr>
                <w:sz w:val="20"/>
                <w:szCs w:val="20"/>
                <w:color w:val="auto"/>
              </w:rPr>
            </w:pPr>
            <w:r>
              <w:rPr>
                <w:rFonts w:ascii="Arial" w:cs="Arial" w:eastAsia="Arial" w:hAnsi="Arial"/>
                <w:sz w:val="14"/>
                <w:szCs w:val="14"/>
                <w:b w:val="1"/>
                <w:bCs w:val="1"/>
                <w:color w:val="auto"/>
                <w:w w:val="90"/>
              </w:rPr>
              <w:t>Michael L. Campbell</w:t>
            </w:r>
          </w:p>
        </w:tc>
        <w:tc>
          <w:tcPr>
            <w:tcW w:w="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tcPr>
          <w:p>
            <w:pPr>
              <w:jc w:val="center"/>
              <w:ind w:right="1464"/>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78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40" w:type="dxa"/>
            <w:vAlign w:val="bottom"/>
            <w:gridSpan w:val="2"/>
            <w:vMerge w:val="restart"/>
          </w:tcPr>
          <w:p>
            <w:pPr>
              <w:jc w:val="center"/>
              <w:ind w:left="712"/>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1464"/>
              <w:spacing w:after="0"/>
              <w:rPr>
                <w:sz w:val="20"/>
                <w:szCs w:val="20"/>
                <w:color w:val="auto"/>
              </w:rPr>
            </w:pPr>
            <w:r>
              <w:rPr>
                <w:rFonts w:ascii="Arial" w:cs="Arial" w:eastAsia="Arial" w:hAnsi="Arial"/>
                <w:sz w:val="14"/>
                <w:szCs w:val="14"/>
                <w:b w:val="1"/>
                <w:bCs w:val="1"/>
                <w:color w:val="auto"/>
                <w:w w:val="89"/>
              </w:rPr>
              <w:t>Peter C. Brown</w:t>
            </w:r>
          </w:p>
        </w:tc>
        <w:tc>
          <w:tcPr>
            <w:tcW w:w="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tcPr>
          <w:p>
            <w:pPr>
              <w:jc w:val="center"/>
              <w:ind w:right="1464"/>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78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October 12,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40" w:type="dxa"/>
            <w:vAlign w:val="bottom"/>
            <w:gridSpan w:val="2"/>
            <w:vMerge w:val="restart"/>
          </w:tcPr>
          <w:p>
            <w:pPr>
              <w:jc w:val="center"/>
              <w:ind w:left="712"/>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1464"/>
              <w:spacing w:after="0"/>
              <w:rPr>
                <w:sz w:val="20"/>
                <w:szCs w:val="20"/>
                <w:color w:val="auto"/>
              </w:rPr>
            </w:pPr>
            <w:r>
              <w:rPr>
                <w:rFonts w:ascii="Arial" w:cs="Arial" w:eastAsia="Arial" w:hAnsi="Arial"/>
                <w:sz w:val="14"/>
                <w:szCs w:val="14"/>
                <w:b w:val="1"/>
                <w:bCs w:val="1"/>
                <w:color w:val="auto"/>
                <w:w w:val="88"/>
              </w:rPr>
              <w:t>Lee Roy Mitchell</w:t>
            </w:r>
          </w:p>
        </w:tc>
        <w:tc>
          <w:tcPr>
            <w:tcW w:w="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9"/>
        </w:trPr>
        <w:tc>
          <w:tcPr>
            <w:tcW w:w="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By:</w:t>
            </w:r>
          </w:p>
        </w:tc>
        <w:tc>
          <w:tcPr>
            <w:tcW w:w="3040" w:type="dxa"/>
            <w:vAlign w:val="bottom"/>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ARY</w:t>
            </w:r>
            <w:r>
              <w:rPr>
                <w:rFonts w:ascii="Arial" w:cs="Arial" w:eastAsia="Arial" w:hAnsi="Arial"/>
                <w:sz w:val="18"/>
                <w:szCs w:val="18"/>
                <w:color w:val="auto"/>
              </w:rPr>
              <w:t xml:space="preserve"> W. F</w:t>
            </w:r>
            <w:r>
              <w:rPr>
                <w:rFonts w:ascii="Arial" w:cs="Arial" w:eastAsia="Arial" w:hAnsi="Arial"/>
                <w:sz w:val="14"/>
                <w:szCs w:val="14"/>
                <w:color w:val="auto"/>
              </w:rPr>
              <w:t>ERRERA</w:t>
            </w:r>
          </w:p>
        </w:tc>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tcPr>
          <w:p>
            <w:pPr>
              <w:jc w:val="center"/>
              <w:ind w:right="644"/>
              <w:spacing w:after="0" w:line="149" w:lineRule="exact"/>
              <w:rPr>
                <w:sz w:val="20"/>
                <w:szCs w:val="20"/>
                <w:color w:val="auto"/>
              </w:rPr>
            </w:pPr>
            <w:r>
              <w:rPr>
                <w:rFonts w:ascii="Arial" w:cs="Arial" w:eastAsia="Arial" w:hAnsi="Arial"/>
                <w:sz w:val="14"/>
                <w:szCs w:val="14"/>
                <w:b w:val="1"/>
                <w:bCs w:val="1"/>
                <w:color w:val="auto"/>
                <w:w w:val="91"/>
              </w:rPr>
              <w:t>Gary W. Ferrera</w:t>
            </w:r>
          </w:p>
        </w:tc>
        <w:tc>
          <w:tcPr>
            <w:tcW w:w="7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40" w:type="dxa"/>
            <w:vAlign w:val="bottom"/>
          </w:tcPr>
          <w:p>
            <w:pPr>
              <w:jc w:val="center"/>
              <w:ind w:right="644"/>
              <w:spacing w:after="0"/>
              <w:rPr>
                <w:sz w:val="20"/>
                <w:szCs w:val="20"/>
                <w:color w:val="auto"/>
              </w:rPr>
            </w:pPr>
            <w:r>
              <w:rPr>
                <w:rFonts w:ascii="Arial" w:cs="Arial" w:eastAsia="Arial" w:hAnsi="Arial"/>
                <w:sz w:val="14"/>
                <w:szCs w:val="14"/>
                <w:b w:val="1"/>
                <w:bCs w:val="1"/>
                <w:color w:val="auto"/>
                <w:w w:val="89"/>
              </w:rPr>
              <w:t>Attorney in fact</w:t>
            </w:r>
          </w:p>
        </w:tc>
        <w:tc>
          <w:tcPr>
            <w:tcW w:w="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II-5</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the undersigned for the purpose of incorporating and organizing a corporation under the General Corporation Law of the State of Delaware, execute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and certify 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(the “Corporation”) is National CineMedia, Inc.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ADDRESS, AGENT</w:t>
      </w:r>
    </w:p>
    <w:p>
      <w:pPr>
        <w:spacing w:after="0" w:line="165"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address of the registered office of the Corporation in the State of Delaware is 1209 Orange Street, City of Wilmington, County of New Castle, Delaware 19801. The name of the Corporation’s registered agent at that address is Corporation Trust Company.</w:t>
      </w:r>
    </w:p>
    <w:p>
      <w:pPr>
        <w:spacing w:after="0" w:line="7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PURPOSES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DGCL.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AUTHORIZED SHARES</w:t>
      </w:r>
    </w:p>
    <w:p>
      <w:pPr>
        <w:spacing w:after="0" w:line="16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Corporation is authorized to issue one class of stock, to be designated Common Stock. The total number of shares of Common Stock presently authorized is 1,000 (one thousand), each having par value of $0.001.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6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management of the business and the conduct of the affairs of the Corporation shall be vested in its Board of Directors. The number of directors that shall constitute the whole Board of Directors shall be fixed by the Board of Directors in the manner provided in the Bylaws.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89" w:name="page190"/>
    <w:bookmarkEnd w:id="189"/>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is expressly empowered to adopt, amend or repeal the Bylaws of the Corporation. The stockholders shall also have power to adopt, amend or repeal the Bylaws of the Corporation; provided, however, that, in addition to any vote of the holders of any class or series of stock of the Corporation required by law or by this Certificate of Incorporation (as it may from time to time hereafter be amended or restated, this “Certificate”),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 LIABILITY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the fullest extent permitted by the DGCL, as now existing or hereafter amended, a director of the Corporation shall not be liable to the Corporation or any of its stockholders for monetary damages for breach of his or her fiduciary duty as a director. Any amendment or repeal of this Article VI shall be prospective only and shall not adversely affect any limitation, right or protection of a director of the Corporation existing under this Article VI immediately before the amendment or repeal.</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The Corporation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The Corporation shall be required to indemnify or make advances to a Person in connection with a Proceeding (or part thereof) initiated by such Person only if the Proceeding (or part thereof) was authorized by the Board.</w:t>
      </w:r>
    </w:p>
    <w:p>
      <w:pPr>
        <w:spacing w:after="0" w:line="14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xml:space="preserve">. The Corporation shall, to the fullest extent not prohibited by law, pay the expenses (including attorneys’ fees) incurred by a director or officer in defending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expenses incurred by a director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Article VII or otherwise.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0" w:name="page191"/>
    <w:bookmarkEnd w:id="19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or payment of expenses under this Article VII is not paid in full within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VII shall not be exclusive of any other rights that such Person may have or hereafter acquire under any statute, provision of this Certificate, the Bylaws, agreement, vote of stockholders or resolution of disinterested directors or otherwise.</w:t>
      </w:r>
    </w:p>
    <w:p>
      <w:pPr>
        <w:spacing w:after="0" w:line="14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Indemnification of Other Persons</w:t>
      </w:r>
      <w:r>
        <w:rPr>
          <w:rFonts w:ascii="Arial" w:cs="Arial" w:eastAsia="Arial" w:hAnsi="Arial"/>
          <w:sz w:val="16"/>
          <w:szCs w:val="16"/>
          <w:color w:val="auto"/>
        </w:rPr>
        <w:t xml:space="preserve">. This Article VII shall not limit the right of the Corporation, to the extent and in the manner permitted by law, to indemnify and to advance expenses to Persons other than those Persons identified in Section 7.1 when and as authorized by a majority of the entire Board of Directors (without regard to vacancies) or by the action of a committee of the Board or designated officers of the Corporation established by or designated in resolutions approved by a majority of the entire Board of Directors (without regard to vacancies);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expenses incurred by such a Person in advance of the final disposition of the Proceeding shall be made only upon receipt of an undertaking by such Person to repay all amounts advanced if it should be ultimately determined that such Person is not entitled to be indemnified under this Article VII or otherwise.</w:t>
      </w:r>
    </w:p>
    <w:p>
      <w:pPr>
        <w:spacing w:after="0" w:line="27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AMENDMENT</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in the manner now or hereafter prescribed by statute, and all rights conferred upon the stockholders herein are granted subject to this reservation.</w:t>
      </w:r>
    </w:p>
    <w:p>
      <w:pPr>
        <w:spacing w:after="0" w:line="2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SECTION 203</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Corporation hereby elects not to be governed by Section 203 of the DGCL, and the restrictions contained in Section 203 of the DGCL shall not apply to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Certificate the following terms shall have the meaning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“Bylaws” shall mean the bylaws of the Corporation as from time to time in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as defined in Article 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as defined in Article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“DGCL” shall mean the Delaware General Corporation Law.</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“Person” shall mean any individual, corporation, limited liability company, partnership, trust, joint stock company, business trust, unincorporated association, joint venture or other entity or organization of any nature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“Proceeding” as defined in Section 7.1.</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INCORPORATOR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and mailing address of the incorporator is Ralph E. Hardy, 9110 East Nichols Avenue, Suite 200, Centennial, CO 80112.</w:t>
      </w:r>
    </w:p>
    <w:p>
      <w:pPr>
        <w:spacing w:after="0" w:line="16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I, the undersigned, being the incorporator hereinbefore named, do hereby further certify that the facts hereinabove stated are truly</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and accordingly, I have hereunto set my hand this 5th day of October, 2006.</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 E. HARDY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Ralph E. Hardy, Incorporator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undersigned, an authorized natural person, for the purpose of forming a limited liability company, under the provisions and subject to the requirements of the State of Delaware (particularly Chapter 18. Title 6 of the Delaware Code and the acts amendatory thereof and supplemental thereto, and known, identified and referred to as the “Delaware Limited Liability Company Act”), hereby certifies that: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name of the limited liability company (hereinafter the “limited liability company”) is: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177" w:lineRule="exact"/>
        <w:rPr>
          <w:sz w:val="20"/>
          <w:szCs w:val="20"/>
          <w:color w:val="auto"/>
        </w:rPr>
      </w:pPr>
    </w:p>
    <w:p>
      <w:pPr>
        <w:ind w:right="40" w:firstLine="464"/>
        <w:spacing w:after="0" w:line="268"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address of the registered office and the name and the address of the registered agent of the limited liability company required to be maintained under Section 18-104 of the Delaware Limited Liability Company Act are:</w:t>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Corporation Trust Company</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Corporation Trust Center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1209 Orange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Wilmington, DE 19801</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this Certificate of Formation of National CineMedia, LLC this 29</w:t>
      </w:r>
      <w:r>
        <w:rPr>
          <w:rFonts w:ascii="Arial" w:cs="Arial" w:eastAsia="Arial" w:hAnsi="Arial"/>
          <w:sz w:val="21"/>
          <w:szCs w:val="21"/>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March, 2005.</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JOY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Joy Lloyd, Authorized Person</w:t>
      </w:r>
    </w:p>
    <w:p>
      <w:pPr>
        <w:sectPr>
          <w:pgSz w:w="11900" w:h="16838" w:orient="portrait"/>
          <w:cols w:equalWidth="0" w:num="1">
            <w:col w:w="11420"/>
          </w:cols>
          <w:pgMar w:left="24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consent to the use in this Registration Statement on Form S-1 of our report dated October 10, 2006 relating to the financial statements of National CineMedia, LLC and its predecessor, Regal CineMedia Corporation, appearing in the Prospectus, which is part of this Registration Statement.</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consent to the use in this Registration Statement on Form S-1 of our report dated October 10, 2006 relating to the financial statements of National Cinema Network, Inc. appearing in the Prospectus, which is part of this Registration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consent to the reference to us under the heading “Experts” in such Prospectus.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12, 2006</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appears below hereby constitutes and appoints Kurt C. Hall, Gary W. Ferrera and Ralph E. Hardy and each of them singly, his true and lawful attorney-in-fact and agent with full power of substitution and resubstitution, for him and in his name, place, and stead, in any and all capacities, to sign this Registration Statement on Form S-1 for the registration of shares of the common stock of National CineMedia, Inc. and any and all amendments (including post-effective amendments) and additions to this Registration Statement on Form S-1 relating to the offering contemplated hereto, and to file the same, with all exhibits thereto, and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attorneys-in-fact and agents or his substitute or substitutes may lawfully do or cause to be done by virtue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center"/>
              <w:ind w:right="1526"/>
              <w:spacing w:after="0"/>
              <w:rPr>
                <w:sz w:val="20"/>
                <w:szCs w:val="20"/>
                <w:color w:val="auto"/>
              </w:rPr>
            </w:pPr>
            <w:r>
              <w:rPr>
                <w:rFonts w:ascii="Arial" w:cs="Arial" w:eastAsia="Arial" w:hAnsi="Arial"/>
                <w:sz w:val="14"/>
                <w:szCs w:val="14"/>
                <w:b w:val="1"/>
                <w:bCs w:val="1"/>
                <w:color w:val="auto"/>
                <w:w w:val="86"/>
              </w:rPr>
              <w:t>Signature</w:t>
            </w:r>
          </w:p>
        </w:tc>
        <w:tc>
          <w:tcPr>
            <w:tcW w:w="4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424"/>
        </w:trPr>
        <w:tc>
          <w:tcPr>
            <w:tcW w:w="4680" w:type="dxa"/>
            <w:vAlign w:val="bottom"/>
            <w:gridSpan w:val="2"/>
          </w:tcPr>
          <w:p>
            <w:pPr>
              <w:jc w:val="center"/>
              <w:ind w:right="20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URT</w:t>
            </w:r>
            <w:r>
              <w:rPr>
                <w:rFonts w:ascii="Arial" w:cs="Arial" w:eastAsia="Arial" w:hAnsi="Arial"/>
                <w:sz w:val="18"/>
                <w:szCs w:val="18"/>
                <w:color w:val="auto"/>
              </w:rPr>
              <w:t xml:space="preserve"> C. H</w:t>
            </w:r>
            <w:r>
              <w:rPr>
                <w:rFonts w:ascii="Arial" w:cs="Arial" w:eastAsia="Arial" w:hAnsi="Arial"/>
                <w:sz w:val="14"/>
                <w:szCs w:val="14"/>
                <w:color w:val="auto"/>
              </w:rPr>
              <w:t>ALL</w:t>
            </w:r>
          </w:p>
        </w:tc>
        <w:tc>
          <w:tcPr>
            <w:tcW w:w="4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October 12, 2006</w:t>
            </w:r>
          </w:p>
        </w:tc>
        <w:tc>
          <w:tcPr>
            <w:tcW w:w="0" w:type="dxa"/>
            <w:vAlign w:val="bottom"/>
          </w:tcPr>
          <w:p>
            <w:pPr>
              <w:spacing w:after="0"/>
              <w:rPr>
                <w:sz w:val="1"/>
                <w:szCs w:val="1"/>
                <w:color w:val="auto"/>
              </w:rPr>
            </w:pPr>
          </w:p>
        </w:tc>
      </w:tr>
      <w:tr>
        <w:trPr>
          <w:trHeight w:val="35"/>
        </w:trPr>
        <w:tc>
          <w:tcPr>
            <w:tcW w:w="16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3080" w:type="dxa"/>
            <w:vAlign w:val="bottom"/>
          </w:tcPr>
          <w:p>
            <w:pPr>
              <w:jc w:val="center"/>
              <w:ind w:right="1506"/>
              <w:spacing w:after="0"/>
              <w:rPr>
                <w:sz w:val="20"/>
                <w:szCs w:val="20"/>
                <w:color w:val="auto"/>
              </w:rPr>
            </w:pPr>
            <w:r>
              <w:rPr>
                <w:rFonts w:ascii="Arial" w:cs="Arial" w:eastAsia="Arial" w:hAnsi="Arial"/>
                <w:sz w:val="14"/>
                <w:szCs w:val="14"/>
                <w:b w:val="1"/>
                <w:bCs w:val="1"/>
                <w:color w:val="auto"/>
                <w:w w:val="97"/>
              </w:rPr>
              <w:t>Kurt C. Hall</w:t>
            </w:r>
          </w:p>
        </w:tc>
        <w:tc>
          <w:tcPr>
            <w:tcW w:w="44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600" w:type="dxa"/>
            <w:vAlign w:val="bottom"/>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Pr>
          <w:p>
            <w:pPr>
              <w:jc w:val="center"/>
              <w:ind w:right="1466"/>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ARY</w:t>
            </w:r>
            <w:r>
              <w:rPr>
                <w:rFonts w:ascii="Arial" w:cs="Arial" w:eastAsia="Arial" w:hAnsi="Arial"/>
                <w:sz w:val="18"/>
                <w:szCs w:val="18"/>
                <w:color w:val="auto"/>
                <w:w w:val="95"/>
              </w:rPr>
              <w:t xml:space="preserve"> W. F</w:t>
            </w:r>
            <w:r>
              <w:rPr>
                <w:rFonts w:ascii="Arial" w:cs="Arial" w:eastAsia="Arial" w:hAnsi="Arial"/>
                <w:sz w:val="14"/>
                <w:szCs w:val="14"/>
                <w:color w:val="auto"/>
                <w:w w:val="95"/>
              </w:rPr>
              <w:t>ERRERA</w:t>
            </w:r>
          </w:p>
        </w:tc>
        <w:tc>
          <w:tcPr>
            <w:tcW w:w="4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October 12, 2006</w:t>
            </w:r>
          </w:p>
        </w:tc>
        <w:tc>
          <w:tcPr>
            <w:tcW w:w="0" w:type="dxa"/>
            <w:vAlign w:val="bottom"/>
          </w:tcPr>
          <w:p>
            <w:pPr>
              <w:spacing w:after="0"/>
              <w:rPr>
                <w:sz w:val="1"/>
                <w:szCs w:val="1"/>
                <w:color w:val="auto"/>
              </w:rPr>
            </w:pPr>
          </w:p>
        </w:tc>
      </w:tr>
      <w:tr>
        <w:trPr>
          <w:trHeight w:val="35"/>
        </w:trPr>
        <w:tc>
          <w:tcPr>
            <w:tcW w:w="16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3080" w:type="dxa"/>
            <w:vAlign w:val="bottom"/>
          </w:tcPr>
          <w:p>
            <w:pPr>
              <w:jc w:val="center"/>
              <w:ind w:right="1526"/>
              <w:spacing w:after="0"/>
              <w:rPr>
                <w:sz w:val="20"/>
                <w:szCs w:val="20"/>
                <w:color w:val="auto"/>
              </w:rPr>
            </w:pPr>
            <w:r>
              <w:rPr>
                <w:rFonts w:ascii="Arial" w:cs="Arial" w:eastAsia="Arial" w:hAnsi="Arial"/>
                <w:sz w:val="14"/>
                <w:szCs w:val="14"/>
                <w:b w:val="1"/>
                <w:bCs w:val="1"/>
                <w:color w:val="auto"/>
                <w:w w:val="91"/>
              </w:rPr>
              <w:t>Gary W. Ferrera</w:t>
            </w:r>
          </w:p>
        </w:tc>
        <w:tc>
          <w:tcPr>
            <w:tcW w:w="44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4680" w:type="dxa"/>
            <w:vAlign w:val="bottom"/>
            <w:tcBorders>
              <w:bottom w:val="single" w:sz="8" w:color="auto"/>
            </w:tcBorders>
            <w:gridSpan w:val="2"/>
          </w:tcPr>
          <w:p>
            <w:pPr>
              <w:jc w:val="center"/>
              <w:ind w:right="20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L. C</w:t>
            </w:r>
            <w:r>
              <w:rPr>
                <w:rFonts w:ascii="Arial" w:cs="Arial" w:eastAsia="Arial" w:hAnsi="Arial"/>
                <w:sz w:val="14"/>
                <w:szCs w:val="14"/>
                <w:color w:val="auto"/>
              </w:rPr>
              <w:t>AMPBELL</w:t>
            </w:r>
          </w:p>
        </w:tc>
        <w:tc>
          <w:tcPr>
            <w:tcW w:w="4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October 12, 2006</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3080" w:type="dxa"/>
            <w:vAlign w:val="bottom"/>
          </w:tcPr>
          <w:p>
            <w:pPr>
              <w:jc w:val="center"/>
              <w:ind w:right="1506"/>
              <w:spacing w:after="0"/>
              <w:rPr>
                <w:sz w:val="20"/>
                <w:szCs w:val="20"/>
                <w:color w:val="auto"/>
              </w:rPr>
            </w:pPr>
            <w:r>
              <w:rPr>
                <w:rFonts w:ascii="Arial" w:cs="Arial" w:eastAsia="Arial" w:hAnsi="Arial"/>
                <w:sz w:val="14"/>
                <w:szCs w:val="14"/>
                <w:b w:val="1"/>
                <w:bCs w:val="1"/>
                <w:color w:val="auto"/>
                <w:w w:val="90"/>
              </w:rPr>
              <w:t>Michael L. Campbell</w:t>
            </w:r>
          </w:p>
        </w:tc>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tcPr>
          <w:p>
            <w:pPr>
              <w:jc w:val="center"/>
              <w:ind w:right="1446"/>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C. B</w:t>
            </w:r>
            <w:r>
              <w:rPr>
                <w:rFonts w:ascii="Arial" w:cs="Arial" w:eastAsia="Arial" w:hAnsi="Arial"/>
                <w:sz w:val="14"/>
                <w:szCs w:val="14"/>
                <w:color w:val="auto"/>
                <w:w w:val="95"/>
              </w:rPr>
              <w:t>ROWN</w:t>
            </w:r>
          </w:p>
        </w:tc>
        <w:tc>
          <w:tcPr>
            <w:tcW w:w="4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October 12, 2006</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3080" w:type="dxa"/>
            <w:vAlign w:val="bottom"/>
          </w:tcPr>
          <w:p>
            <w:pPr>
              <w:jc w:val="center"/>
              <w:ind w:right="1506"/>
              <w:spacing w:after="0"/>
              <w:rPr>
                <w:sz w:val="20"/>
                <w:szCs w:val="20"/>
                <w:color w:val="auto"/>
              </w:rPr>
            </w:pPr>
            <w:r>
              <w:rPr>
                <w:rFonts w:ascii="Arial" w:cs="Arial" w:eastAsia="Arial" w:hAnsi="Arial"/>
                <w:sz w:val="14"/>
                <w:szCs w:val="14"/>
                <w:b w:val="1"/>
                <w:bCs w:val="1"/>
                <w:color w:val="auto"/>
                <w:w w:val="89"/>
              </w:rPr>
              <w:t>Peter C. Brown</w:t>
            </w:r>
          </w:p>
        </w:tc>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16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tcPr>
          <w:p>
            <w:pPr>
              <w:jc w:val="center"/>
              <w:ind w:right="1446"/>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EE</w:t>
            </w:r>
            <w:r>
              <w:rPr>
                <w:rFonts w:ascii="Arial" w:cs="Arial" w:eastAsia="Arial" w:hAnsi="Arial"/>
                <w:sz w:val="18"/>
                <w:szCs w:val="18"/>
                <w:color w:val="auto"/>
              </w:rPr>
              <w:t xml:space="preserve"> R</w:t>
            </w:r>
            <w:r>
              <w:rPr>
                <w:rFonts w:ascii="Arial" w:cs="Arial" w:eastAsia="Arial" w:hAnsi="Arial"/>
                <w:sz w:val="14"/>
                <w:szCs w:val="14"/>
                <w:color w:val="auto"/>
              </w:rPr>
              <w:t>OY</w:t>
            </w:r>
            <w:r>
              <w:rPr>
                <w:rFonts w:ascii="Arial" w:cs="Arial" w:eastAsia="Arial" w:hAnsi="Arial"/>
                <w:sz w:val="18"/>
                <w:szCs w:val="18"/>
                <w:color w:val="auto"/>
              </w:rPr>
              <w:t xml:space="preserve"> M</w:t>
            </w:r>
            <w:r>
              <w:rPr>
                <w:rFonts w:ascii="Arial" w:cs="Arial" w:eastAsia="Arial" w:hAnsi="Arial"/>
                <w:sz w:val="14"/>
                <w:szCs w:val="14"/>
                <w:color w:val="auto"/>
              </w:rPr>
              <w:t>ITCHELL</w:t>
            </w:r>
          </w:p>
        </w:tc>
        <w:tc>
          <w:tcPr>
            <w:tcW w:w="4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October 12, 2006</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3080" w:type="dxa"/>
            <w:vAlign w:val="bottom"/>
          </w:tcPr>
          <w:p>
            <w:pPr>
              <w:jc w:val="center"/>
              <w:ind w:right="1526"/>
              <w:spacing w:after="0"/>
              <w:rPr>
                <w:sz w:val="20"/>
                <w:szCs w:val="20"/>
                <w:color w:val="auto"/>
              </w:rPr>
            </w:pPr>
            <w:r>
              <w:rPr>
                <w:rFonts w:ascii="Arial" w:cs="Arial" w:eastAsia="Arial" w:hAnsi="Arial"/>
                <w:sz w:val="14"/>
                <w:szCs w:val="14"/>
                <w:b w:val="1"/>
                <w:bCs w:val="1"/>
                <w:color w:val="auto"/>
                <w:w w:val="90"/>
              </w:rPr>
              <w:t>Lee Roy Mitchell</w:t>
            </w:r>
          </w:p>
        </w:tc>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lvl w:ilvl="1">
      <w:lvlJc w:val="left"/>
      <w:lvlText w:val="\emdash "/>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
      <w:numFmt w:val="bullet"/>
      <w:start w:val="1"/>
    </w:lvl>
    <w:lvl w:ilvl="1">
      <w:lvlJc w:val="left"/>
      <w:lvlText w:val="%2."/>
      <w:numFmt w:val="decimal"/>
      <w:start w:val="2"/>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1)"/>
      <w:numFmt w:val="lowerRoman"/>
      <w:start w:val="1"/>
    </w:lvl>
  </w:abstractNum>
  <w:abstractNum w:abstractNumId="35">
    <w:nsid w:val="1A27709E"/>
    <w:multiLevelType w:val="hybridMultilevel"/>
    <w:lvl w:ilvl="0">
      <w:lvlJc w:val="left"/>
      <w:lvlText w:val="(%1)"/>
      <w:numFmt w:val="decimal"/>
      <w:start w:val="1"/>
    </w:lvl>
  </w:abstractNum>
  <w:abstractNum w:abstractNumId="36">
    <w:nsid w:val="71EA1109"/>
    <w:multiLevelType w:val="hybridMultilevel"/>
    <w:lvl w:ilvl="0">
      <w:lvlJc w:val="left"/>
      <w:lvlText w:val="(%1)"/>
      <w:numFmt w:val="decimal"/>
      <w:start w:val="4"/>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1"/>
      <w:numFmt w:val="bullet"/>
      <w:start w:val="1"/>
    </w:lvl>
  </w:abstractNum>
  <w:abstractNum w:abstractNumId="39">
    <w:nsid w:val="6EB5BD4"/>
    <w:multiLevelType w:val="hybridMultilevel"/>
    <w:lvl w:ilvl="0">
      <w:lvlJc w:val="left"/>
      <w:lvlText w:val="3"/>
      <w:numFmt w:val="bullet"/>
      <w:start w:val="1"/>
    </w:lvl>
  </w:abstractNum>
  <w:abstractNum w:abstractNumId="40">
    <w:nsid w:val="6F6DD9AC"/>
    <w:multiLevelType w:val="hybridMultilevel"/>
    <w:lvl w:ilvl="0">
      <w:lvlJc w:val="left"/>
      <w:lvlText w:val="(%1)"/>
      <w:numFmt w:val="lowerRoman"/>
      <w:start w:val="2"/>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1."/>
      <w:numFmt w:val="decimal"/>
      <w:start w:val="3"/>
    </w:lvl>
  </w:abstractNum>
  <w:abstractNum w:abstractNumId="46">
    <w:nsid w:val="14E17E33"/>
    <w:multiLevelType w:val="hybridMultilevel"/>
    <w:lvl w:ilvl="0">
      <w:lvlJc w:val="left"/>
      <w:lvlText w:val="%1."/>
      <w:numFmt w:val="decimal"/>
      <w:start w:val="9"/>
    </w:lvl>
  </w:abstractNum>
  <w:abstractNum w:abstractNumId="47">
    <w:nsid w:val="3222E7CD"/>
    <w:multiLevelType w:val="hybridMultilevel"/>
    <w:lvl w:ilvl="0">
      <w:lvlJc w:val="left"/>
      <w:lvlText w:val="%1."/>
      <w:numFmt w:val="decimal"/>
      <w:start w:val="2"/>
    </w:lvl>
  </w:abstractNum>
  <w:abstractNum w:abstractNumId="48">
    <w:nsid w:val="74DE0EE3"/>
    <w:multiLevelType w:val="hybridMultilevel"/>
    <w:lvl w:ilvl="0">
      <w:lvlJc w:val="left"/>
      <w:lvlText w:val="%1."/>
      <w:numFmt w:val="decimal"/>
      <w:start w:val="3"/>
    </w:lvl>
  </w:abstractNum>
  <w:abstractNum w:abstractNumId="49">
    <w:nsid w:val="68EBC550"/>
    <w:multiLevelType w:val="hybridMultilevel"/>
    <w:lvl w:ilvl="0">
      <w:lvlJc w:val="left"/>
      <w:lvlText w:val="%1."/>
      <w:numFmt w:val="decimal"/>
      <w:start w:val="4"/>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
      <w:numFmt w:val="bullet"/>
      <w:start w:val="1"/>
    </w:lvl>
    <w:lvl w:ilvl="1">
      <w:lvlJc w:val="left"/>
      <w:lvlText w:val="%2."/>
      <w:numFmt w:val="decimal"/>
      <w:start w:val="2"/>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1"/>
      <w:numFmt w:val="lowerLetter"/>
      <w:start w:val="39"/>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lvl w:ilvl="1">
      <w:lvlJc w:val="left"/>
      <w:lvlText w:val="\emdash "/>
      <w:numFmt w:val="bullet"/>
      <w:start w:val="1"/>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1)"/>
      <w:numFmt w:val="decimal"/>
      <w:start w:val="9"/>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1)"/>
      <w:numFmt w:val="lowerLetter"/>
      <w:start w:val="2"/>
    </w:lvl>
  </w:abstractNum>
  <w:abstractNum w:abstractNumId="86">
    <w:nsid w:val="2A155DBC"/>
    <w:multiLevelType w:val="hybridMultilevel"/>
    <w:lvl w:ilvl="0">
      <w:lvlJc w:val="left"/>
      <w:lvlText w:val="•"/>
      <w:numFmt w:val="bullet"/>
      <w:start w:val="1"/>
    </w:lvl>
  </w:abstractNum>
  <w:abstractNum w:abstractNumId="87">
    <w:nsid w:val="1D9F6E5F"/>
    <w:multiLevelType w:val="hybridMultilevel"/>
    <w:lvl w:ilvl="0">
      <w:lvlJc w:val="left"/>
      <w:lvlText w:val="•"/>
      <w:numFmt w:val="bullet"/>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
      <w:numFmt w:val="bullet"/>
      <w:start w:val="1"/>
    </w:lvl>
  </w:abstractNum>
  <w:abstractNum w:abstractNumId="91">
    <w:nsid w:val="53584BCB"/>
    <w:multiLevelType w:val="hybridMultilevel"/>
    <w:lvl w:ilvl="0">
      <w:lvlJc w:val="left"/>
      <w:lvlText w:val="•"/>
      <w:numFmt w:val="bullet"/>
      <w:start w:val="1"/>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1)"/>
      <w:numFmt w:val="lowerRoman"/>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
      <w:numFmt w:val="bullet"/>
      <w:start w:val="1"/>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
      <w:numFmt w:val="bullet"/>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
      <w:numFmt w:val="bullet"/>
      <w:start w:val="1"/>
    </w:lvl>
  </w:abstractNum>
  <w:abstractNum w:abstractNumId="114">
    <w:nsid w:val="5B25ACE2"/>
    <w:multiLevelType w:val="hybridMultilevel"/>
    <w:lvl w:ilvl="0">
      <w:lvlJc w:val="left"/>
      <w:lvlText w:val="$"/>
      <w:numFmt w:val="bullet"/>
      <w:start w:val="1"/>
    </w:lvl>
  </w:abstractNum>
  <w:abstractNum w:abstractNumId="115">
    <w:nsid w:val="175DFCF0"/>
    <w:multiLevelType w:val="hybridMultilevel"/>
    <w:lvl w:ilvl="0">
      <w:lvlJc w:val="left"/>
      <w:lvlText w:val="$"/>
      <w:numFmt w:val="bullet"/>
      <w:start w:val="1"/>
    </w:lvl>
  </w:abstractNum>
  <w:abstractNum w:abstractNumId="116">
    <w:nsid w:val="4F97E3E4"/>
    <w:multiLevelType w:val="hybridMultilevel"/>
    <w:lvl w:ilvl="0">
      <w:lvlJc w:val="left"/>
      <w:lvlText w:val="$"/>
      <w:numFmt w:val="bullet"/>
      <w:start w:val="1"/>
    </w:lvl>
  </w:abstractNum>
  <w:abstractNum w:abstractNumId="117">
    <w:nsid w:val="53B0A9E"/>
    <w:multiLevelType w:val="hybridMultilevel"/>
    <w:lvl w:ilvl="0">
      <w:lvlJc w:val="left"/>
      <w:lvlText w:val="$"/>
      <w:numFmt w:val="bullet"/>
      <w:start w:val="1"/>
    </w:lvl>
  </w:abstractNum>
  <w:abstractNum w:abstractNumId="118">
    <w:nsid w:val="34FD6B4F"/>
    <w:multiLevelType w:val="hybridMultilevel"/>
    <w:lvl w:ilvl="0">
      <w:lvlJc w:val="left"/>
      <w:lvlText w:val="$"/>
      <w:numFmt w:val="bullet"/>
      <w:start w:val="1"/>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lowerLetter"/>
      <w:start w:val="1"/>
    </w:lvl>
    <w:lvl w:ilvl="1">
      <w:lvlJc w:val="left"/>
      <w:lvlText w:val="(%2)"/>
      <w:numFmt w:val="decimal"/>
      <w:start w:val="1"/>
    </w:lvl>
  </w:abstractNum>
  <w:abstractNum w:abstractNumId="129">
    <w:nsid w:val="19E21B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2019-12-15T12:38:05Z</dcterms:created>
  <dcterms:modified xsi:type="dcterms:W3CDTF">2019-12-15T12:38:05Z</dcterms:modified>
</cp:coreProperties>
</file>