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5" w:lineRule="exact"/>
        <w:rPr>
          <w:sz w:val="24"/>
          <w:szCs w:val="24"/>
          <w:color w:val="auto"/>
        </w:rPr>
      </w:pPr>
    </w:p>
    <w:p>
      <w:pPr>
        <w:ind w:left="3660" w:right="740" w:hanging="3564"/>
        <w:spacing w:after="0" w:line="286" w:lineRule="auto"/>
        <w:tabs>
          <w:tab w:leader="none" w:pos="120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25, 2025</w:t>
      </w:r>
    </w:p>
    <w:p>
      <w:pPr>
        <w:spacing w:after="0" w:line="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1200" w:hanging="1104"/>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20"/>
        <w:spacing w:after="0"/>
        <w:tabs>
          <w:tab w:leader="none" w:pos="6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191135</wp:posOffset>
            </wp:positionV>
            <wp:extent cx="1397000"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00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860" w:type="dxa"/>
            <w:vAlign w:val="bottom"/>
          </w:tcPr>
          <w:p>
            <w:pPr>
              <w:spacing w:after="0"/>
              <w:rPr>
                <w:sz w:val="18"/>
                <w:szCs w:val="18"/>
                <w:color w:val="auto"/>
              </w:rPr>
            </w:pPr>
          </w:p>
        </w:tc>
        <w:tc>
          <w:tcPr>
            <w:tcW w:w="2500" w:type="dxa"/>
            <w:vAlign w:val="bottom"/>
            <w:gridSpan w:val="2"/>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0" w:type="dxa"/>
            <w:vAlign w:val="bottom"/>
          </w:tcPr>
          <w:p>
            <w:pPr>
              <w:jc w:val="right"/>
              <w:ind w:right="738"/>
              <w:spacing w:after="0"/>
              <w:rPr>
                <w:sz w:val="20"/>
                <w:szCs w:val="20"/>
                <w:color w:val="auto"/>
              </w:rPr>
            </w:pPr>
            <w:r>
              <w:rPr>
                <w:rFonts w:ascii="Times New Roman" w:cs="Times New Roman" w:eastAsia="Times New Roman" w:hAnsi="Times New Roman"/>
                <w:sz w:val="18"/>
                <w:szCs w:val="18"/>
                <w:b w:val="1"/>
                <w:bCs w:val="1"/>
                <w:color w:val="auto"/>
              </w:rPr>
              <w:t>20-5665602</w:t>
            </w:r>
          </w:p>
        </w:tc>
      </w:tr>
      <w:tr>
        <w:trPr>
          <w:trHeight w:val="149"/>
        </w:trPr>
        <w:tc>
          <w:tcPr>
            <w:tcW w:w="3360" w:type="dxa"/>
            <w:vAlign w:val="bottom"/>
            <w:gridSpan w:val="3"/>
          </w:tcPr>
          <w:p>
            <w:pPr>
              <w:jc w:val="center"/>
              <w:ind w:right="73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0" w:type="dxa"/>
            <w:vAlign w:val="bottom"/>
          </w:tcPr>
          <w:p>
            <w:pPr>
              <w:jc w:val="center"/>
              <w:ind w:left="61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60" w:type="dxa"/>
            <w:vAlign w:val="bottom"/>
            <w:gridSpan w:val="3"/>
          </w:tcPr>
          <w:p>
            <w:pPr>
              <w:jc w:val="center"/>
              <w:ind w:right="71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0" w:type="dxa"/>
            <w:vAlign w:val="bottom"/>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336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6300 S. Syracuse Way, Suite 300</w:t>
            </w:r>
          </w:p>
        </w:tc>
        <w:tc>
          <w:tcPr>
            <w:tcW w:w="22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Centennial</w:t>
            </w:r>
          </w:p>
        </w:tc>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Colorado</w:t>
            </w:r>
          </w:p>
        </w:tc>
        <w:tc>
          <w:tcPr>
            <w:tcW w:w="3200" w:type="dxa"/>
            <w:vAlign w:val="bottom"/>
          </w:tcPr>
          <w:p>
            <w:pPr>
              <w:jc w:val="right"/>
              <w:ind w:right="938"/>
              <w:spacing w:after="0"/>
              <w:rPr>
                <w:sz w:val="20"/>
                <w:szCs w:val="20"/>
                <w:color w:val="auto"/>
              </w:rPr>
            </w:pPr>
            <w:r>
              <w:rPr>
                <w:rFonts w:ascii="Times New Roman" w:cs="Times New Roman" w:eastAsia="Times New Roman" w:hAnsi="Times New Roman"/>
                <w:sz w:val="18"/>
                <w:szCs w:val="18"/>
                <w:b w:val="1"/>
                <w:bCs w:val="1"/>
                <w:color w:val="auto"/>
              </w:rPr>
              <w:t>80111</w:t>
            </w:r>
          </w:p>
        </w:tc>
      </w:tr>
      <w:tr>
        <w:trPr>
          <w:trHeight w:val="190"/>
        </w:trPr>
        <w:tc>
          <w:tcPr>
            <w:tcW w:w="3360" w:type="dxa"/>
            <w:vAlign w:val="bottom"/>
            <w:gridSpan w:val="3"/>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0" w:type="dxa"/>
            <w:vAlign w:val="bottom"/>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7"/>
        </w:trPr>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0" w:type="dxa"/>
            <w:vAlign w:val="bottom"/>
            <w:gridSpan w:val="6"/>
          </w:tcPr>
          <w:p>
            <w:pPr>
              <w:jc w:val="center"/>
              <w:ind w:right="21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(303) 792-3600</w:t>
            </w:r>
          </w:p>
        </w:tc>
      </w:tr>
      <w:tr>
        <w:trPr>
          <w:trHeight w:val="324"/>
        </w:trPr>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0" w:type="dxa"/>
            <w:vAlign w:val="bottom"/>
            <w:gridSpan w:val="6"/>
          </w:tcPr>
          <w:p>
            <w:pPr>
              <w:jc w:val="center"/>
              <w:ind w:right="207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24"/>
        </w:trPr>
        <w:tc>
          <w:tcPr>
            <w:tcW w:w="8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2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8"/>
        </w:trPr>
        <w:tc>
          <w:tcPr>
            <w:tcW w:w="3360" w:type="dxa"/>
            <w:vAlign w:val="bottom"/>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19"/>
                <w:szCs w:val="19"/>
                <w:color w:val="auto"/>
              </w:rPr>
            </w:pP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NCMI</w:t>
            </w:r>
          </w:p>
        </w:tc>
        <w:tc>
          <w:tcPr>
            <w:tcW w:w="120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0"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63"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74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7"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October 28, 2025, 93,831,167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48"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gridSpan w:val="10"/>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783"/>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6"/>
          </w:tcPr>
          <w:p>
            <w:pPr>
              <w:jc w:val="center"/>
              <w:ind w:right="1320"/>
              <w:spacing w:after="0"/>
              <w:rPr>
                <w:sz w:val="20"/>
                <w:szCs w:val="20"/>
                <w:color w:val="auto"/>
              </w:rPr>
            </w:pPr>
            <w:r>
              <w:rPr>
                <w:rFonts w:ascii="Times New Roman" w:cs="Times New Roman" w:eastAsia="Times New Roman" w:hAnsi="Times New Roman"/>
                <w:sz w:val="18"/>
                <w:szCs w:val="18"/>
                <w:b w:val="1"/>
                <w:bCs w:val="1"/>
                <w:color w:val="0000FF"/>
                <w:w w:val="99"/>
              </w:rPr>
              <w:t>PART I</w:t>
            </w:r>
          </w:p>
        </w:tc>
      </w:tr>
      <w:tr>
        <w:trPr>
          <w:trHeight w:val="57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5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600" w:type="dxa"/>
            <w:vAlign w:val="bottom"/>
            <w:tcBorders>
              <w:top w:val="single" w:sz="8" w:color="0000FF"/>
            </w:tcBorders>
            <w:gridSpan w:val="4"/>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w:t>
            </w:r>
          </w:p>
        </w:tc>
        <w:tc>
          <w:tcPr>
            <w:tcW w:w="1800" w:type="dxa"/>
            <w:vAlign w:val="bottom"/>
            <w:gridSpan w:val="5"/>
          </w:tcPr>
          <w:p>
            <w:pPr>
              <w:spacing w:after="0"/>
              <w:rPr>
                <w:sz w:val="24"/>
                <w:szCs w:val="24"/>
                <w:color w:val="auto"/>
              </w:rPr>
            </w:pPr>
          </w:p>
        </w:tc>
      </w:tr>
      <w:tr>
        <w:trPr>
          <w:trHeight w:val="277"/>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r>
      <w:tr>
        <w:trPr>
          <w:trHeight w:val="277"/>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Equity</w:t>
            </w:r>
          </w:p>
        </w:tc>
        <w:tc>
          <w:tcPr>
            <w:tcW w:w="1760" w:type="dxa"/>
            <w:vAlign w:val="bottom"/>
            <w:gridSpan w:val="4"/>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453"/>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280" w:type="dxa"/>
            <w:vAlign w:val="bottom"/>
          </w:tcPr>
          <w:p>
            <w:pPr>
              <w:spacing w:after="0"/>
              <w:rPr>
                <w:sz w:val="24"/>
                <w:szCs w:val="24"/>
                <w:color w:val="auto"/>
              </w:rPr>
            </w:pPr>
          </w:p>
        </w:tc>
      </w:tr>
      <w:tr>
        <w:trPr>
          <w:trHeight w:val="45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8"/>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140" w:type="dxa"/>
            <w:vAlign w:val="bottom"/>
            <w:gridSpan w:val="10"/>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0"/>
        </w:trPr>
        <w:tc>
          <w:tcPr>
            <w:tcW w:w="78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r>
      <w:tr>
        <w:trPr>
          <w:trHeight w:val="27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49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19685</wp:posOffset>
            </wp:positionV>
            <wp:extent cx="342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31</w:t>
      </w:r>
    </w:p>
    <w:p>
      <w:pPr>
        <w:spacing w:after="0" w:line="3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2">
            <w:col w:w="10060" w:space="720"/>
            <w:col w:w="46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3"/>
                <w:szCs w:val="13"/>
                <w:color w:val="auto"/>
              </w:rPr>
            </w:pPr>
          </w:p>
        </w:tc>
      </w:tr>
      <w:tr>
        <w:trPr>
          <w:trHeight w:val="142"/>
        </w:trPr>
        <w:tc>
          <w:tcPr>
            <w:tcW w:w="6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Receivables, net of allowance of $1.1 and $1.2, respectively</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Amounts due from ESA Parties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10.6</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196"/>
        </w:trPr>
        <w:tc>
          <w:tcPr>
            <w:tcW w:w="6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177.9</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9"/>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$8.0 and $4.8,</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216"/>
        </w:trPr>
        <w:tc>
          <w:tcPr>
            <w:tcW w:w="67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respectively</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Intangible assets, net of accumulated amortization of $78.3 and $52.8, respectively</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350.8</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investments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issuance costs, net</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w:t>
            </w:r>
          </w:p>
        </w:tc>
      </w:tr>
      <w:tr>
        <w:trPr>
          <w:trHeight w:val="196"/>
        </w:trPr>
        <w:tc>
          <w:tcPr>
            <w:tcW w:w="6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356.2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390.7</w:t>
            </w:r>
          </w:p>
        </w:tc>
      </w:tr>
      <w:tr>
        <w:trPr>
          <w:trHeight w:val="23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568.6</w:t>
            </w:r>
          </w:p>
        </w:tc>
      </w:tr>
      <w:tr>
        <w:trPr>
          <w:trHeight w:val="183"/>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0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3"/>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Amounts due to ESA Parties, net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Payable under the TRA</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payroll and related expenses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15.6</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6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73.5</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Long-term debt</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Payable under the TRA</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r>
      <w:tr>
        <w:trPr>
          <w:trHeight w:val="203"/>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203"/>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r>
      <w:tr>
        <w:trPr>
          <w:trHeight w:val="196"/>
        </w:trPr>
        <w:tc>
          <w:tcPr>
            <w:tcW w:w="670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83.9</w:t>
            </w:r>
          </w:p>
        </w:tc>
      </w:tr>
      <w:tr>
        <w:trPr>
          <w:trHeight w:val="196"/>
        </w:trPr>
        <w:tc>
          <w:tcPr>
            <w:tcW w:w="6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157.4</w:t>
            </w:r>
          </w:p>
        </w:tc>
      </w:tr>
      <w:tr>
        <w:trPr>
          <w:trHeight w:val="19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EQUITY:</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NCM, Inc. Stockholders’ Equity:</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89"/>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50 issued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3"/>
        </w:trPr>
        <w:tc>
          <w:tcPr>
            <w:tcW w:w="67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and outstanding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Common stock, $0.01 par value; 260,000,000 shares authorized, 93,722,031 and</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216"/>
        </w:trPr>
        <w:tc>
          <w:tcPr>
            <w:tcW w:w="67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95,755,491 issued and outstanding, respectively</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r>
      <w:tr>
        <w:trPr>
          <w:trHeight w:val="202"/>
        </w:trPr>
        <w:tc>
          <w:tcPr>
            <w:tcW w:w="6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127.8</w:t>
            </w:r>
          </w:p>
        </w:tc>
      </w:tr>
      <w:tr>
        <w:trPr>
          <w:trHeight w:val="203"/>
        </w:trPr>
        <w:tc>
          <w:tcPr>
            <w:tcW w:w="6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213.5</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280.9</w:t>
            </w:r>
          </w:p>
        </w:tc>
      </w:tr>
      <w:tr>
        <w:trPr>
          <w:trHeight w:val="196"/>
        </w:trPr>
        <w:tc>
          <w:tcPr>
            <w:tcW w:w="6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NCM, Inc. stockholders’ equity</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411.2</w:t>
            </w:r>
          </w:p>
        </w:tc>
      </w:tr>
      <w:tr>
        <w:trPr>
          <w:trHeight w:val="203"/>
        </w:trPr>
        <w:tc>
          <w:tcPr>
            <w:tcW w:w="6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equity</w:t>
            </w:r>
          </w:p>
        </w:tc>
        <w:tc>
          <w:tcPr>
            <w:tcW w:w="1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350.5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411.2</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451.9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568.6</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-4242435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-3968115</wp:posOffset>
            </wp:positionV>
            <wp:extent cx="111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-3950970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-1868170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-565150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Network operating costs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Theater exhibition fees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0"/>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borrowings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8"/>
        </w:trPr>
        <w:tc>
          <w:tcPr>
            <w:tcW w:w="46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(Gain) loss on re-measurement of the payable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under the tax receivable agreement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1"/>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NCM, INC.</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ATTRIBUTABLE TO NCM, INC.</w:t>
            </w:r>
          </w:p>
        </w:tc>
        <w:tc>
          <w:tcPr>
            <w:tcW w:w="140" w:type="dxa"/>
            <w:vAlign w:val="bottom"/>
            <w:gridSpan w:val="2"/>
            <w:vMerge w:val="continue"/>
            <w:shd w:val="clear" w:color="auto" w:fill="CFF0FC"/>
          </w:tcPr>
          <w:p>
            <w:pPr>
              <w:spacing w:after="0"/>
              <w:rPr>
                <w:sz w:val="20"/>
                <w:szCs w:val="20"/>
                <w:color w:val="auto"/>
              </w:rPr>
            </w:pPr>
          </w:p>
        </w:tc>
        <w:tc>
          <w:tcPr>
            <w:tcW w:w="1480" w:type="dxa"/>
            <w:vAlign w:val="bottom"/>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1460" w:type="dxa"/>
            <w:vAlign w:val="bottom"/>
            <w:vMerge w:val="continue"/>
            <w:shd w:val="clear" w:color="auto" w:fill="CFF0FC"/>
          </w:tcPr>
          <w:p>
            <w:pPr>
              <w:spacing w:after="0"/>
              <w:rPr>
                <w:sz w:val="20"/>
                <w:szCs w:val="20"/>
                <w:color w:val="auto"/>
              </w:rPr>
            </w:pPr>
          </w:p>
        </w:tc>
        <w:tc>
          <w:tcPr>
            <w:tcW w:w="240" w:type="dxa"/>
            <w:vAlign w:val="bottom"/>
            <w:gridSpan w:val="2"/>
            <w:vMerge w:val="continue"/>
            <w:shd w:val="clear" w:color="auto" w:fill="CFF0FC"/>
          </w:tcPr>
          <w:p>
            <w:pPr>
              <w:spacing w:after="0"/>
              <w:rPr>
                <w:sz w:val="20"/>
                <w:szCs w:val="20"/>
                <w:color w:val="auto"/>
              </w:rPr>
            </w:pPr>
          </w:p>
        </w:tc>
        <w:tc>
          <w:tcPr>
            <w:tcW w:w="1440" w:type="dxa"/>
            <w:vAlign w:val="bottom"/>
            <w:vMerge w:val="continue"/>
            <w:shd w:val="clear" w:color="auto" w:fill="CFF0FC"/>
          </w:tcPr>
          <w:p>
            <w:pPr>
              <w:spacing w:after="0"/>
              <w:rPr>
                <w:sz w:val="20"/>
                <w:szCs w:val="20"/>
                <w:color w:val="auto"/>
              </w:rPr>
            </w:pPr>
          </w:p>
        </w:tc>
        <w:tc>
          <w:tcPr>
            <w:tcW w:w="200" w:type="dxa"/>
            <w:vAlign w:val="bottom"/>
            <w:gridSpan w:val="2"/>
            <w:vMerge w:val="continue"/>
            <w:shd w:val="clear" w:color="auto" w:fill="CFF0FC"/>
          </w:tcPr>
          <w:p>
            <w:pPr>
              <w:spacing w:after="0"/>
              <w:rPr>
                <w:sz w:val="20"/>
                <w:szCs w:val="20"/>
                <w:color w:val="auto"/>
              </w:rPr>
            </w:pPr>
          </w:p>
        </w:tc>
        <w:tc>
          <w:tcPr>
            <w:tcW w:w="144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PER NCM, INC. COMMON SHARE:</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93,701,506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94,354,866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96,183,328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94,311,340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94,354,866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96,183,328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-3471545</wp:posOffset>
            </wp:positionV>
            <wp:extent cx="93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-3471545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-3471545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-2211070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-2211070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-2211070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-1928495</wp:posOffset>
            </wp:positionV>
            <wp:extent cx="93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-1928495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-1928495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-1517015</wp:posOffset>
            </wp:positionV>
            <wp:extent cx="93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-1517015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-1517015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-985520</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-967740</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-985520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-967740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-985520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-967740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7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198"/>
        </w:trPr>
        <w:tc>
          <w:tcPr>
            <w:tcW w:w="768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Adjustments to reconcile consolidated net loss to net cash</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shd w:val="clear" w:color="auto" w:fill="CFF0FC"/>
          </w:tcPr>
          <w:p>
            <w:pPr>
              <w:ind w:left="420"/>
              <w:spacing w:after="0" w:line="198" w:lineRule="exact"/>
              <w:rPr>
                <w:sz w:val="20"/>
                <w:szCs w:val="20"/>
                <w:color w:val="auto"/>
              </w:rPr>
            </w:pPr>
            <w:r>
              <w:rPr>
                <w:rFonts w:ascii="Times New Roman" w:cs="Times New Roman" w:eastAsia="Times New Roman" w:hAnsi="Times New Roman"/>
                <w:sz w:val="18"/>
                <w:szCs w:val="18"/>
                <w:color w:val="auto"/>
              </w:rPr>
              <w:t>Non-cash loss on re-measurement of the payable under</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the tax receivable agreement</w:t>
            </w: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consideration received for advertising services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ESA integration and other encumbered theater payments</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to the ESA Parties under the tax receivable agreement</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received from equity method investment</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ESA amounts due to/from, net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 of cost method investment</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intangible asset</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68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Proceeds received from equity method investment</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Payment of dividends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NCM, Inc.'s common stock</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14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Repurchase of stock for restricted stock tax withholding</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76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r>
      <w:tr>
        <w:trPr>
          <w:trHeight w:val="209"/>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-2973705</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5941695</wp:posOffset>
            </wp:positionH>
            <wp:positionV relativeFrom="paragraph">
              <wp:posOffset>-2009140</wp:posOffset>
            </wp:positionV>
            <wp:extent cx="14541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-462280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 w:name="page6"/>
    <w:bookmarkEnd w:id="5"/>
    <w:p>
      <w:pPr>
        <w:ind w:left="3680"/>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1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6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an intangible asset with NCM LLC equity</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Right of use assets obtained in exchange for lease liabilities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dividend equivalent accrual not requiring cash in the period</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method investment obtained in exchange for advertising inventory</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NCM, Inc.</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25"/>
        </w:trPr>
        <w:tc>
          <w:tcPr>
            <w:tcW w:w="3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0"/>
                <w:szCs w:val="10"/>
                <w:color w:val="auto"/>
              </w:rPr>
            </w:pPr>
          </w:p>
        </w:tc>
        <w:tc>
          <w:tcPr>
            <w:tcW w:w="820" w:type="dxa"/>
            <w:vAlign w:val="bottom"/>
            <w:gridSpan w:val="2"/>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3"/>
                <w:szCs w:val="13"/>
                <w:color w:val="auto"/>
              </w:rPr>
            </w:pPr>
          </w:p>
        </w:tc>
        <w:tc>
          <w:tcPr>
            <w:tcW w:w="7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Balance—June 27, 2024</w:t>
            </w:r>
          </w:p>
        </w:tc>
        <w:tc>
          <w:tcPr>
            <w:tcW w:w="300" w:type="dxa"/>
            <w:vAlign w:val="bottom"/>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387.9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95,238,849</w:t>
            </w:r>
          </w:p>
        </w:tc>
        <w:tc>
          <w:tcPr>
            <w:tcW w:w="400" w:type="dxa"/>
            <w:vAlign w:val="bottom"/>
            <w:gridSpan w:val="2"/>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140" w:type="dxa"/>
            <w:vAlign w:val="bottom"/>
            <w:gridSpan w:val="2"/>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121.6</w:t>
            </w:r>
          </w:p>
        </w:tc>
        <w:tc>
          <w:tcPr>
            <w:tcW w:w="3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263.8</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NCM, Inc.'s common stock</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(304,901)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Comprehensive loss, net of tax</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3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150,284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Balance—September 26, 2024</w:t>
            </w:r>
          </w:p>
        </w:tc>
        <w:tc>
          <w:tcPr>
            <w:tcW w:w="3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385.5</w:t>
            </w:r>
          </w:p>
        </w:tc>
        <w:tc>
          <w:tcPr>
            <w:tcW w:w="120" w:type="dxa"/>
            <w:vAlign w:val="bottom"/>
          </w:tcPr>
          <w:p>
            <w:pPr>
              <w:spacing w:after="0"/>
              <w:rPr>
                <w:sz w:val="12"/>
                <w:szCs w:val="12"/>
                <w:color w:val="auto"/>
              </w:rPr>
            </w:pPr>
          </w:p>
        </w:tc>
        <w:tc>
          <w:tcPr>
            <w:tcW w:w="10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95,084,232</w:t>
            </w:r>
          </w:p>
        </w:tc>
        <w:tc>
          <w:tcPr>
            <w:tcW w:w="40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140" w:type="dxa"/>
            <w:vAlign w:val="bottom"/>
            <w:gridSpan w:val="2"/>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124.7</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258.3</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Balance—June 26, 2025</w:t>
            </w:r>
          </w:p>
        </w:tc>
        <w:tc>
          <w:tcPr>
            <w:tcW w:w="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350.0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93,424,020</w:t>
            </w:r>
          </w:p>
        </w:tc>
        <w:tc>
          <w:tcPr>
            <w:tcW w:w="400" w:type="dxa"/>
            <w:vAlign w:val="bottom"/>
            <w:gridSpan w:val="2"/>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114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132.7</w:t>
            </w:r>
          </w:p>
        </w:tc>
        <w:tc>
          <w:tcPr>
            <w:tcW w:w="3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214.8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 net of tax</w:t>
            </w:r>
          </w:p>
        </w:tc>
        <w:tc>
          <w:tcPr>
            <w:tcW w:w="300" w:type="dxa"/>
            <w:vAlign w:val="bottom"/>
          </w:tcPr>
          <w:p>
            <w:pPr>
              <w:spacing w:after="0"/>
              <w:rPr>
                <w:sz w:val="12"/>
                <w:szCs w:val="12"/>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298,011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300" w:type="dxa"/>
            <w:vAlign w:val="bottom"/>
          </w:tcPr>
          <w:p>
            <w:pPr>
              <w:spacing w:after="0"/>
              <w:rPr>
                <w:sz w:val="12"/>
                <w:szCs w:val="12"/>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dividends declared of $0.03 per share</w:t>
            </w:r>
          </w:p>
        </w:tc>
        <w:tc>
          <w:tcPr>
            <w:tcW w:w="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Balance—September 25, 2025</w:t>
            </w:r>
          </w:p>
        </w:tc>
        <w:tc>
          <w:tcPr>
            <w:tcW w:w="3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350.5</w:t>
            </w:r>
          </w:p>
        </w:tc>
        <w:tc>
          <w:tcPr>
            <w:tcW w:w="120" w:type="dxa"/>
            <w:vAlign w:val="bottom"/>
          </w:tcPr>
          <w:p>
            <w:pPr>
              <w:spacing w:after="0"/>
              <w:rPr>
                <w:sz w:val="12"/>
                <w:szCs w:val="12"/>
                <w:color w:val="auto"/>
              </w:rPr>
            </w:pPr>
          </w:p>
        </w:tc>
        <w:tc>
          <w:tcPr>
            <w:tcW w:w="10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93,722,031</w:t>
            </w:r>
          </w:p>
        </w:tc>
        <w:tc>
          <w:tcPr>
            <w:tcW w:w="100" w:type="dxa"/>
            <w:vAlign w:val="bottom"/>
          </w:tcPr>
          <w:p>
            <w:pPr>
              <w:spacing w:after="0"/>
              <w:rPr>
                <w:sz w:val="12"/>
                <w:szCs w:val="12"/>
                <w:color w:val="auto"/>
              </w:rPr>
            </w:pPr>
          </w:p>
        </w:tc>
        <w:tc>
          <w:tcPr>
            <w:tcW w:w="3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2"/>
                <w:szCs w:val="12"/>
                <w:color w:val="auto"/>
              </w:rPr>
            </w:pPr>
          </w:p>
        </w:tc>
        <w:tc>
          <w:tcPr>
            <w:tcW w:w="10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134.5</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213.5</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w w:val="97"/>
              </w:rPr>
              <w:t>NCM, Inc.</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25"/>
        </w:trPr>
        <w:tc>
          <w:tcPr>
            <w:tcW w:w="3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0"/>
                <w:szCs w:val="10"/>
                <w:color w:val="auto"/>
              </w:rPr>
            </w:pPr>
          </w:p>
        </w:tc>
        <w:tc>
          <w:tcPr>
            <w:tcW w:w="820" w:type="dxa"/>
            <w:vAlign w:val="bottom"/>
            <w:gridSpan w:val="2"/>
          </w:tcPr>
          <w:p>
            <w:pPr>
              <w:jc w:val="center"/>
              <w:ind w:right="53"/>
              <w:spacing w:after="0" w:line="12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120" w:type="dxa"/>
            <w:vAlign w:val="bottom"/>
          </w:tcPr>
          <w:p>
            <w:pPr>
              <w:spacing w:after="0"/>
              <w:rPr>
                <w:sz w:val="13"/>
                <w:szCs w:val="13"/>
                <w:color w:val="auto"/>
              </w:rPr>
            </w:pPr>
          </w:p>
        </w:tc>
        <w:tc>
          <w:tcPr>
            <w:tcW w:w="720" w:type="dxa"/>
            <w:vAlign w:val="bottom"/>
            <w:gridSpan w:val="2"/>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4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Balance—December 28, 2023</w:t>
            </w:r>
          </w:p>
        </w:tc>
        <w:tc>
          <w:tcPr>
            <w:tcW w:w="300" w:type="dxa"/>
            <w:vAlign w:val="bottom"/>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434.5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96,837,039</w:t>
            </w:r>
          </w:p>
        </w:tc>
        <w:tc>
          <w:tcPr>
            <w:tcW w:w="400" w:type="dxa"/>
            <w:vAlign w:val="bottom"/>
            <w:gridSpan w:val="2"/>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2.6</w:t>
            </w:r>
          </w:p>
        </w:tc>
        <w:tc>
          <w:tcPr>
            <w:tcW w:w="1140" w:type="dxa"/>
            <w:vAlign w:val="bottom"/>
            <w:gridSpan w:val="2"/>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115.3</w:t>
            </w:r>
          </w:p>
        </w:tc>
        <w:tc>
          <w:tcPr>
            <w:tcW w:w="3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316.6</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4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Income tax and other impacts of</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NCM LLC ownership changes</w:t>
            </w:r>
          </w:p>
        </w:tc>
        <w:tc>
          <w:tcPr>
            <w:tcW w:w="30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4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NCM LLC equity issued for purchase of</w:t>
            </w:r>
          </w:p>
        </w:tc>
        <w:tc>
          <w:tcPr>
            <w:tcW w:w="3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intangible asset</w:t>
            </w: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346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Cash redemption of NCM LLC common</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membership units</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NCM, Inc.'s common stock</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(2,224,488)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net of tax</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471,681</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Balance—September 26, 2024</w:t>
            </w:r>
          </w:p>
        </w:tc>
        <w:tc>
          <w:tcPr>
            <w:tcW w:w="300" w:type="dxa"/>
            <w:vAlign w:val="bottom"/>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385.5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95,084,232</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124.7</w:t>
            </w:r>
          </w:p>
        </w:tc>
        <w:tc>
          <w:tcPr>
            <w:tcW w:w="30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258.3</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Balance—December 26, 2024</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411.2</w:t>
            </w:r>
          </w:p>
        </w:tc>
        <w:tc>
          <w:tcPr>
            <w:tcW w:w="1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95,755,491</w:t>
            </w:r>
          </w:p>
        </w:tc>
        <w:tc>
          <w:tcPr>
            <w:tcW w:w="100" w:type="dxa"/>
            <w:vAlign w:val="bottom"/>
          </w:tcPr>
          <w:p>
            <w:pPr>
              <w:spacing w:after="0"/>
              <w:rPr>
                <w:sz w:val="24"/>
                <w:szCs w:val="24"/>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127.8</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280.9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Purchases of NCM, Inc.'s common stock</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(3,252,394)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 net of tax</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2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Share-based compensation issued, net of tax</w:t>
            </w:r>
          </w:p>
        </w:tc>
        <w:tc>
          <w:tcPr>
            <w:tcW w:w="3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1,218,934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expensed/capitalized</w:t>
            </w:r>
          </w:p>
        </w:tc>
        <w:tc>
          <w:tcPr>
            <w:tcW w:w="300" w:type="dxa"/>
            <w:vAlign w:val="bottom"/>
          </w:tcPr>
          <w:p>
            <w:pPr>
              <w:spacing w:after="0"/>
              <w:rPr>
                <w:sz w:val="12"/>
                <w:szCs w:val="12"/>
                <w:color w:val="auto"/>
              </w:rPr>
            </w:pP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2"/>
                <w:szCs w:val="12"/>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dividends declared of $0.09 per share</w:t>
            </w:r>
          </w:p>
        </w:tc>
        <w:tc>
          <w:tcPr>
            <w:tcW w:w="3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Balance—September 25, 2025</w:t>
            </w:r>
          </w:p>
        </w:tc>
        <w:tc>
          <w:tcPr>
            <w:tcW w:w="3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350.5</w:t>
            </w:r>
          </w:p>
        </w:tc>
        <w:tc>
          <w:tcPr>
            <w:tcW w:w="120" w:type="dxa"/>
            <w:vAlign w:val="bottom"/>
          </w:tcPr>
          <w:p>
            <w:pPr>
              <w:spacing w:after="0"/>
              <w:rPr>
                <w:sz w:val="12"/>
                <w:szCs w:val="12"/>
                <w:color w:val="auto"/>
              </w:rPr>
            </w:pPr>
          </w:p>
        </w:tc>
        <w:tc>
          <w:tcPr>
            <w:tcW w:w="100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93,722,031</w:t>
            </w:r>
          </w:p>
        </w:tc>
        <w:tc>
          <w:tcPr>
            <w:tcW w:w="40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2.5</w:t>
            </w:r>
          </w:p>
        </w:tc>
        <w:tc>
          <w:tcPr>
            <w:tcW w:w="1140" w:type="dxa"/>
            <w:vAlign w:val="bottom"/>
            <w:gridSpan w:val="2"/>
          </w:tcPr>
          <w:p>
            <w:pPr>
              <w:jc w:val="right"/>
              <w:ind w:right="52"/>
              <w:spacing w:after="0" w:line="142"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ind w:left="4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134.5</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213.5</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ind w:left="6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-3231515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-3231515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-3231515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-3231515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-3231515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-3231515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-3231515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-2536825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-2536825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-2536825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-2536825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-2536825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-2536825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-2536825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-814070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-796290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-814070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-796290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-814070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-796290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-814070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-796290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-814070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-796290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-814070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-814070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-796290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-128270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-128270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-128270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-128270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-128270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jc w:val="center"/>
        <w:ind w:left="360" w:right="262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00" w:firstLine="614"/>
        <w:spacing w:after="0" w:line="266" w:lineRule="auto"/>
        <w:rPr>
          <w:sz w:val="20"/>
          <w:szCs w:val="20"/>
          <w:color w:val="auto"/>
        </w:rPr>
      </w:pPr>
      <w:r>
        <w:rPr>
          <w:rFonts w:ascii="Times New Roman" w:cs="Times New Roman" w:eastAsia="Times New Roman" w:hAnsi="Times New Roman"/>
          <w:sz w:val="18"/>
          <w:szCs w:val="18"/>
          <w:color w:val="auto"/>
        </w:rPr>
        <w:t>National CineMedia, Inc., a Delaware corporation (“NCM, Inc.”), is a holding company with the sole purpose of becoming a member and sole manager of National CineMedia, LLC (“NCM LLC”), a Delaware limited liability company. NCM, Inc. currently owns 100.0% of NCM LLC. The terms “NCM”, “the Company” or “we” shall, unless the context otherwise requires, be deemed to reference the consolidated entity.</w:t>
      </w:r>
    </w:p>
    <w:p>
      <w:pPr>
        <w:spacing w:after="0" w:line="68" w:lineRule="exact"/>
        <w:rPr>
          <w:sz w:val="20"/>
          <w:szCs w:val="20"/>
          <w:color w:val="auto"/>
        </w:rPr>
      </w:pPr>
    </w:p>
    <w:p>
      <w:pPr>
        <w:ind w:right="20" w:firstLine="614"/>
        <w:spacing w:after="0" w:line="255" w:lineRule="auto"/>
        <w:rPr>
          <w:sz w:val="20"/>
          <w:szCs w:val="20"/>
          <w:color w:val="auto"/>
        </w:rPr>
      </w:pPr>
      <w:r>
        <w:rPr>
          <w:rFonts w:ascii="Times New Roman" w:cs="Times New Roman" w:eastAsia="Times New Roman" w:hAnsi="Times New Roman"/>
          <w:sz w:val="18"/>
          <w:szCs w:val="18"/>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Show is presented exclusively in 42 leading national and regional theater circuits including the only three national chains, Cinemark USA, Inc., a wholly owned subsidiary of Cinemark Holdings, Inc. (“Cinemark”), American Multi-Cinema, Inc., a wholly owned subsidiary of AMC Entertainment, Inc. (“AMC”) and Regal Cinemas, Inc., a wholly owned subsidiary of Cineworld Group plc and Regal Entertainment Group (“Regal”). NCM’s cinema advertising platform consists of more than 17,500 screens in over 1,350 theaters in 184 Designated Market Areas® (“DMA®”), including all of the top 50.</w:t>
      </w:r>
    </w:p>
    <w:p>
      <w:pPr>
        <w:spacing w:after="0" w:line="81" w:lineRule="exact"/>
        <w:rPr>
          <w:sz w:val="20"/>
          <w:szCs w:val="20"/>
          <w:color w:val="auto"/>
        </w:rPr>
      </w:pPr>
    </w:p>
    <w:p>
      <w:pPr>
        <w:ind w:right="120" w:firstLine="614"/>
        <w:spacing w:after="0" w:line="258" w:lineRule="auto"/>
        <w:rPr>
          <w:sz w:val="20"/>
          <w:szCs w:val="20"/>
          <w:color w:val="auto"/>
        </w:rPr>
      </w:pPr>
      <w:r>
        <w:rPr>
          <w:rFonts w:ascii="Times New Roman" w:cs="Times New Roman" w:eastAsia="Times New Roman" w:hAnsi="Times New Roman"/>
          <w:sz w:val="18"/>
          <w:szCs w:val="18"/>
          <w:color w:val="auto"/>
        </w:rPr>
        <w:t>The Company has long-term exhibitor service agreements (“ESAs”) with Cinemark and AMC and long-term agreements with certain network affiliates, including Regal, which grant the Company the exclusive right in their respective theaters to sell advertising, subject to limited exceptions. As of September 25, 2025, the weighted average remaining term of the ESAs with Cinemark and AMC was approximately 15.9 years. The network affiliate agreements expire at various dates between January 2026 and July 2033. The weighted average remaining term of the ESAs and the network affiliate agreements together is 12.1 years as of September 25,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21"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the Company recorded a gain on deconsolidation of $557.7 million within the second quarter of 2023. NCM, Inc. continued to operate as the manager of the debtor-in-possession pursuant to the authority granted under Chapter 11 of the Bankruptcy Code throughout the Chapter 11 Case.</w:t>
      </w:r>
    </w:p>
    <w:p>
      <w:pPr>
        <w:spacing w:after="0" w:line="79" w:lineRule="exact"/>
        <w:rPr>
          <w:sz w:val="20"/>
          <w:szCs w:val="20"/>
          <w:color w:val="auto"/>
        </w:rPr>
      </w:pPr>
    </w:p>
    <w:p>
      <w:pPr>
        <w:ind w:right="20" w:firstLine="614"/>
        <w:spacing w:after="0" w:line="252"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and also referred to as the "Revolving Credit Facility 2023") to support operations upon emergence. As a result of the Plan, all historical debt of NCM LLC was discharged and NCM LLC recorded a gain on bankruptcy of $916.4 million for the year ended December 28, 2023.</w:t>
      </w:r>
    </w:p>
    <w:p>
      <w:pPr>
        <w:spacing w:after="0" w:line="88" w:lineRule="exact"/>
        <w:rPr>
          <w:sz w:val="20"/>
          <w:szCs w:val="20"/>
          <w:color w:val="auto"/>
        </w:rPr>
      </w:pPr>
    </w:p>
    <w:p>
      <w:pPr>
        <w:ind w:right="80" w:firstLine="614"/>
        <w:spacing w:after="0" w:line="255" w:lineRule="auto"/>
        <w:rPr>
          <w:sz w:val="20"/>
          <w:szCs w:val="20"/>
          <w:color w:val="auto"/>
        </w:rPr>
      </w:pPr>
      <w:r>
        <w:rPr>
          <w:rFonts w:ascii="Times New Roman" w:cs="Times New Roman" w:eastAsia="Times New Roman" w:hAnsi="Times New Roman"/>
          <w:sz w:val="18"/>
          <w:szCs w:val="18"/>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NCM LLC was therefore reconsolidated into the Company’s financial statements prospectively, as of August 7, 2023, akin to an acquisition under </w:t>
      </w:r>
      <w:r>
        <w:rPr>
          <w:rFonts w:ascii="Times New Roman" w:cs="Times New Roman" w:eastAsia="Times New Roman" w:hAnsi="Times New Roman"/>
          <w:sz w:val="18"/>
          <w:szCs w:val="18"/>
          <w:i w:val="1"/>
          <w:iCs w:val="1"/>
          <w:color w:val="auto"/>
        </w:rPr>
        <w:t>Accounting Standards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("ASC") 805 – Business Combinations</w:t>
      </w:r>
      <w:r>
        <w:rPr>
          <w:rFonts w:ascii="Times New Roman" w:cs="Times New Roman" w:eastAsia="Times New Roman" w:hAnsi="Times New Roman"/>
          <w:sz w:val="18"/>
          <w:szCs w:val="18"/>
          <w:color w:val="auto"/>
        </w:rPr>
        <w:t>. In accordance with</w:t>
      </w:r>
      <w:r>
        <w:rPr>
          <w:rFonts w:ascii="Times New Roman" w:cs="Times New Roman" w:eastAsia="Times New Roman" w:hAnsi="Times New Roman"/>
          <w:sz w:val="18"/>
          <w:szCs w:val="18"/>
          <w:i w:val="1"/>
          <w:iCs w:val="1"/>
          <w:color w:val="auto"/>
        </w:rPr>
        <w:t xml:space="preserve"> ASC 805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Combinations</w:t>
      </w:r>
      <w:r>
        <w:rPr>
          <w:rFonts w:ascii="Times New Roman" w:cs="Times New Roman" w:eastAsia="Times New Roman" w:hAnsi="Times New Roman"/>
          <w:sz w:val="18"/>
          <w:szCs w:val="18"/>
          <w:color w:val="auto"/>
        </w:rPr>
        <w:t>, the assets and liabilities of NCM LLC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 w:name="page9"/>
    <w:bookmarkEnd w:id="8"/>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September 25, 2025, the Company had not completed all agreed upon payments to the General Unsecured Claim Pool and held a total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within the escrow accounts and accruals, presented within ‘Restricted cash’ and ‘Accounts payable’ on the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as of September 25, 2025. On March 28, 2025, a final decree was entered by the Bankruptcy Court administratively closing the Chapter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After this administrative closing, the Bankruptcy Court will continue to have jurisdiction over the ongoing claims related to the Chapter 11 Case.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121" w:lineRule="exact"/>
        <w:rPr>
          <w:sz w:val="20"/>
          <w:szCs w:val="20"/>
          <w:color w:val="auto"/>
        </w:rPr>
      </w:pPr>
    </w:p>
    <w:p>
      <w:pPr>
        <w:ind w:right="20" w:firstLine="608"/>
        <w:spacing w:after="0" w:line="253" w:lineRule="auto"/>
        <w:rPr>
          <w:sz w:val="20"/>
          <w:szCs w:val="20"/>
          <w:color w:val="auto"/>
        </w:rPr>
      </w:pPr>
      <w:r>
        <w:rPr>
          <w:rFonts w:ascii="Times New Roman" w:cs="Times New Roman" w:eastAsia="Times New Roman" w:hAnsi="Times New Roman"/>
          <w:sz w:val="18"/>
          <w:szCs w:val="18"/>
          <w:color w:val="auto"/>
        </w:rPr>
        <w:t>Following redemptions of their outstanding membership units in 2022 and 2023, Cinemark and AMC's ownership interests in NCM LLC were reduced to 0.0%.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During the quarter ended March 27, 2025, in accordance with the Common Unit Adjustment Agreement, NCM LLC calculated a reduction of common membership units for AMC and Cinemark to be settled on April 2, 2025. During the quarter ended March 27, 2025, Cinemark, who held no membership units, remitted cash to settle the negative common membership unit adjustment. AMC returned all of their units during the quarter ended June 26, 2025 to partially settle the negative common membership unit adjustment. As of September 25, 2025, AMC and Cinemark hold no ownership interest in NCM LLC and, in accordance with the AMC Termination Agreement (as defined below), AMC is no longer a party to the Common Unit Adjustment Agreement and will no longer receive common membership units. AMC and Cinemark and their affiliates are referred to in this document as “ESA Parties”.</w:t>
      </w:r>
    </w:p>
    <w:p>
      <w:pPr>
        <w:spacing w:after="0" w:line="84" w:lineRule="exact"/>
        <w:rPr>
          <w:sz w:val="20"/>
          <w:szCs w:val="20"/>
          <w:color w:val="auto"/>
        </w:rPr>
      </w:pPr>
    </w:p>
    <w:p>
      <w:pPr>
        <w:ind w:firstLine="614"/>
        <w:spacing w:after="0" w:line="252" w:lineRule="auto"/>
        <w:rPr>
          <w:sz w:val="20"/>
          <w:szCs w:val="20"/>
          <w:color w:val="auto"/>
        </w:rPr>
      </w:pPr>
      <w:r>
        <w:rPr>
          <w:rFonts w:ascii="Times New Roman" w:cs="Times New Roman" w:eastAsia="Times New Roman" w:hAnsi="Times New Roman"/>
          <w:sz w:val="18"/>
          <w:szCs w:val="18"/>
          <w:color w:val="auto"/>
        </w:rPr>
        <w:t>On April 17, 2025, the Company and AMC, entered into the Second Amended and Restated Exhibitor Services Agreement (the “2025 AMC Agreement”) and a separate termination agreement (the “AMC Termination Agreement”) by and among NCM LLC, NCM, Inc. and AMC. The 2025 AMC Agreement extended the term of the ESA by five years and more closely aligns the program distributed by NCM LLC in AMC theaters to the predominant pre-feature program show structure distributed in the rest of NCM LLC's advertising network and adjusted the consideration paid by NCM LLC. The AMC Termination Agreement waived AMC’s rights under certain agreements entered into at the time of the IPO. The agreements were accounted for in accordance with the lease modification guidance within ASC 842—</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the amended ESA contains a short-term operating lease of AMC’s screens. The agreements were considered combined as they were entered into contemporaneously by the same parties. As a result of the agreements, in the quarter ended June 26, 2025, NCM LLC released $21.6 million of the 'Payable under the TRA' and reversed the receivable of $10.6 million from AMC, related to unpaid integration payments, and released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will result in reduced amortization expense, as it is considered akin to lease expense, for the remainder of the contract term. Refer to Note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Note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Note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the Company’s Form 8-K filed with the SEC on April 23, 2025 for additional detail surrounding these agreements.</w:t>
      </w:r>
    </w:p>
    <w:p>
      <w:pPr>
        <w:spacing w:after="0" w:line="87" w:lineRule="exact"/>
        <w:rPr>
          <w:sz w:val="20"/>
          <w:szCs w:val="20"/>
          <w:color w:val="auto"/>
        </w:rPr>
      </w:pPr>
    </w:p>
    <w:p>
      <w:pPr>
        <w:ind w:right="60" w:firstLine="614"/>
        <w:spacing w:after="0" w:line="254" w:lineRule="auto"/>
        <w:rPr>
          <w:sz w:val="20"/>
          <w:szCs w:val="20"/>
          <w:color w:val="auto"/>
        </w:rPr>
      </w:pPr>
      <w:r>
        <w:rPr>
          <w:rFonts w:ascii="Times New Roman" w:cs="Times New Roman" w:eastAsia="Times New Roman" w:hAnsi="Times New Roman"/>
          <w:sz w:val="18"/>
          <w:szCs w:val="18"/>
          <w:color w:val="auto"/>
        </w:rPr>
        <w:t>On January 24, 2025, NCM LLC, as borrower, entered into a Loan and Security Agreement with U.S. Bank National Association, as lender (the “2025 Credit Facility”). The agreement provided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September 25, 2025, NCM LLC has no outstanding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614"/>
        <w:spacing w:after="0" w:line="258"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2024 is derived from the audited financial statements of NCM, Inc. Therefore, the unaudited Condensed Consolidated Financial Statements should be read in conjunction with the audited Consolidated Financial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and notes thereto included in the Company’s annual report on Form 10-K filed for the fiscal year ended December 26, 2024.</w:t>
      </w:r>
    </w:p>
    <w:p>
      <w:pPr>
        <w:spacing w:after="0" w:line="117" w:lineRule="exact"/>
        <w:rPr>
          <w:sz w:val="20"/>
          <w:szCs w:val="20"/>
          <w:color w:val="auto"/>
        </w:rPr>
      </w:pPr>
    </w:p>
    <w:p>
      <w:pPr>
        <w:ind w:right="60" w:firstLine="614"/>
        <w:spacing w:after="0" w:line="255"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only normal recurring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 As a result of the various related party agreements discussed in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w:t>
      </w:r>
    </w:p>
    <w:p>
      <w:pPr>
        <w:spacing w:after="0" w:line="77" w:lineRule="exact"/>
        <w:rPr>
          <w:sz w:val="20"/>
          <w:szCs w:val="20"/>
          <w:color w:val="auto"/>
        </w:rPr>
      </w:pPr>
    </w:p>
    <w:p>
      <w:pPr>
        <w:ind w:right="8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undiscounted cash flows utilized in assessing whether there are impairment indicators for the Company's intangible assets, the reserve for uncollectible accounts receivable, share-based compensation and income taxes. Actual results could differ from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440" w:firstLine="614"/>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26, 2024, contain a complete discussion of the Company’s significant accounting policies. The following is additional information related to the Company’s accounting policies.</w:t>
      </w:r>
    </w:p>
    <w:p>
      <w:pPr>
        <w:spacing w:after="0" w:line="28" w:lineRule="exact"/>
        <w:rPr>
          <w:sz w:val="20"/>
          <w:szCs w:val="20"/>
          <w:color w:val="auto"/>
        </w:rPr>
      </w:pPr>
    </w:p>
    <w:p>
      <w:pPr>
        <w:ind w:right="360" w:firstLine="61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Revenue Recognition</w:t>
      </w:r>
      <w:r>
        <w:rPr>
          <w:rFonts w:ascii="Times New Roman" w:cs="Times New Roman" w:eastAsia="Times New Roman" w:hAnsi="Times New Roman"/>
          <w:sz w:val="17"/>
          <w:szCs w:val="17"/>
          <w:color w:val="auto"/>
        </w:rPr>
        <w:t>—The Company derives revenue principally from the sale of advertising to national, regional and local businesses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our cinema advertising and entertainment show seen on movie screens across the U.S., as well as on our lobby network ("LEN"), a series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strategically-placed screens located in movie theater lobbies, as well as other forms of advertising, promotions and experiences in theater lobbies. In addition, the Company sells data and digital advertising, including through the </w:t>
      </w:r>
      <w:r>
        <w:rPr>
          <w:rFonts w:ascii="Times New Roman" w:cs="Times New Roman" w:eastAsia="Times New Roman" w:hAnsi="Times New Roman"/>
          <w:sz w:val="17"/>
          <w:szCs w:val="17"/>
          <w:i w:val="1"/>
          <w:iCs w:val="1"/>
          <w:color w:val="auto"/>
        </w:rPr>
        <w:t>NCMx™</w:t>
      </w:r>
      <w:r>
        <w:rPr>
          <w:rFonts w:ascii="Times New Roman" w:cs="Times New Roman" w:eastAsia="Times New Roman" w:hAnsi="Times New Roman"/>
          <w:sz w:val="17"/>
          <w:szCs w:val="17"/>
          <w:color w:val="auto"/>
        </w:rPr>
        <w:t xml:space="preserve"> suite of products and through NCM’s digital gaming products, which can be played on the mobile apps and through partnerships with certain internet platforms. Further, the Company sells advertising in a variety of complementary out-of-home venues. The Company also has a long-term agreement to exhibit the advertising of the ESA Parties’ beverage suppliers.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64"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credit losses, a contra asset account which reduces the net receivables balance. The allowance for credit losses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78" w:lineRule="exact"/>
        <w:rPr>
          <w:sz w:val="20"/>
          <w:szCs w:val="20"/>
          <w:color w:val="auto"/>
        </w:rPr>
      </w:pPr>
    </w:p>
    <w:p>
      <w:pPr>
        <w:ind w:firstLine="614"/>
        <w:spacing w:after="0" w:line="261" w:lineRule="auto"/>
        <w:rPr>
          <w:sz w:val="20"/>
          <w:szCs w:val="20"/>
          <w:color w:val="auto"/>
        </w:rPr>
      </w:pPr>
      <w:r>
        <w:rPr>
          <w:rFonts w:ascii="Times New Roman" w:cs="Times New Roman" w:eastAsia="Times New Roman" w:hAnsi="Times New Roman"/>
          <w:sz w:val="18"/>
          <w:szCs w:val="18"/>
          <w:color w:val="auto"/>
        </w:rPr>
        <w:t>The Company had one agency through which it sourced advertising revenue that accounted for 11.2% of the Company’s gross outstanding receivable balance, as of September 25, 2025, and had one agency through which it sourced advertising revenue that accounted for 14.7% of the Company's gross outstanding receivable balance as of December 26, 2024. During the three and nine months ended September 25, 2025, and the three and nine months ended September 26, 2024, the Company had no customers that accounted for more than 10.0% of the Company's revenue.</w:t>
      </w:r>
    </w:p>
    <w:p>
      <w:pPr>
        <w:spacing w:after="0" w:line="68" w:lineRule="exact"/>
        <w:rPr>
          <w:sz w:val="20"/>
          <w:szCs w:val="20"/>
          <w:color w:val="auto"/>
        </w:rPr>
      </w:pPr>
    </w:p>
    <w:p>
      <w:pPr>
        <w:ind w:right="20"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ASC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whether certain triggering events have occurred that could affect the value of an asset. The Company did not record losses related to long-lived assets during the three months ended September 25, 2025 and September 26, 2024, or the nine months ended September 25, 2025 and September 26, 2024,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9" w:lineRule="exact"/>
        <w:rPr>
          <w:sz w:val="20"/>
          <w:szCs w:val="20"/>
          <w:color w:val="auto"/>
        </w:rPr>
      </w:pPr>
    </w:p>
    <w:p>
      <w:pPr>
        <w:ind w:firstLine="60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and restricted stock units to certain employees and its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restricted stock unit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if management changes its estimate of the number of restricted stock units expected to vest in a specific period.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judgment. The fair value of the granted restricted stock units is expensed over an estimated derived service period, which also requires considerable judgment. In accordance with </w:t>
      </w:r>
      <w:r>
        <w:rPr>
          <w:rFonts w:ascii="Times New Roman" w:cs="Times New Roman" w:eastAsia="Times New Roman" w:hAnsi="Times New Roman"/>
          <w:sz w:val="18"/>
          <w:szCs w:val="18"/>
          <w:i w:val="1"/>
          <w:iCs w:val="1"/>
          <w:color w:val="auto"/>
        </w:rPr>
        <w:t>ASC 718—Stock Compensation</w:t>
      </w:r>
      <w:r>
        <w:rPr>
          <w:rFonts w:ascii="Times New Roman" w:cs="Times New Roman" w:eastAsia="Times New Roman" w:hAnsi="Times New Roman"/>
          <w:sz w:val="18"/>
          <w:szCs w:val="18"/>
          <w:color w:val="auto"/>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and nine months ended September 25, 2025 and September 26, 2024, 0.0 million, 0.0 million, 1.5 million and 6.4 million restricted stock units were granted, respectively. During the three and nine months ended September 25, 2025 and September 26, 2024, 0.3 million, 0.2 million, 1.3 million and 0.5 million restricted stock units vested, respectively. Additionally, the Company recorded $1.7 million, $3.1 million, $7.3 million and $9.2 million in share-based compensation expense during the three and nine months ended September 25, 2025 and September 26, 2024, respectively, within ‘Network operating costs,’ ‘Selling and marketing costs’ and ‘Administrative and other costs’ within the unaudited Condensed Consolidated Statements of Operations or have been capitalized within ‘Property and equipment, net’ within the unaudited Condensed Balance Sheets. Certain awards were modified in the nine months ended September 25, 2025 resulting in incremental share-based compensation expense of $0.0 million and $0.4 million during the three and nine months ended September 25, 2025, respectively.</w:t>
      </w:r>
    </w:p>
    <w:p>
      <w:pPr>
        <w:spacing w:after="0" w:line="83" w:lineRule="exact"/>
        <w:rPr>
          <w:sz w:val="20"/>
          <w:szCs w:val="20"/>
          <w:color w:val="auto"/>
        </w:rPr>
      </w:pPr>
    </w:p>
    <w:p>
      <w:pPr>
        <w:ind w:right="6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0.0 million, 0.3 million, 3.3 million and 2.2 million shares repurchased on the open market during the three and nine months ended September 25, 2025 and September 26, 2024, respectively. In accordance with </w:t>
      </w:r>
      <w:r>
        <w:rPr>
          <w:rFonts w:ascii="Times New Roman" w:cs="Times New Roman" w:eastAsia="Times New Roman" w:hAnsi="Times New Roman"/>
          <w:sz w:val="18"/>
          <w:szCs w:val="18"/>
          <w:i w:val="1"/>
          <w:iCs w:val="1"/>
          <w:color w:val="auto"/>
        </w:rPr>
        <w:t>ASC 505 —Equity</w:t>
      </w:r>
      <w:r>
        <w:rPr>
          <w:rFonts w:ascii="Times New Roman" w:cs="Times New Roman" w:eastAsia="Times New Roman" w:hAnsi="Times New Roman"/>
          <w:sz w:val="18"/>
          <w:szCs w:val="18"/>
          <w:color w:val="auto"/>
        </w:rPr>
        <w:t>, the Company elected to retire the shares. Upon the retirement of these shares, any excess over par value paid, inclusive of direct costs, was recorded as a reduction to retained earnings of $0.0 million, $1.9 million, $18.8 million and $11.3 million for the three and nine months ended September 25, 2025 and September 26, 2024, respectively. As of September 25, 2025, 5.8 million shares have been repurchased on the open market since the program's inception.</w:t>
      </w:r>
    </w:p>
    <w:p>
      <w:pPr>
        <w:spacing w:after="0" w:line="80" w:lineRule="exact"/>
        <w:rPr>
          <w:sz w:val="20"/>
          <w:szCs w:val="20"/>
          <w:color w:val="auto"/>
        </w:rPr>
      </w:pPr>
    </w:p>
    <w:p>
      <w:pPr>
        <w:ind w:right="2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Segment Reporting</w:t>
      </w:r>
      <w:r>
        <w:rPr>
          <w:rFonts w:ascii="Times New Roman" w:cs="Times New Roman" w:eastAsia="Times New Roman" w:hAnsi="Times New Roman"/>
          <w:sz w:val="18"/>
          <w:szCs w:val="18"/>
          <w:color w:val="auto"/>
        </w:rPr>
        <w:t>—Advertising is the principal business activity of the Company and is the Company’s only operating and reportable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 the requirements of </w:t>
      </w:r>
      <w:r>
        <w:rPr>
          <w:rFonts w:ascii="Times New Roman" w:cs="Times New Roman" w:eastAsia="Times New Roman" w:hAnsi="Times New Roman"/>
          <w:sz w:val="18"/>
          <w:szCs w:val="18"/>
          <w:i w:val="1"/>
          <w:iCs w:val="1"/>
          <w:color w:val="auto"/>
        </w:rPr>
        <w:t>ASC 280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 to services performed within the United States. The Company’s segment assets are generated and domiciled within the United States.</w:t>
      </w:r>
    </w:p>
    <w:p>
      <w:pPr>
        <w:spacing w:after="0" w:line="75"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color w:val="auto"/>
        </w:rPr>
        <w:t>The chief operating decision maker assesses performance for the one operating and reportable segment and decides how to allocate resources using consolidated net loss, as presented on the unaudited Condensed Consolidated Statement of Operations as ‘Consolidated net loss,’ among other measures. Consolidated net loss is presented herein as the primary measure as it most closely aligns with US GAAP. The chief operating decision maker uses consolidated net loss to decide whether to utilize profits to invest in the Company or to recommend actions to the Board of Directors such as stock repurchases or future dividends. Consolidated net loss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unaudited Condensed Consolidated Statement of Operations. The Company’s other segment items are consistent with the non-operating income and expense financial statement line items as presented within the unaudited Condensed Consolidated Statement of Operations.</w:t>
      </w:r>
    </w:p>
    <w:p>
      <w:pPr>
        <w:spacing w:after="0" w:line="80" w:lineRule="exact"/>
        <w:rPr>
          <w:sz w:val="20"/>
          <w:szCs w:val="20"/>
          <w:color w:val="auto"/>
        </w:rPr>
      </w:pPr>
    </w:p>
    <w:p>
      <w:pPr>
        <w:ind w:right="260" w:firstLine="614"/>
        <w:spacing w:after="0" w:line="266" w:lineRule="auto"/>
        <w:rPr>
          <w:sz w:val="20"/>
          <w:szCs w:val="20"/>
          <w:color w:val="auto"/>
        </w:rPr>
      </w:pPr>
      <w:r>
        <w:rPr>
          <w:rFonts w:ascii="Times New Roman" w:cs="Times New Roman" w:eastAsia="Times New Roman" w:hAnsi="Times New Roman"/>
          <w:sz w:val="18"/>
          <w:szCs w:val="18"/>
          <w:color w:val="auto"/>
        </w:rPr>
        <w:t>The measure of segment assets used to allocate resources is total assets as reported on the unaudited Condensed Consolidated Balance Sheets, inclusive of cash and cash equivalents as well as accounts receivable as reported on the unaudited Condensed Consolidated Balance Sheets as ‘Cash and cash equivalents’ and ‘Receivables, net of allowance,’ respectively.</w:t>
      </w:r>
    </w:p>
    <w:p>
      <w:pPr>
        <w:spacing w:after="0" w:line="64" w:lineRule="exact"/>
        <w:rPr>
          <w:sz w:val="20"/>
          <w:szCs w:val="20"/>
          <w:color w:val="auto"/>
        </w:rPr>
      </w:pPr>
    </w:p>
    <w:p>
      <w:pPr>
        <w:ind w:right="80"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Capital Expenditures</w:t>
      </w:r>
      <w:r>
        <w:rPr>
          <w:rFonts w:ascii="Times New Roman" w:cs="Times New Roman" w:eastAsia="Times New Roman" w:hAnsi="Times New Roman"/>
          <w:sz w:val="18"/>
          <w:szCs w:val="18"/>
          <w:color w:val="auto"/>
        </w:rPr>
        <w:t>—Capital expenditures include digital applications being developed primarily by the Company’s programmers and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use by employees, and in certain cases, the costs necessary to install equipment at or digitize all or a portion of a network affiliate’s theaters when they are added to the Company’s network. Capital expenditures, for the three and nine months ended September 25, 2025 and September 26, 2024, were $1.0 million, $0.6 million, $3.4 million and $3.4 million, respectively.</w:t>
      </w:r>
    </w:p>
    <w:p>
      <w:pPr>
        <w:spacing w:after="0" w:line="64" w:lineRule="exact"/>
        <w:rPr>
          <w:sz w:val="20"/>
          <w:szCs w:val="20"/>
          <w:color w:val="auto"/>
        </w:rPr>
      </w:pPr>
    </w:p>
    <w:p>
      <w:pPr>
        <w:ind w:right="40"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a variable interest entity wherein NCM, Inc. is the primary beneficiary,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cs="Times New Roman" w:eastAsia="Times New Roman" w:hAnsi="Times New Roman"/>
          <w:sz w:val="18"/>
          <w:szCs w:val="18"/>
          <w:i w:val="1"/>
          <w:iCs w:val="1"/>
          <w:color w:val="auto"/>
        </w:rPr>
        <w:t>ASC 810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following table presents the changes in NCM, Inc.’s equity resulting from net income attributable to NCM, Inc. and transfers to or from noncontrolling interests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NCM, Inc.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2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78"/>
        </w:trPr>
        <w:tc>
          <w:tcPr>
            <w:tcW w:w="570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Change from net income (loss) attributable to NCM, Inc. and</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4"/>
        </w:trPr>
        <w:tc>
          <w:tcPr>
            <w:tcW w:w="57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transfers from noncontrolling interests</w:t>
            </w: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00" w:type="dxa"/>
            <w:vAlign w:val="bottom"/>
            <w:tcBorders>
              <w:bottom w:val="single" w:sz="8" w:color="auto"/>
            </w:tcBorders>
            <w:vMerge w:val="continue"/>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-273685</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-273685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-273685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did not adopt any accounting pronouncements during the three and nine months ended September 25,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commonly presented expense captions. Under the new guidance, entities must disclose additional information about certain costs and expenses on an annual and interim basis to enable investors to develop more decision-useful financial analyses. This guidance is effective for issuances on and after December 15, 2026. The Company does not believe this will have a material impact on the Company’s Consolidated Financial Statements.</w:t>
      </w:r>
    </w:p>
    <w:p>
      <w:pPr>
        <w:spacing w:after="0" w:line="79" w:lineRule="exact"/>
        <w:rPr>
          <w:sz w:val="20"/>
          <w:szCs w:val="20"/>
          <w:color w:val="auto"/>
        </w:rPr>
      </w:pPr>
    </w:p>
    <w:p>
      <w:pPr>
        <w:ind w:right="140" w:firstLine="61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Targeted Improvements to the Accounting for Internal-Use Software (“ASU 2025-06”), which modernizes the accounting for internally developed software costs. Under the new guidance, the accounting will better align with how software is developed and eliminates the stage-based rules by establishing a principles-based framework consistent with modern software development practices. This guidance is effective for issuances on and after December 15, 2027. The Company does not believe this will have a material impact on the Company’s Consolidated Financial Statements.</w:t>
      </w:r>
    </w:p>
    <w:p>
      <w:pPr>
        <w:spacing w:after="0" w:line="75" w:lineRule="exact"/>
        <w:rPr>
          <w:sz w:val="20"/>
          <w:szCs w:val="20"/>
          <w:color w:val="auto"/>
        </w:rPr>
      </w:pPr>
    </w:p>
    <w:p>
      <w:pPr>
        <w:ind w:right="60" w:firstLine="614"/>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50" w:lineRule="exact"/>
        <w:rPr>
          <w:sz w:val="20"/>
          <w:szCs w:val="20"/>
          <w:color w:val="auto"/>
        </w:rPr>
      </w:pPr>
    </w:p>
    <w:p>
      <w:pPr>
        <w:ind w:right="390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180" w:firstLine="614"/>
        <w:spacing w:after="0" w:line="257"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data and digital advertising through the </w:t>
      </w:r>
      <w:r>
        <w:rPr>
          <w:rFonts w:ascii="Times New Roman" w:cs="Times New Roman" w:eastAsia="Times New Roman" w:hAnsi="Times New Roman"/>
          <w:sz w:val="18"/>
          <w:szCs w:val="18"/>
          <w:i w:val="1"/>
          <w:iCs w:val="1"/>
          <w:color w:val="auto"/>
        </w:rPr>
        <w:t>NCMx™</w:t>
      </w:r>
      <w:r>
        <w:rPr>
          <w:rFonts w:ascii="Times New Roman" w:cs="Times New Roman" w:eastAsia="Times New Roman" w:hAnsi="Times New Roman"/>
          <w:sz w:val="18"/>
          <w:szCs w:val="18"/>
          <w:color w:val="auto"/>
        </w:rPr>
        <w:t xml:space="preserve"> suite of products and the Company’s digital gaming products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 Company sells advertising in a variety of complementary out-of-home venues. The Company also has a long-term agreement to exhibit up to 90 seconds of advertising to satisfy the ESA Parties’ on-screen advertising commitments under their beverage concessionaire agreements at contractual rates outlined within the ESAs.</w:t>
      </w:r>
    </w:p>
    <w:p>
      <w:pPr>
        <w:spacing w:after="0" w:line="76" w:lineRule="exact"/>
        <w:rPr>
          <w:sz w:val="20"/>
          <w:szCs w:val="20"/>
          <w:color w:val="auto"/>
        </w:rPr>
      </w:pPr>
    </w:p>
    <w:p>
      <w:pPr>
        <w:ind w:right="200" w:firstLine="614"/>
        <w:spacing w:after="0" w:line="261"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right="60" w:firstLine="61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one significant customer contract with a term in excess of one year that is noncancellable as of September 25, 2025. The remaining performance obligation under this contract is $2.8 million as of September 25, 2025 and represents commitments for future advertising services for which work has not been performed and revenues are to be recorded in future periods. The Company expects to recognize all of its remaining performance obligation under this contract within the next 18 months. Agreements with a duration of less than one year or are longer than one year that are cancellable are not considered within unsatisfied performance obligations as the Company elected to use the practical expedient in </w:t>
      </w:r>
      <w:r>
        <w:rPr>
          <w:rFonts w:ascii="Times New Roman" w:cs="Times New Roman" w:eastAsia="Times New Roman" w:hAnsi="Times New Roman"/>
          <w:sz w:val="18"/>
          <w:szCs w:val="18"/>
          <w:i w:val="1"/>
          <w:iCs w:val="1"/>
          <w:color w:val="auto"/>
        </w:rPr>
        <w:t>ASC 606-10-50-14</w:t>
      </w:r>
      <w:r>
        <w:rPr>
          <w:rFonts w:ascii="Times New Roman" w:cs="Times New Roman" w:eastAsia="Times New Roman" w:hAnsi="Times New Roman"/>
          <w:sz w:val="18"/>
          <w:szCs w:val="18"/>
          <w:color w:val="auto"/>
        </w:rPr>
        <w:t xml:space="preserve"> for those contracts.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160" w:firstLine="608"/>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into the categories of national; local and regional and beverage concessionaire based upon a combination of multiple factors including the type of customer, the products included within a contract and the geographic scope. This method of disaggregation is in alignment with how revenue is reviewed by management and discussed with and historically disclosed to investors.</w:t>
      </w:r>
    </w:p>
    <w:p>
      <w:pPr>
        <w:spacing w:after="0" w:line="68" w:lineRule="exact"/>
        <w:rPr>
          <w:sz w:val="20"/>
          <w:szCs w:val="20"/>
          <w:color w:val="auto"/>
        </w:rPr>
      </w:pPr>
    </w:p>
    <w:p>
      <w:pPr>
        <w:ind w:right="220" w:firstLine="60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and nine months ended September 25, 2025 and September 26, 2024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20" w:type="dxa"/>
            <w:vAlign w:val="bottom"/>
          </w:tcPr>
          <w:p>
            <w:pPr>
              <w:spacing w:after="0"/>
              <w:rPr>
                <w:sz w:val="10"/>
                <w:szCs w:val="10"/>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40" w:type="dxa"/>
            <w:vAlign w:val="bottom"/>
          </w:tcPr>
          <w:p>
            <w:pPr>
              <w:spacing w:after="0"/>
              <w:rPr>
                <w:sz w:val="10"/>
                <w:szCs w:val="10"/>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49.9</w:t>
            </w:r>
          </w:p>
        </w:tc>
        <w:tc>
          <w:tcPr>
            <w:tcW w:w="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5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3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8"/>
        </w:trPr>
        <w:tc>
          <w:tcPr>
            <w:tcW w:w="5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ESA advertising revenue from beverage concessionaire</w:t>
            </w:r>
          </w:p>
        </w:tc>
        <w:tc>
          <w:tcPr>
            <w:tcW w:w="3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1"/>
        </w:trPr>
        <w:tc>
          <w:tcPr>
            <w:tcW w:w="5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agreements</w:t>
            </w: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63.4</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-170815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21" w:lineRule="exact"/>
        <w:rPr>
          <w:sz w:val="20"/>
          <w:szCs w:val="20"/>
          <w:color w:val="auto"/>
        </w:rPr>
      </w:pPr>
    </w:p>
    <w:p>
      <w:pPr>
        <w:ind w:right="280" w:firstLine="608"/>
        <w:spacing w:after="0" w:line="266" w:lineRule="auto"/>
        <w:rPr>
          <w:sz w:val="20"/>
          <w:szCs w:val="20"/>
          <w:color w:val="auto"/>
        </w:rPr>
      </w:pPr>
      <w:r>
        <w:rPr>
          <w:rFonts w:ascii="Times New Roman" w:cs="Times New Roman" w:eastAsia="Times New Roman" w:hAnsi="Times New Roman"/>
          <w:sz w:val="18"/>
          <w:szCs w:val="18"/>
          <w:color w:val="auto"/>
        </w:rPr>
        <w:t>Revenue recognized in the nine months ended September 25, 2025 that was included within the ‘Deferred revenue’ balance as of December 26, 2024, was $22.7 million. As of September 25, 2025 and December 26, 2024, the Company had $3.6 million and $2.5 million in unbilled accounts receivable, respectively, within ‘Receivables, net of allowance’ within the unaudited Condensed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right="140" w:firstLine="60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balance is determined separately for each pool of the Company’s receivables with similar risk characteristics. The Company has determined that the use of two pools, national customers and local/regional customers, is appropriate. The changes within the allowance for credit losses balances for the nine months ended September 25, 2025 and September 26, 2024, respectively, were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801"/>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4"/>
          </w:tcPr>
          <w:p>
            <w:pPr>
              <w:jc w:val="right"/>
              <w:ind w:right="738"/>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National Customer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National Customer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bad debt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Write-offs, net</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-170815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(LOSS) PER SHARE</w:t>
      </w:r>
    </w:p>
    <w:p>
      <w:pPr>
        <w:spacing w:after="0" w:line="121" w:lineRule="exact"/>
        <w:rPr>
          <w:sz w:val="20"/>
          <w:szCs w:val="20"/>
          <w:color w:val="auto"/>
        </w:rPr>
      </w:pPr>
    </w:p>
    <w:p>
      <w:pPr>
        <w:ind w:right="200" w:firstLine="614"/>
        <w:spacing w:after="0" w:line="261" w:lineRule="auto"/>
        <w:rPr>
          <w:sz w:val="20"/>
          <w:szCs w:val="20"/>
          <w:color w:val="auto"/>
        </w:rPr>
      </w:pPr>
      <w:r>
        <w:rPr>
          <w:rFonts w:ascii="Times New Roman" w:cs="Times New Roman" w:eastAsia="Times New Roman" w:hAnsi="Times New Roman"/>
          <w:sz w:val="18"/>
          <w:szCs w:val="18"/>
          <w:color w:val="auto"/>
        </w:rPr>
        <w:t>Basic income (loss) per share is computed on the basis of the weighted average number of shares of common stock outstanding. Diluted income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income (loss) per NCM, Inc. share are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6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c>
          <w:tcPr>
            <w:tcW w:w="14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2"/>
                <w:szCs w:val="12"/>
                <w:color w:val="auto"/>
              </w:rPr>
            </w:pPr>
          </w:p>
        </w:tc>
        <w:tc>
          <w:tcPr>
            <w:tcW w:w="152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NCM, Inc. (in millions)</w:t>
            </w: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7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97"/>
        </w:trPr>
        <w:tc>
          <w:tcPr>
            <w:tcW w:w="4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4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93,701,506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94,354,866</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96,183,328</w:t>
            </w:r>
          </w:p>
        </w:tc>
        <w:tc>
          <w:tcPr>
            <w:tcW w:w="0" w:type="dxa"/>
            <w:vAlign w:val="bottom"/>
          </w:tcPr>
          <w:p>
            <w:pPr>
              <w:spacing w:after="0"/>
              <w:rPr>
                <w:sz w:val="1"/>
                <w:szCs w:val="1"/>
                <w:color w:val="auto"/>
              </w:rPr>
            </w:pPr>
          </w:p>
        </w:tc>
      </w:tr>
      <w:tr>
        <w:trPr>
          <w:trHeight w:val="198"/>
        </w:trPr>
        <w:tc>
          <w:tcPr>
            <w:tcW w:w="4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Add: Dilutive effect of stock options, restricted stock</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609,834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exchangeable membership units</w:t>
            </w:r>
          </w:p>
        </w:tc>
        <w:tc>
          <w:tcPr>
            <w:tcW w:w="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94,311,340</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95,221,502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94,354,866</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96,183,328</w:t>
            </w:r>
          </w:p>
        </w:tc>
        <w:tc>
          <w:tcPr>
            <w:tcW w:w="0" w:type="dxa"/>
            <w:vAlign w:val="bottom"/>
          </w:tcPr>
          <w:p>
            <w:pPr>
              <w:spacing w:after="0"/>
              <w:rPr>
                <w:sz w:val="1"/>
                <w:szCs w:val="1"/>
                <w:color w:val="auto"/>
              </w:rPr>
            </w:pPr>
          </w:p>
        </w:tc>
      </w:tr>
      <w:tr>
        <w:trPr>
          <w:trHeight w:val="197"/>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(loss) per NCM, Inc. share:</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7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34"/>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0.02</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7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-1159510</wp:posOffset>
            </wp:positionV>
            <wp:extent cx="93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-1142365</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-1159510</wp:posOffset>
            </wp:positionV>
            <wp:extent cx="93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-1142365</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-1159510</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-1142365</wp:posOffset>
            </wp:positionV>
            <wp:extent cx="93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-448310</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-431165</wp:posOffset>
            </wp:positionV>
            <wp:extent cx="939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-448310</wp:posOffset>
            </wp:positionV>
            <wp:extent cx="939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-431165</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-448310</wp:posOffset>
            </wp:positionV>
            <wp:extent cx="93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-431165</wp:posOffset>
            </wp:positionV>
            <wp:extent cx="939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51" w:lineRule="exact"/>
        <w:rPr>
          <w:sz w:val="20"/>
          <w:szCs w:val="20"/>
          <w:color w:val="auto"/>
        </w:rPr>
      </w:pPr>
    </w:p>
    <w:p>
      <w:pPr>
        <w:ind w:right="40" w:firstLine="614"/>
        <w:spacing w:after="0" w:line="256" w:lineRule="auto"/>
        <w:rPr>
          <w:sz w:val="20"/>
          <w:szCs w:val="20"/>
          <w:color w:val="auto"/>
        </w:rPr>
      </w:pPr>
      <w:r>
        <w:rPr>
          <w:rFonts w:ascii="Times New Roman" w:cs="Times New Roman" w:eastAsia="Times New Roman" w:hAnsi="Times New Roman"/>
          <w:sz w:val="18"/>
          <w:szCs w:val="18"/>
          <w:color w:val="auto"/>
        </w:rPr>
        <w:t>The effect of the 0, 19,566, 1,160, and 6,522 weighted average exchangeable NCM LLC common units held by AMC, for the three and nine months ended September 25, 2025 and September 26, 2024, respectively, have been excluded from the calculation of diluted weighted average shares and income (loss) per NCM, Inc. share as they were anti-dilutive. NCM LLC common units do not participate in dividends paid on NCM, Inc.'s common stock. In addition, there were 6,028,264, 6,553,890, 6,028,264, and 6,553,890 stock options and non-vested restricted stock units for the three and nine months ended September 25, 2025 and September 26, 2024, respectively, excluded from the calculation as they were anti-dilutive. The Company’s non-vested (restricted) shares do not meet the definition of a participating security as the dividends will not be paid if the shares do not vest.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right="120" w:firstLine="608"/>
        <w:spacing w:after="0" w:line="253" w:lineRule="auto"/>
        <w:rPr>
          <w:sz w:val="20"/>
          <w:szCs w:val="20"/>
          <w:color w:val="auto"/>
        </w:rPr>
      </w:pPr>
      <w:r>
        <w:rPr>
          <w:rFonts w:ascii="Times New Roman" w:cs="Times New Roman" w:eastAsia="Times New Roman" w:hAnsi="Times New Roman"/>
          <w:sz w:val="18"/>
          <w:szCs w:val="18"/>
          <w:color w:val="auto"/>
        </w:rPr>
        <w:t>The Company’s intangible assets consist of contractual rights to provide its services within the theaters under the ESAs and the network affiliate agreements, as well as for customer relationships developed and maintained by the Company’s sales force, trademarks held and used by the Company and datasets acquired and used by the Company. The Company's intangible assets, as of the reconsolidation date of August 7, 2023, were revalued at their estimated fair values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of accumulated amortization. Subsequently acquired intangible assets are recorded at cost. The Company records amortization using the straight-line method over the estimated useful life of each intangible asset. For the contractual rights to provide advertising services within the theaters under the ESA and network affiliate agreements, the estimated useful life corresponds to the term of the ESAs and the average renewable term of the contracts with the network affiliates. For the customer relationships developed and maintained by the Company’s sales force and trademarks held and used by the Company, the estimated useful life corresponds to industry standard lives for customer relationships and trademarks. For the datasets, the estimated useful life corresponds to the shorter of the use rights outlined in the contract under which they were acquired and the estimated rate of obsolescence of the datasets' usefulness. In accordance with </w:t>
      </w:r>
      <w:r>
        <w:rPr>
          <w:rFonts w:ascii="Times New Roman" w:cs="Times New Roman" w:eastAsia="Times New Roman" w:hAnsi="Times New Roman"/>
          <w:sz w:val="18"/>
          <w:szCs w:val="18"/>
          <w:i w:val="1"/>
          <w:iCs w:val="1"/>
          <w:color w:val="auto"/>
        </w:rPr>
        <w:t>ASC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Company continuously monitors the performance of the underlying assets for potential triggering events suggesting an impairment review should be performed.</w:t>
      </w:r>
    </w:p>
    <w:p>
      <w:pPr>
        <w:spacing w:after="0" w:line="84" w:lineRule="exact"/>
        <w:rPr>
          <w:sz w:val="20"/>
          <w:szCs w:val="20"/>
          <w:color w:val="auto"/>
        </w:rPr>
      </w:pPr>
    </w:p>
    <w:p>
      <w:pPr>
        <w:ind w:right="100" w:firstLine="608"/>
        <w:spacing w:after="0" w:line="254" w:lineRule="auto"/>
        <w:rPr>
          <w:sz w:val="20"/>
          <w:szCs w:val="20"/>
          <w:color w:val="auto"/>
        </w:rPr>
      </w:pPr>
      <w:r>
        <w:rPr>
          <w:rFonts w:ascii="Times New Roman" w:cs="Times New Roman" w:eastAsia="Times New Roman" w:hAnsi="Times New Roman"/>
          <w:sz w:val="18"/>
          <w:szCs w:val="18"/>
          <w:color w:val="auto"/>
        </w:rPr>
        <w:t xml:space="preserve">Upon entering into the 2025 AMC Agreement, the Company determined that there was a triggering event for the Company’s intangible asset group, including the amount related to AMC, under </w:t>
      </w:r>
      <w:r>
        <w:rPr>
          <w:rFonts w:ascii="Times New Roman" w:cs="Times New Roman" w:eastAsia="Times New Roman" w:hAnsi="Times New Roman"/>
          <w:sz w:val="18"/>
          <w:szCs w:val="18"/>
          <w:i w:val="1"/>
          <w:iCs w:val="1"/>
          <w:color w:val="auto"/>
        </w:rPr>
        <w:t>ASC 360—Impairment and Disposal of Long-Lived Assets</w:t>
      </w:r>
      <w:r>
        <w:rPr>
          <w:rFonts w:ascii="Times New Roman" w:cs="Times New Roman" w:eastAsia="Times New Roman" w:hAnsi="Times New Roman"/>
          <w:sz w:val="18"/>
          <w:szCs w:val="18"/>
          <w:color w:val="auto"/>
        </w:rPr>
        <w:t xml:space="preserve"> during the quarter ended June 26, 2025. Management estimated future undiscounted cash flows, including the impacts of the new fee structure under the 2025 AMC Agreement, which has been adjusted to be based on the attendance, the operating screens and the revenue generated by the Company through the advertising displayed in AMC's theaters beginning on July 1, 2025, and the increase in the useful life due to the five year extension. The estimated future cash flows calculated within the analysis were well in excess of the net book value of the Company’s intangible assets and no impairment was recorded in the quarter ended June 26, 2025. Such analysis required management to make estimates and assumptions based on historical data and consideration of future market conditions. Actual results may differ from the estimates and assumptions used, or conditions may change, which could result in impairment charges in the future.</w:t>
      </w:r>
    </w:p>
    <w:p>
      <w:pPr>
        <w:spacing w:after="0" w:line="80" w:lineRule="exact"/>
        <w:rPr>
          <w:sz w:val="20"/>
          <w:szCs w:val="20"/>
          <w:color w:val="auto"/>
        </w:rPr>
      </w:pPr>
    </w:p>
    <w:p>
      <w:pPr>
        <w:ind w:right="10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on an annual basis NCM LLC determines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amount of common membership units to be issued to or returned by AMC (through April 17, 2025) and Cinemark based on theater additions, new builds or dispositions during the previous year. In addition, NCM LLC’s Common Unit Adjustment Agreement required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In the event that the adjustment was negative and either AMC or Cinemark did not have sufficient common membership units to return, the adjustment was satisfied in cash in an amount calculated pursuant to NCM LLC’s Common Unit Adjustment Agreement. Upon the issuance of common membership units, the Company recorded an addition to the intangible asset related to AMC and Cinemark’s respective ESAs equal to the fair market value of NCM, Inc.’s publicly traded stock as of the date on which the common membership units were issued. NCM LLC common membership units are fully convertible into NCM, Inc.’s common stock. Subsequent to April 17, 2025 and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accordance with the AMC Termination Agreement, AMC is no longer a party to the Common Unit Adjustment Agreement and will no longer receive NCM LLC Common Units.</w:t>
      </w:r>
    </w:p>
    <w:p>
      <w:pPr>
        <w:spacing w:after="0" w:line="54" w:lineRule="exact"/>
        <w:rPr>
          <w:sz w:val="20"/>
          <w:szCs w:val="20"/>
          <w:color w:val="auto"/>
        </w:rPr>
      </w:pPr>
    </w:p>
    <w:p>
      <w:pPr>
        <w:ind w:right="40" w:firstLine="608"/>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in accordance with the Common Unit Adjustment Agreement, NCM LLC calculated a reduction of common membership units for AMC and Cinemark to be settled on April 2, 2025. Cinemark, who held no membership units, remitted cash to settle the negative common membership unit adjustment. In connection with the Common Unit Adjustment Agreement and the AMC Termination Agreement, AMC returned all of its units and was forgiven any remaining negative common unit adjustment. These transactions resulted in a reduction of the intangible asset of $0.1 million during the nine months ended September 25, 2025. As of September 25, 2025, AMC and Cinemark held no ownership interest in NCM LLC.</w:t>
      </w:r>
    </w:p>
    <w:p>
      <w:pPr>
        <w:spacing w:after="0" w:line="75" w:lineRule="exact"/>
        <w:rPr>
          <w:sz w:val="20"/>
          <w:szCs w:val="20"/>
          <w:color w:val="auto"/>
        </w:rPr>
      </w:pPr>
    </w:p>
    <w:p>
      <w:pPr>
        <w:ind w:right="20" w:firstLine="608"/>
        <w:spacing w:after="0" w:line="281" w:lineRule="auto"/>
        <w:rPr>
          <w:sz w:val="20"/>
          <w:szCs w:val="20"/>
          <w:color w:val="auto"/>
        </w:rPr>
      </w:pPr>
      <w:r>
        <w:rPr>
          <w:rFonts w:ascii="Times New Roman" w:cs="Times New Roman" w:eastAsia="Times New Roman" w:hAnsi="Times New Roman"/>
          <w:sz w:val="17"/>
          <w:szCs w:val="17"/>
          <w:color w:val="auto"/>
        </w:rPr>
        <w:t>During the second quarter of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was de minimis.</w:t>
      </w:r>
    </w:p>
    <w:p>
      <w:pPr>
        <w:spacing w:after="0" w:line="52" w:lineRule="exact"/>
        <w:rPr>
          <w:sz w:val="20"/>
          <w:szCs w:val="20"/>
          <w:color w:val="auto"/>
        </w:rPr>
      </w:pPr>
    </w:p>
    <w:p>
      <w:pPr>
        <w:ind w:firstLine="60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place with respect to any acquired theaters (“Encumbered Theaters”), the applicable ESA party, AMC (through April 17, 2025) or Cinemark,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Integration payments were calculated based upon the advertising cash flow that the Company would have generated if it had exclusive access to sell advertising in the theaters with pre-existing advertising agreements. The ESAs with AMC and Cinemark additionally entitle NCM LLC to payments related to their on-screen advertising commitments under their beverage concessionaire agreements for Encumbered Theaters. The encumbered beverage payments are also accounted for as a reduction to the intangible asset related to the ESAs. Given that the Carmike Cinemas, Inc. (“Carmike”) theaters acquired by AMC are subject to an existing on-screen advertising agreement with an alternative provider, AMC made integration payments and encumbered beverage payments to NCM LLC prior to the 2025 AMC Agreement. Upon the effectiveness of the 2025 AMC Agreement, and assuming the opt out provision is not exercised, AMC is no longer required to make integration payments, and the $10.6 million in accrued integration payments owed by AMC was forgiven. The Company recorded the forgiveness of the receivable as an increase to the ESA Party intangible asset, during the quarter ended June 26, 2025, in accordance with the lease modification guidance outlined in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—Leases. During the three and nine months ended September 25, 2025 and September 26, 2024, and prior to the effectiveness of the 2025 AMC Agreement, the Company recorded a reduction to net intangible assets of $0.0 million, $1.2 million, $0.6 million, and 2.2 million, respectively, related to integration and other Encumbered Theater payments. During the three and nine months ended September 25, 2025 and September 26, 2024, AMC and Cinemark paid a total of $0.2 million, $0.5 million, $0.7 million, and $0.9 million, respectively, in integration and Encumbered Theater payments.</w:t>
      </w:r>
    </w:p>
    <w:p>
      <w:pPr>
        <w:spacing w:after="0" w:line="89" w:lineRule="exact"/>
        <w:rPr>
          <w:sz w:val="20"/>
          <w:szCs w:val="20"/>
          <w:color w:val="auto"/>
        </w:rPr>
      </w:pPr>
    </w:p>
    <w:p>
      <w:pPr>
        <w:ind w:right="100" w:firstLine="608"/>
        <w:spacing w:after="0" w:line="266" w:lineRule="auto"/>
        <w:rPr>
          <w:sz w:val="20"/>
          <w:szCs w:val="20"/>
          <w:color w:val="auto"/>
        </w:rPr>
      </w:pPr>
      <w:r>
        <w:rPr>
          <w:rFonts w:ascii="Times New Roman" w:cs="Times New Roman" w:eastAsia="Times New Roman" w:hAnsi="Times New Roman"/>
          <w:sz w:val="18"/>
          <w:szCs w:val="18"/>
          <w:color w:val="auto"/>
        </w:rPr>
        <w:t>As of September 25, 2025 and December 26, 2024, the Company’s intangible assets related to the ESA Party agreements were $189.9 million, net of accumulated amortization of $37.4 million, and $212.3 million, net of accumulated amortization of $26.3 million, respectively, with weighted average remaining lives of 15.4 years and 11.6 years, respectively.</w:t>
      </w:r>
    </w:p>
    <w:p>
      <w:pPr>
        <w:spacing w:after="0" w:line="68" w:lineRule="exact"/>
        <w:rPr>
          <w:sz w:val="20"/>
          <w:szCs w:val="20"/>
          <w:color w:val="auto"/>
        </w:rPr>
      </w:pPr>
    </w:p>
    <w:p>
      <w:pPr>
        <w:ind w:right="20" w:firstLine="608"/>
        <w:spacing w:after="0" w:line="266" w:lineRule="auto"/>
        <w:rPr>
          <w:sz w:val="20"/>
          <w:szCs w:val="20"/>
          <w:color w:val="auto"/>
        </w:rPr>
      </w:pPr>
      <w:r>
        <w:rPr>
          <w:rFonts w:ascii="Times New Roman" w:cs="Times New Roman" w:eastAsia="Times New Roman" w:hAnsi="Times New Roman"/>
          <w:sz w:val="18"/>
          <w:szCs w:val="18"/>
          <w:color w:val="auto"/>
        </w:rPr>
        <w:t>As of September 25, 2025 and December 26, 2024, the Company’s intangible assets related to the network affiliate agreements were $65.0 million, net of accumulated amortization of $10.0 million, and $68.5 million, net of accumulated amortization of $6.5 million, respectively, with weighted average remaining lives of 13.9 years and 14.6 years, respectively.</w:t>
      </w:r>
    </w:p>
    <w:p>
      <w:pPr>
        <w:spacing w:after="0" w:line="68" w:lineRule="exact"/>
        <w:rPr>
          <w:sz w:val="20"/>
          <w:szCs w:val="20"/>
          <w:color w:val="auto"/>
        </w:rPr>
      </w:pPr>
    </w:p>
    <w:p>
      <w:pPr>
        <w:ind w:right="260" w:firstLine="608"/>
        <w:spacing w:after="0" w:line="266" w:lineRule="auto"/>
        <w:rPr>
          <w:sz w:val="20"/>
          <w:szCs w:val="20"/>
          <w:color w:val="auto"/>
        </w:rPr>
      </w:pPr>
      <w:r>
        <w:rPr>
          <w:rFonts w:ascii="Times New Roman" w:cs="Times New Roman" w:eastAsia="Times New Roman" w:hAnsi="Times New Roman"/>
          <w:sz w:val="18"/>
          <w:szCs w:val="18"/>
          <w:color w:val="auto"/>
        </w:rPr>
        <w:t>As of September 25, 2025 and December 26, 2024, the Company’s intangible assets related to customer relationships were $48.2 million, net of accumulated amortization of $26.8 million, and $57.6 million, net of accumulated amortization of $17.4 million, respectively, with weighted average remaining lives of 3.9 years and 4.6 years, respectively.</w:t>
      </w:r>
    </w:p>
    <w:p>
      <w:pPr>
        <w:spacing w:after="0" w:line="68" w:lineRule="exact"/>
        <w:rPr>
          <w:sz w:val="20"/>
          <w:szCs w:val="20"/>
          <w:color w:val="auto"/>
        </w:rPr>
      </w:pPr>
    </w:p>
    <w:p>
      <w:pPr>
        <w:jc w:val="both"/>
        <w:ind w:firstLine="608"/>
        <w:spacing w:after="0" w:line="266" w:lineRule="auto"/>
        <w:rPr>
          <w:sz w:val="20"/>
          <w:szCs w:val="20"/>
          <w:color w:val="auto"/>
        </w:rPr>
      </w:pPr>
      <w:r>
        <w:rPr>
          <w:rFonts w:ascii="Times New Roman" w:cs="Times New Roman" w:eastAsia="Times New Roman" w:hAnsi="Times New Roman"/>
          <w:sz w:val="18"/>
          <w:szCs w:val="18"/>
          <w:color w:val="auto"/>
        </w:rPr>
        <w:t>As of September 25, 2025 and December 26, 2024, the Company’s intangible asset related to the trademark was $11.0 million, net of accumulated amortization of $4.0 million, and $12.4 million, net of accumulated amortization of $2.6 million, respectively, with weighted average remaining lives of 5.9 years and 6.6 years, respectively.</w:t>
      </w:r>
    </w:p>
    <w:p>
      <w:pPr>
        <w:spacing w:after="0" w:line="68" w:lineRule="exact"/>
        <w:rPr>
          <w:sz w:val="20"/>
          <w:szCs w:val="20"/>
          <w:color w:val="auto"/>
        </w:rPr>
      </w:pPr>
    </w:p>
    <w:p>
      <w:pPr>
        <w:ind w:right="440" w:firstLine="608"/>
        <w:spacing w:after="0" w:line="282" w:lineRule="auto"/>
        <w:rPr>
          <w:sz w:val="20"/>
          <w:szCs w:val="20"/>
          <w:color w:val="auto"/>
        </w:rPr>
      </w:pPr>
      <w:r>
        <w:rPr>
          <w:rFonts w:ascii="Times New Roman" w:cs="Times New Roman" w:eastAsia="Times New Roman" w:hAnsi="Times New Roman"/>
          <w:sz w:val="18"/>
          <w:szCs w:val="18"/>
          <w:color w:val="auto"/>
        </w:rPr>
        <w:t>As of September 25, 2025, the Company’s intangible assets related to the datasets were $0.3 million, net of accumulated amortization of $0.1 million, with a weighted average remaining lives of 2.3 years. This asset was obtained during the quarter ended June 26, 2025.</w:t>
      </w:r>
    </w:p>
    <w:p>
      <w:pPr>
        <w:spacing w:after="0" w:line="54" w:lineRule="exact"/>
        <w:rPr>
          <w:sz w:val="20"/>
          <w:szCs w:val="20"/>
          <w:color w:val="auto"/>
        </w:rPr>
      </w:pPr>
    </w:p>
    <w:p>
      <w:pPr>
        <w:ind w:right="240" w:firstLine="608"/>
        <w:spacing w:after="0" w:line="282" w:lineRule="auto"/>
        <w:rPr>
          <w:sz w:val="20"/>
          <w:szCs w:val="20"/>
          <w:color w:val="auto"/>
        </w:rPr>
      </w:pPr>
      <w:r>
        <w:rPr>
          <w:rFonts w:ascii="Times New Roman" w:cs="Times New Roman" w:eastAsia="Times New Roman" w:hAnsi="Times New Roman"/>
          <w:sz w:val="18"/>
          <w:szCs w:val="18"/>
          <w:color w:val="auto"/>
        </w:rPr>
        <w:t>The estimated aggregate amortization expense for the remainder of fiscal 2025 is $7.9 million, $31.5 million for fiscal years 2026 through 2027, and $31.4 million for fiscal year 2028.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79" w:lineRule="exact"/>
        <w:rPr>
          <w:sz w:val="20"/>
          <w:szCs w:val="20"/>
          <w:color w:val="auto"/>
        </w:rPr>
      </w:pPr>
    </w:p>
    <w:p>
      <w:pPr>
        <w:ind w:right="8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owned 32% each by AMC, Cinemark and Regal and 4% by NCM LLC. The Company accounts for its investment in AC JV, LLC under the equity method of accounting in accordance with </w:t>
      </w:r>
      <w:r>
        <w:rPr>
          <w:rFonts w:ascii="Times New Roman" w:cs="Times New Roman" w:eastAsia="Times New Roman" w:hAnsi="Times New Roman"/>
          <w:sz w:val="18"/>
          <w:szCs w:val="18"/>
          <w:i w:val="1"/>
          <w:iCs w:val="1"/>
          <w:color w:val="auto"/>
        </w:rPr>
        <w:t>ASC 323-30, Investments—Equity Method and Joint Ventures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323-30</w:t>
      </w:r>
      <w:r>
        <w:rPr>
          <w:rFonts w:ascii="Times New Roman" w:cs="Times New Roman" w:eastAsia="Times New Roman" w:hAnsi="Times New Roman"/>
          <w:sz w:val="18"/>
          <w:szCs w:val="18"/>
          <w:color w:val="auto"/>
        </w:rPr>
        <w:t xml:space="preserve">”) because AC JV, LLC is a limited liability company with the characteristics of a limited partnership and </w:t>
      </w:r>
      <w:r>
        <w:rPr>
          <w:rFonts w:ascii="Times New Roman" w:cs="Times New Roman" w:eastAsia="Times New Roman" w:hAnsi="Times New Roman"/>
          <w:sz w:val="18"/>
          <w:szCs w:val="18"/>
          <w:i w:val="1"/>
          <w:iCs w:val="1"/>
          <w:color w:val="auto"/>
        </w:rPr>
        <w:t>ASC 323-30</w:t>
      </w:r>
      <w:r>
        <w:rPr>
          <w:rFonts w:ascii="Times New Roman" w:cs="Times New Roman" w:eastAsia="Times New Roman" w:hAnsi="Times New Roman"/>
          <w:sz w:val="18"/>
          <w:szCs w:val="18"/>
          <w:color w:val="auto"/>
        </w:rPr>
        <w:t xml:space="preserve">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$0.7 million and $0.8 million as of September 25, 2025 and December 26, 2024, respectively. During the three and nine months ended September 25, 2025 and September 26, 2024, NCM LLC received cash and accrued distributions from AC JV, LLC of $0.4 million, $0.3 million, $0.5 million, and $0.6 million, respectively. Equity in earnings from AC JV, LLC were $0.1 million, $0.5 million, $0.4 million, and $1.2 million, for the three and nine months ended September 25, 2025 and September 26, 2024, respectively, and are included in “Other non-operating income, net” in the unaudited Condensed Consolidated Statements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740" w:firstLine="60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outstanding debt, as of September 25, 2025 and December 26, 2024, and the significant terms of its borrowing arrangements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17"/>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Pr>
          <w:p>
            <w:pPr>
              <w:spacing w:after="0"/>
              <w:rPr>
                <w:sz w:val="10"/>
                <w:szCs w:val="1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2024</w:t>
            </w:r>
          </w:p>
        </w:tc>
        <w:tc>
          <w:tcPr>
            <w:tcW w:w="12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Credit Facility</w:t>
            </w:r>
          </w:p>
        </w:tc>
        <w:tc>
          <w:tcPr>
            <w:tcW w:w="4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January 24, 2028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7, 2026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borrowings</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borrowings, net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4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240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78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-410845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-410845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-119380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-102235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-119380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-102235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2025 Credit Facility are described below.</w:t>
      </w:r>
    </w:p>
    <w:p>
      <w:pPr>
        <w:spacing w:after="0" w:line="49"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2023 are described below.</w:t>
      </w:r>
    </w:p>
    <w:p>
      <w:pPr>
        <w:spacing w:after="0" w:line="113" w:lineRule="exact"/>
        <w:rPr>
          <w:sz w:val="20"/>
          <w:szCs w:val="20"/>
          <w:color w:val="auto"/>
        </w:rPr>
      </w:pPr>
    </w:p>
    <w:p>
      <w:pPr>
        <w:ind w:right="260" w:firstLine="61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Debt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On January 24, 2025, NCM LLC, as borrower, entered into a Loan and Security Agreement with U.S.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as lender. The agreement provides for a $45.0 million senior secured revolving credit facility that matures on January 24, 2028. During the nine months ended September 25, 2025 NCM LLC has drawn $10.0 million from the facility and repaid $10.0 million of the facility resulting in an outstanding balance under the 2025 Credit Facility of $0.0 million as of September 25, 2025. Upon execution of the 2025 Credit Facility, NCM LLC recorded $0.9 million of debt issuance costs. As of September 25, 2025, NCM LLC's maximum availability under the $45.0 million 2025 Credit Facility was $44.4 million, net of letters of credit of $0.6 million.</w:t>
      </w:r>
    </w:p>
    <w:p>
      <w:pPr>
        <w:spacing w:after="0" w:line="78" w:lineRule="exact"/>
        <w:rPr>
          <w:sz w:val="20"/>
          <w:szCs w:val="20"/>
          <w:color w:val="auto"/>
        </w:rPr>
      </w:pPr>
    </w:p>
    <w:p>
      <w:pPr>
        <w:ind w:right="140" w:firstLine="614"/>
        <w:spacing w:after="0" w:line="256" w:lineRule="auto"/>
        <w:rPr>
          <w:sz w:val="20"/>
          <w:szCs w:val="20"/>
          <w:color w:val="auto"/>
        </w:rPr>
      </w:pPr>
      <w:r>
        <w:rPr>
          <w:rFonts w:ascii="Times New Roman" w:cs="Times New Roman" w:eastAsia="Times New Roman" w:hAnsi="Times New Roman"/>
          <w:sz w:val="18"/>
          <w:szCs w:val="18"/>
          <w:color w:val="auto"/>
        </w:rPr>
        <w:t>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w:t>
      </w:r>
    </w:p>
    <w:p>
      <w:pPr>
        <w:spacing w:after="0" w:line="79" w:lineRule="exact"/>
        <w:rPr>
          <w:sz w:val="20"/>
          <w:szCs w:val="20"/>
          <w:color w:val="auto"/>
        </w:rPr>
      </w:pPr>
    </w:p>
    <w:p>
      <w:pPr>
        <w:ind w:right="60" w:firstLine="614"/>
        <w:spacing w:after="0" w:line="261" w:lineRule="auto"/>
        <w:rPr>
          <w:sz w:val="20"/>
          <w:szCs w:val="20"/>
          <w:color w:val="auto"/>
        </w:rPr>
      </w:pPr>
      <w:r>
        <w:rPr>
          <w:rFonts w:ascii="Times New Roman" w:cs="Times New Roman" w:eastAsia="Times New Roman" w:hAnsi="Times New Roman"/>
          <w:sz w:val="18"/>
          <w:szCs w:val="18"/>
          <w:color w:val="auto"/>
        </w:rPr>
        <w:t>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w:t>
      </w:r>
    </w:p>
    <w:p>
      <w:pPr>
        <w:spacing w:after="0" w:line="72" w:lineRule="exact"/>
        <w:rPr>
          <w:sz w:val="20"/>
          <w:szCs w:val="20"/>
          <w:color w:val="auto"/>
        </w:rPr>
      </w:pPr>
    </w:p>
    <w:p>
      <w:pPr>
        <w:ind w:right="180" w:firstLine="614"/>
        <w:spacing w:after="0" w:line="256" w:lineRule="auto"/>
        <w:rPr>
          <w:sz w:val="20"/>
          <w:szCs w:val="20"/>
          <w:color w:val="auto"/>
        </w:rPr>
      </w:pPr>
      <w:r>
        <w:rPr>
          <w:rFonts w:ascii="Times New Roman" w:cs="Times New Roman" w:eastAsia="Times New Roman" w:hAnsi="Times New Roman"/>
          <w:sz w:val="18"/>
          <w:szCs w:val="18"/>
          <w:color w:val="auto"/>
        </w:rPr>
        <w:t>The 2025 Credit Facility contains affirmative and negative covenants customary for financings of this type, with which NCM LLC was in compliance at September 25, 2025, including limitations on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As of September 25, 2025, the NCM LLC’s fixed charge coverage ratio was 5.4 to 1.0 (versus the required ratio of 1.50 to 1.00).</w:t>
      </w:r>
    </w:p>
    <w:p>
      <w:pPr>
        <w:spacing w:after="0" w:line="68"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Loan, Security and Guarantee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On August 7, 2023, NCM LLC entered into a Loan, Security and Guarantee Agreement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Facility 2023”) with CIT Northbridge Credit LLC as agent. The Revolving Credit Facility 2023 was an asset backed line facility where the capacity depends upon NCM LLC’s trade accounts receivable balance, as adjusted for aged balances and other considerations. The maximum availability NCM LLC had access to under the Revolving Credit Facility 2023 was $55,000,000. The proceeds of the Revolving Credit Facility 2023 could have been used for, inter alia, working capital and capital expenditures. The Revolving Credit Facility 2023 was to mature on August 7, 2026. The interest rate under the Revolving Credit Facility 2023 was a base rate of SOFR benchmark plus (i) 3.75% if less than 50% of revolving commitments are utilized or</w:t>
      </w:r>
    </w:p>
    <w:p>
      <w:pPr>
        <w:spacing w:after="0" w:line="4" w:lineRule="exact"/>
        <w:rPr>
          <w:sz w:val="20"/>
          <w:szCs w:val="20"/>
          <w:color w:val="auto"/>
        </w:rPr>
      </w:pPr>
    </w:p>
    <w:p>
      <w:pPr>
        <w:ind w:right="60" w:firstLine="8"/>
        <w:spacing w:after="0" w:line="25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$5,000,000 and (b) 10% of aggregate revolving commitments. A Trigger Period ended only if (i) no event of default existed for the preceding thirty (30) consecutive days and (ii) availability was greater than both (a) $5,000,000 and (b) 10% of aggregate revolving commitments.</w:t>
      </w:r>
    </w:p>
    <w:p>
      <w:pPr>
        <w:spacing w:after="0" w:line="1"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Revolving Credit Facility 2023, NCM LLC immediately drew $10.0 million from the facility, which represents the only amount outstanding under the Revolving Credit Facility 2023 at any time. The Revolving Credit Facility 2023 also contained customary representations, warranties, covenants, events of default, terms and conditions, including limitations on liens, incurrence of debt, mergers and significant asset dispositions.</w:t>
      </w:r>
    </w:p>
    <w:p>
      <w:pPr>
        <w:spacing w:after="0" w:line="78" w:lineRule="exact"/>
        <w:rPr>
          <w:sz w:val="20"/>
          <w:szCs w:val="20"/>
          <w:color w:val="auto"/>
        </w:rPr>
      </w:pPr>
    </w:p>
    <w:p>
      <w:pPr>
        <w:ind w:right="580" w:firstLine="614"/>
        <w:spacing w:after="0" w:line="266" w:lineRule="auto"/>
        <w:rPr>
          <w:sz w:val="20"/>
          <w:szCs w:val="20"/>
          <w:color w:val="auto"/>
        </w:rPr>
      </w:pPr>
      <w:r>
        <w:rPr>
          <w:rFonts w:ascii="Times New Roman" w:cs="Times New Roman" w:eastAsia="Times New Roman" w:hAnsi="Times New Roman"/>
          <w:sz w:val="18"/>
          <w:szCs w:val="18"/>
          <w:color w:val="auto"/>
        </w:rPr>
        <w:t>In connection with entering into the 2025 Credit Facility, NCM LLC repaid the $10.0 million balance outstanding in full and terminated all commitments under its Revolving Credit Facility 2023, and in connection with this termination, paid a prepayment fee equal to 1% of the total commitment. This resulted in a loss on debt extinguishment of $1.8 million within the nine months ended September 25,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7" w:lineRule="exact"/>
        <w:rPr>
          <w:sz w:val="20"/>
          <w:szCs w:val="20"/>
          <w:color w:val="auto"/>
        </w:rPr>
      </w:pPr>
    </w:p>
    <w:p>
      <w:pPr>
        <w:ind w:right="20" w:firstLine="6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Changes in the Company’s Effective Tax Rate</w:t>
      </w:r>
      <w:r>
        <w:rPr>
          <w:rFonts w:ascii="Times New Roman" w:cs="Times New Roman" w:eastAsia="Times New Roman" w:hAnsi="Times New Roman"/>
          <w:sz w:val="17"/>
          <w:szCs w:val="17"/>
          <w:color w:val="auto"/>
        </w:rPr>
        <w:t>—The Company recorded income tax expense of $0.0 million for the three and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25, 2025 and for the three and nine months ended September 26, 2024, resulting in an effective tax rate of 0.0% for these periods. The Company held a full valuation allowance on its net deferred tax assets as of December 26, 2024 following the determination it was more-likely-than-not that the Company will not be able to realize the benefit of those assets. The Company maintained a full valuation allowance as of September 25, 2025, resulting in deferred tax expense of $0.0 million for the three months and nine months ended September 25, 2025 and the Company’s effective tax rate of 0.0%.</w:t>
      </w:r>
    </w:p>
    <w:p>
      <w:pPr>
        <w:spacing w:after="0" w:line="56" w:lineRule="exact"/>
        <w:rPr>
          <w:sz w:val="20"/>
          <w:szCs w:val="20"/>
          <w:color w:val="auto"/>
        </w:rPr>
      </w:pPr>
    </w:p>
    <w:p>
      <w:pPr>
        <w:ind w:right="80" w:firstLine="61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Company's Payable under the TRA</w:t>
      </w:r>
      <w:r>
        <w:rPr>
          <w:rFonts w:ascii="Times New Roman" w:cs="Times New Roman" w:eastAsia="Times New Roman" w:hAnsi="Times New Roman"/>
          <w:sz w:val="18"/>
          <w:szCs w:val="18"/>
          <w:color w:val="auto"/>
        </w:rPr>
        <w:t>—In accordance with the AMC Termination Agreement, AMC waived all rights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interests as to the TRA and the Company reduced the 'Payable under the TRA' on the unaudited Condensed Consolidated Balance Sheets for the amounts recorded associated with AMC of $21.6 million. The cancellation of this payable was considered akin to a lease incentive related to the modification of the short-term operating lease of AMC's screens under </w:t>
      </w:r>
      <w:r>
        <w:rPr>
          <w:rFonts w:ascii="Times New Roman" w:cs="Times New Roman" w:eastAsia="Times New Roman" w:hAnsi="Times New Roman"/>
          <w:sz w:val="18"/>
          <w:szCs w:val="18"/>
          <w:i w:val="1"/>
          <w:iCs w:val="1"/>
          <w:color w:val="auto"/>
        </w:rPr>
        <w:t>ASC 842—Leases</w:t>
      </w:r>
      <w:r>
        <w:rPr>
          <w:rFonts w:ascii="Times New Roman" w:cs="Times New Roman" w:eastAsia="Times New Roman" w:hAnsi="Times New Roman"/>
          <w:sz w:val="18"/>
          <w:szCs w:val="18"/>
          <w:color w:val="auto"/>
        </w:rPr>
        <w:t xml:space="preserve"> and it was recorded against the intangible asset for the ESA Parties upon the effectiveness of the AMC Termination Agreement within the nine months ended September 25, 2025. The adjustment will reduce amortization expense of the intangible over the remainder of its useful life, which is considered akin to lease expense.</w:t>
      </w:r>
    </w:p>
    <w:p>
      <w:pPr>
        <w:spacing w:after="0" w:line="74" w:lineRule="exact"/>
        <w:rPr>
          <w:sz w:val="20"/>
          <w:szCs w:val="20"/>
          <w:color w:val="auto"/>
        </w:rPr>
      </w:pPr>
    </w:p>
    <w:p>
      <w:pPr>
        <w:jc w:val="both"/>
        <w:ind w:right="34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Recently enacted tax legislation</w:t>
      </w:r>
      <w:r>
        <w:rPr>
          <w:rFonts w:ascii="Times New Roman" w:cs="Times New Roman" w:eastAsia="Times New Roman" w:hAnsi="Times New Roman"/>
          <w:sz w:val="18"/>
          <w:szCs w:val="18"/>
          <w:color w:val="auto"/>
        </w:rPr>
        <w:t>—On July 4, 2025, the U.S. enacted H.R. 1 “A bill to provide for reconciliation pursuant to Title II of H. Con.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 14”, commonly referred to as the One Big Beautiful Bill Act (OBBBA). The Company continues to maintain a full valuation allowance on its net deferred tax assets and this new legislation did not have a material impact on the Company.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firstLine="6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adverse effect individually or in the aggregate on its financial position, results of operations or cash flows.</w:t>
      </w:r>
    </w:p>
    <w:p>
      <w:pPr>
        <w:spacing w:after="0" w:line="47" w:lineRule="exact"/>
        <w:rPr>
          <w:sz w:val="20"/>
          <w:szCs w:val="20"/>
          <w:color w:val="auto"/>
        </w:rPr>
      </w:pPr>
    </w:p>
    <w:p>
      <w:pPr>
        <w:ind w:right="40" w:firstLine="61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$10.9 million and short-term and long-term lease liabilities of $2.0 million and $11.0 million, respectively, on the balance sheet as of September 25, 2025, for all material leases with terms longer than twelve months. As of December 26, 2024, the Company had ROU assets of $12.2 million and short-term and long-term lease liabilities of $1.7 million and $12.5 million, respectively, for all material leases with terms longer than twelve months. These balances are included within ‘Other assets’, ‘Other current liabilities’ and ‘Long-term lease liabilities’, respectively, on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unaudited Condensed Consolidated Balance Sheets. As of September 25, 2025, the Company had a weighted average remaining lease term of 7.0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September 25, 2025, the Company’s weighted average annual discount rate used to establish the ROU assets and lease liabilities was 4.7%.</w:t>
      </w:r>
    </w:p>
    <w:p>
      <w:pPr>
        <w:spacing w:after="0" w:line="75" w:lineRule="exact"/>
        <w:rPr>
          <w:sz w:val="20"/>
          <w:szCs w:val="20"/>
          <w:color w:val="auto"/>
        </w:rPr>
      </w:pPr>
    </w:p>
    <w:p>
      <w:pPr>
        <w:ind w:right="80" w:firstLine="61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25, 2025 and September 26, 2024,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4"/>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5"/>
                <w:szCs w:val="15"/>
                <w:color w:val="auto"/>
              </w:rPr>
            </w:pPr>
          </w:p>
        </w:tc>
      </w:tr>
      <w:tr>
        <w:trPr>
          <w:trHeight w:val="196"/>
        </w:trPr>
        <w:tc>
          <w:tcPr>
            <w:tcW w:w="3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80" w:type="dxa"/>
            <w:vAlign w:val="bottom"/>
          </w:tcPr>
          <w:p>
            <w:pPr>
              <w:spacing w:after="0"/>
              <w:rPr>
                <w:sz w:val="17"/>
                <w:szCs w:val="17"/>
                <w:color w:val="auto"/>
              </w:rPr>
            </w:pPr>
          </w:p>
        </w:tc>
        <w:tc>
          <w:tcPr>
            <w:tcW w:w="15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26, 2024</w:t>
            </w: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3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83" w:lineRule="exact"/>
        <w:rPr>
          <w:sz w:val="20"/>
          <w:szCs w:val="20"/>
          <w:color w:val="auto"/>
        </w:rPr>
      </w:pPr>
    </w:p>
    <w:p>
      <w:pPr>
        <w:ind w:right="200" w:firstLine="614"/>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$0.6 million, $0.4 million, $1.6 million, and $1.6 million during the three and nine months ended September 25, 2025 and September 26, 2024, respectively. These payments are included within cash flows from operating activities within the unaudited Condensed Consolidated Statement of Cash Flows.</w:t>
      </w:r>
    </w:p>
    <w:p>
      <w:pPr>
        <w:spacing w:after="0" w:line="64" w:lineRule="exact"/>
        <w:rPr>
          <w:sz w:val="20"/>
          <w:szCs w:val="20"/>
          <w:color w:val="auto"/>
        </w:rPr>
      </w:pPr>
    </w:p>
    <w:p>
      <w:pPr>
        <w:ind w:right="6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ESAs and Affiliate Agreements</w:t>
      </w:r>
      <w:r>
        <w:rPr>
          <w:rFonts w:ascii="Times New Roman" w:cs="Times New Roman" w:eastAsia="Times New Roman" w:hAnsi="Times New Roman"/>
          <w:sz w:val="18"/>
          <w:szCs w:val="18"/>
          <w:color w:val="auto"/>
        </w:rPr>
        <w:t>—The Company has entered into long-term ESAs and multi-year agreements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Cinemark in accordance with NCM LLC’s Common Unit Adjustment Agreement and upfront cash payments to the affiliates for the contractual rights to provide the Company’s services within their theaters as further discussed within Note 4—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w:t>
      </w:r>
      <w:r>
        <w:rPr>
          <w:rFonts w:ascii="Times New Roman" w:cs="Times New Roman" w:eastAsia="Times New Roman" w:hAnsi="Times New Roman"/>
          <w:sz w:val="18"/>
          <w:szCs w:val="18"/>
          <w:i w:val="1"/>
          <w:iCs w:val="1"/>
          <w:color w:val="auto"/>
        </w:rPr>
        <w:t xml:space="preserve"> ASC 842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once the asset is identified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period of control is determined upon the scheduling of the showtimes by the exhibitors, typically one week prior to the showtime. As such, the leases are considered short-term in nature, specifically less than one month. Under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$4.3 million, $5.9 million, $14.6 million, and $17.6 million in amortization of these intangible assets in the three and nine months ended September 25, 2025 and September 26, 2024, respectively.</w:t>
      </w:r>
    </w:p>
    <w:p>
      <w:pPr>
        <w:spacing w:after="0" w:line="83" w:lineRule="exact"/>
        <w:rPr>
          <w:sz w:val="20"/>
          <w:szCs w:val="20"/>
          <w:color w:val="auto"/>
        </w:rPr>
      </w:pPr>
    </w:p>
    <w:p>
      <w:pPr>
        <w:ind w:right="100" w:firstLine="614"/>
        <w:spacing w:after="0" w:line="253" w:lineRule="auto"/>
        <w:rPr>
          <w:sz w:val="20"/>
          <w:szCs w:val="20"/>
          <w:color w:val="auto"/>
        </w:rPr>
      </w:pPr>
      <w:r>
        <w:rPr>
          <w:rFonts w:ascii="Times New Roman" w:cs="Times New Roman" w:eastAsia="Times New Roman" w:hAnsi="Times New Roman"/>
          <w:sz w:val="18"/>
          <w:szCs w:val="18"/>
          <w:color w:val="auto"/>
        </w:rPr>
        <w:t>In consideration for NCM LLC’s access to the ESA Parties’ and network affiliate's theater attendees for on-screen advertising and use of lobbies and other space within the exhibitors’ theaters for the LEN and lobby promotions, the ESA Parties and network affiliates receive payments based either upon number of attendees (pre or post-showtime), a revenue share, a fee per screen or digital screen or a combination, including a minimum revenue guarantee per attendee. Many of these agreements contain increases annually or every five years to the respective fee structures or guaranteed minimums, either per patron, per theater and/or per digital screen in a range from 2% to 8% depending upon the underlying agreement. The theater access fee paid in the aggregate to Cinemark cannot be less than 12% of NCM LLC’s aggregate advertising revenue (as defined in the ESA), or it will be adjusted upward to reach this minimum payment. As of September 25, 2025 and December 26, 2024, the Company had no liabilities recorded for the minimum payment, as the theater access fee was in excess of the minimum. The Company does not owe any theater access fees or revenue share when the theaters are not displaying the Company's pre-show or when the Company does not have access to the theaters. The digital screen fee is calculated based upon average screens in use during each month. As part of the AMC 2025 Agreement, the Company will modernize certain lobbies within AMC's theaters, which will require the Company to expend refurbishment costs upon identification of a third-party vendor.</w:t>
      </w:r>
    </w:p>
    <w:p>
      <w:pPr>
        <w:spacing w:after="0" w:line="84"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8"/>
          <w:szCs w:val="18"/>
          <w:color w:val="auto"/>
        </w:rPr>
        <w:t>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the amount paid under the revenue share arrangement is less than the guaranteed amount. As of September 25, 2025, the maximum potential amount of future payments the Company could be required to make pursuant to the minimum revenue guarantees is $277.2 million over the remaining terms of the network affiliate agreements, contingent upon the achievement of network affiliate minimum attendance thresholds. These minimum guarantees apply to various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2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affiliate agreements ranging in term from two years to fifteen years, prior to any renewal periods of which some are at the option of the Company. The Company accrued $0.6 million and $0.7 million related to affiliate agreements with guaranteed minimums in excess of the revenue share agreement as of September 25, 2025 and December 26, 2024, respectively, within ‘Accounts payable’ in the unaudited Condensed Consolidated Balance Sheet. As the guaranteed minimums are based upon agreed upon minimum attendance or affiliate revenue levels, the Company will not incur minimum revenue share fees if the minimum theater attendance or revenue levels are not met by the affiliate.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right="160" w:firstLine="614"/>
        <w:spacing w:after="0" w:line="261" w:lineRule="auto"/>
        <w:rPr>
          <w:sz w:val="20"/>
          <w:szCs w:val="20"/>
          <w:color w:val="auto"/>
        </w:rPr>
      </w:pPr>
      <w:r>
        <w:rPr>
          <w:rFonts w:ascii="Times New Roman" w:cs="Times New Roman" w:eastAsia="Times New Roman" w:hAnsi="Times New Roman"/>
          <w:sz w:val="18"/>
          <w:szCs w:val="18"/>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ind w:right="100" w:firstLine="614"/>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48" w:lineRule="exact"/>
        <w:rPr>
          <w:sz w:val="20"/>
          <w:szCs w:val="20"/>
          <w:color w:val="auto"/>
        </w:rPr>
      </w:pPr>
    </w:p>
    <w:p>
      <w:pPr>
        <w:ind w:right="10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65" w:lineRule="exact"/>
        <w:rPr>
          <w:sz w:val="20"/>
          <w:szCs w:val="20"/>
          <w:color w:val="auto"/>
        </w:rPr>
      </w:pPr>
    </w:p>
    <w:p>
      <w:pPr>
        <w:ind w:right="80" w:firstLine="614"/>
        <w:spacing w:after="0" w:line="261"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98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AC JV, LLC</w:t>
            </w:r>
          </w:p>
        </w:tc>
        <w:tc>
          <w:tcPr>
            <w:tcW w:w="39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42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FF0FC"/>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83"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As of September 25, 2025,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or to be provided in exchange for the investment. As the inputs to the determination of fair value are based upon non-identical assets and use significant unobservable inputs, they have been classified as Level 3 in the fair value hierarchy.</w:t>
      </w:r>
    </w:p>
    <w:p>
      <w:pPr>
        <w:spacing w:after="0" w:line="73" w:lineRule="exact"/>
        <w:rPr>
          <w:sz w:val="20"/>
          <w:szCs w:val="20"/>
          <w:color w:val="auto"/>
        </w:rPr>
      </w:pPr>
    </w:p>
    <w:p>
      <w:pPr>
        <w:ind w:right="160" w:firstLine="614"/>
        <w:spacing w:after="0" w:line="284" w:lineRule="auto"/>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2023, as of December 26, 2024, was considered a reasonable estimate of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due to the respective floating-rate terms.</w:t>
      </w:r>
    </w:p>
    <w:p>
      <w:pPr>
        <w:spacing w:after="0" w:line="48" w:lineRule="exact"/>
        <w:rPr>
          <w:sz w:val="20"/>
          <w:szCs w:val="20"/>
          <w:color w:val="auto"/>
        </w:rPr>
      </w:pPr>
    </w:p>
    <w:p>
      <w:pPr>
        <w:ind w:right="140"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—All current assets and liabilities are estimated to approximate their fair value due to the short-term nature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balances. The Company had no assets and liabilities measured on a recurring basis pursuant to </w:t>
      </w:r>
      <w:r>
        <w:rPr>
          <w:rFonts w:ascii="Times New Roman" w:cs="Times New Roman" w:eastAsia="Times New Roman" w:hAnsi="Times New Roman"/>
          <w:sz w:val="18"/>
          <w:szCs w:val="18"/>
          <w:i w:val="1"/>
          <w:iCs w:val="1"/>
          <w:color w:val="auto"/>
        </w:rPr>
        <w:t>ASC 820-10 Fair Value Measurements and Disclosures</w:t>
      </w:r>
      <w:r>
        <w:rPr>
          <w:rFonts w:ascii="Times New Roman" w:cs="Times New Roman" w:eastAsia="Times New Roman" w:hAnsi="Times New Roman"/>
          <w:sz w:val="18"/>
          <w:szCs w:val="18"/>
          <w:color w:val="auto"/>
        </w:rPr>
        <w:t xml:space="preserve"> as of September 25,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values of the Company’s assets and liabilities measured on a recurring basis pursuant to </w:t>
      </w:r>
      <w:r>
        <w:rPr>
          <w:rFonts w:ascii="Times New Roman" w:cs="Times New Roman" w:eastAsia="Times New Roman" w:hAnsi="Times New Roman"/>
          <w:sz w:val="18"/>
          <w:szCs w:val="18"/>
          <w:i w:val="1"/>
          <w:iCs w:val="1"/>
          <w:color w:val="auto"/>
        </w:rPr>
        <w:t>ASC 820-10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and Disclosures, </w:t>
      </w:r>
      <w:r>
        <w:rPr>
          <w:rFonts w:ascii="Times New Roman" w:cs="Times New Roman" w:eastAsia="Times New Roman" w:hAnsi="Times New Roman"/>
          <w:sz w:val="18"/>
          <w:szCs w:val="18"/>
          <w:color w:val="auto"/>
        </w:rPr>
        <w:t>as of December 26, 2024, are as follows (in millions):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SUBSIDIARIES NOTES TO CONDENSED CONSOLIDATED FINANCIAL STATEMENTS (UNAUDITED)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1600" w:type="dxa"/>
            <w:vAlign w:val="bottom"/>
            <w:gridSpan w:val="2"/>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60" w:type="dxa"/>
            <w:vAlign w:val="bottom"/>
            <w:gridSpan w:val="2"/>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440" w:type="dxa"/>
            <w:vAlign w:val="bottom"/>
          </w:tcPr>
          <w:p>
            <w:pPr>
              <w:jc w:val="center"/>
              <w:ind w:right="39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tcPr>
          <w:p>
            <w:pPr>
              <w:spacing w:after="0"/>
              <w:rPr>
                <w:sz w:val="15"/>
                <w:szCs w:val="15"/>
                <w:color w:val="auto"/>
              </w:rPr>
            </w:pPr>
          </w:p>
        </w:tc>
        <w:tc>
          <w:tcPr>
            <w:tcW w:w="1340" w:type="dxa"/>
            <w:vAlign w:val="bottom"/>
            <w:gridSpan w:val="2"/>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26, 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44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41.2</w:t>
            </w:r>
          </w:p>
        </w:tc>
        <w:tc>
          <w:tcPr>
            <w:tcW w:w="40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-25400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8" w:lineRule="exact"/>
        <w:rPr>
          <w:sz w:val="20"/>
          <w:szCs w:val="20"/>
          <w:color w:val="auto"/>
        </w:rPr>
      </w:pPr>
    </w:p>
    <w:p>
      <w:pPr>
        <w:ind w:left="380" w:right="60" w:hanging="372"/>
        <w:spacing w:after="0" w:line="262"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Cash equivalents consist of money market accounts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classified as Level 1 given the active market for these accounts.</w:t>
      </w:r>
    </w:p>
    <w:p>
      <w:pPr>
        <w:ind w:left="380" w:right="160" w:hanging="372"/>
        <w:spacing w:after="0" w:line="253" w:lineRule="auto"/>
        <w:tabs>
          <w:tab w:leader="none" w:pos="38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marketable securities</w:t>
      </w:r>
      <w:r>
        <w:rPr>
          <w:rFonts w:ascii="Times New Roman" w:cs="Times New Roman" w:eastAsia="Times New Roman" w:hAnsi="Times New Roman"/>
          <w:sz w:val="18"/>
          <w:szCs w:val="18"/>
          <w:color w:val="auto"/>
        </w:rPr>
        <w:t>—The carrying amount and fair value of the marketable securities are equivalent since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-974725</wp:posOffset>
            </wp:positionV>
            <wp:extent cx="1903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117" w:lineRule="exact"/>
        <w:rPr>
          <w:sz w:val="20"/>
          <w:szCs w:val="20"/>
          <w:color w:val="auto"/>
        </w:rPr>
      </w:pPr>
    </w:p>
    <w:p>
      <w:pPr>
        <w:jc w:val="both"/>
        <w:ind w:right="16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Subsequent to the nine months ended September 25, 2025, in accordance with the stock repurchase plan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18, 2024 by the Company’s Board of Directors, 117,185 additional shares were repurchased on the open market for $0.5 million. In accordance with ASC 505 —Equity, these shares were retired and any excess over par value paid was recorded as a reduction to retained earnings.</w:t>
      </w:r>
    </w:p>
    <w:p>
      <w:pPr>
        <w:spacing w:after="0" w:line="103" w:lineRule="exact"/>
        <w:rPr>
          <w:sz w:val="20"/>
          <w:szCs w:val="20"/>
          <w:color w:val="auto"/>
        </w:rPr>
      </w:pPr>
    </w:p>
    <w:p>
      <w:pPr>
        <w:ind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On October 30, 2025, the Company declared a cash dividend of $0.03 per share (approximately $2.8 million in the aggregate) on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of the Company’s common stock (not including outstanding restricted stock units which will accrue dividends until the shares vest) to stockholders of record on November 10, 2025 to be paid on November 26, 2025.</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9" w:lineRule="exact"/>
        <w:rPr>
          <w:sz w:val="20"/>
          <w:szCs w:val="20"/>
          <w:color w:val="auto"/>
        </w:rPr>
      </w:pPr>
    </w:p>
    <w:p>
      <w:pPr>
        <w:ind w:right="20" w:firstLine="608"/>
        <w:spacing w:after="0" w:line="253"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Annual Report on Form 10-K for the Company’s fiscal year ended December 26, 2024. Investors are cautioned not to place undue reliance on any such forward-looking statements, which speak to the information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26, 2024. In the following discussion and analysis, the term net income refers to net income attributable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our cinema advertising and entertainment show seen on movie screens across the U.S.</w:t>
      </w:r>
    </w:p>
    <w:p>
      <w:pPr>
        <w:spacing w:after="0" w:line="70" w:lineRule="exact"/>
        <w:rPr>
          <w:sz w:val="20"/>
          <w:szCs w:val="20"/>
          <w:color w:val="auto"/>
        </w:rPr>
      </w:pPr>
    </w:p>
    <w:p>
      <w:pPr>
        <w:jc w:val="both"/>
        <w:ind w:right="80" w:firstLine="608"/>
        <w:spacing w:after="0" w:line="267" w:lineRule="auto"/>
        <w:rPr>
          <w:sz w:val="20"/>
          <w:szCs w:val="20"/>
          <w:color w:val="auto"/>
        </w:rPr>
      </w:pPr>
      <w:r>
        <w:rPr>
          <w:rFonts w:ascii="Times New Roman" w:cs="Times New Roman" w:eastAsia="Times New Roman" w:hAnsi="Times New Roman"/>
          <w:sz w:val="18"/>
          <w:szCs w:val="18"/>
          <w:color w:val="auto"/>
        </w:rPr>
        <w:t xml:space="preserve">We present multiple formats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depending on the theater circuit in which it runs, which may include Post-Showtime advertising inventory after the advertised showtime. As of September 25, 2025, theaters presenting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format with Post-Showtime Inventory made up approximately 96.4% of our network. The movie trailers presented by the theater circuits that run before the feature film are not part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67" w:lineRule="exact"/>
        <w:rPr>
          <w:sz w:val="20"/>
          <w:szCs w:val="20"/>
          <w:color w:val="auto"/>
        </w:rPr>
      </w:pPr>
    </w:p>
    <w:p>
      <w:pPr>
        <w:ind w:right="60" w:firstLine="608"/>
        <w:spacing w:after="0" w:line="253" w:lineRule="auto"/>
        <w:rPr>
          <w:sz w:val="20"/>
          <w:szCs w:val="20"/>
          <w:color w:val="auto"/>
        </w:rPr>
      </w:pPr>
      <w:r>
        <w:rPr>
          <w:rFonts w:ascii="Times New Roman" w:cs="Times New Roman" w:eastAsia="Times New Roman" w:hAnsi="Times New Roman"/>
          <w:sz w:val="18"/>
          <w:szCs w:val="18"/>
          <w:color w:val="auto"/>
        </w:rPr>
        <w:t xml:space="preserve">We also sell advertising on our lobby network (“LEN”), a series of strategically placed screens located in movie theater lobbies, as well as other forms of advertising and promotions in theater lobbies. In addition, we sell data and digital advertising through the </w:t>
      </w:r>
      <w:r>
        <w:rPr>
          <w:rFonts w:ascii="Times New Roman" w:cs="Times New Roman" w:eastAsia="Times New Roman" w:hAnsi="Times New Roman"/>
          <w:sz w:val="18"/>
          <w:szCs w:val="18"/>
          <w:i w:val="1"/>
          <w:iCs w:val="1"/>
          <w:color w:val="auto"/>
        </w:rPr>
        <w:t>NCMx™</w:t>
      </w:r>
      <w:r>
        <w:rPr>
          <w:rFonts w:ascii="Times New Roman" w:cs="Times New Roman" w:eastAsia="Times New Roman" w:hAnsi="Times New Roman"/>
          <w:sz w:val="18"/>
          <w:szCs w:val="18"/>
          <w:color w:val="auto"/>
        </w:rPr>
        <w:t xml:space="preserve"> suite of products and through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As of September 25, 2025, 7.4 million moviegoers have downloaded our mobile apps. These downloads and the acquisition of second- and third-party data have resulted in approximately 1.5 billion data sets as of September 25, 2025. We have long-term ESAs (approximately 15.9 weighted average years remaining) and multi-year agreements with our network affiliates, which expire at various dates between January 2026 and July 2033. The weighted average remaining term of the ESAs and the network affiliate agreements is 12.1 years as of September 25, 2025.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LEN programming are distributed predominantly via satellite through our proprietary digital content network (“DCN”).</w:t>
      </w:r>
    </w:p>
    <w:p>
      <w:pPr>
        <w:spacing w:after="0" w:line="86"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spacing w:after="0" w:line="84" w:lineRule="exact"/>
        <w:rPr>
          <w:sz w:val="20"/>
          <w:szCs w:val="20"/>
          <w:color w:val="auto"/>
        </w:rPr>
      </w:pPr>
    </w:p>
    <w:p>
      <w:pPr>
        <w:ind w:right="380" w:firstLine="608"/>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in our Annual Report on Form 10-K, filed with the SEC on March 6, 2025, for our fiscal year ended December 26,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614"/>
        <w:spacing w:after="0" w:line="266" w:lineRule="auto"/>
        <w:rPr>
          <w:sz w:val="20"/>
          <w:szCs w:val="20"/>
          <w:color w:val="auto"/>
        </w:rPr>
      </w:pPr>
      <w:r>
        <w:rPr>
          <w:rFonts w:ascii="Times New Roman" w:cs="Times New Roman" w:eastAsia="Times New Roman" w:hAnsi="Times New Roman"/>
          <w:sz w:val="18"/>
          <w:szCs w:val="18"/>
          <w:color w:val="auto"/>
        </w:rPr>
        <w:t>On April 17, 2025, the Company and AMC, entered into the Second Amended and Restated Exhibitor Services Agreement (the “2025 AMC Agreement”) and a separate termination agreement (the “AMC Termination Agreement”) by and among NCM LLC, NCM, Inc. and AMC. The 2025 AMC Agreement extends the term of the ESA by five years and more closely aligns the program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ind w:right="20"/>
        <w:spacing w:after="0" w:line="252" w:lineRule="auto"/>
        <w:rPr>
          <w:sz w:val="20"/>
          <w:szCs w:val="20"/>
          <w:color w:val="auto"/>
        </w:rPr>
      </w:pPr>
      <w:r>
        <w:rPr>
          <w:rFonts w:ascii="Times New Roman" w:cs="Times New Roman" w:eastAsia="Times New Roman" w:hAnsi="Times New Roman"/>
          <w:sz w:val="18"/>
          <w:szCs w:val="18"/>
          <w:color w:val="auto"/>
        </w:rPr>
        <w:t>distributed by NCM LLC in AMC theaters to the predominant pre-feature program show structure in the rest of NCM LLC's advertising network and adjusts the consideration paid by NCM LLC. The AMC Termination Agreement waives AMC’s rights under certain agreements entered into at the time of the IPO. The agreements were accounted for in accordance with the lease modification guidance within ASC 842—</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the amended ESA contains a short-term operating lease of AMC’s screens. The agreements were considered combined as they were entered into contemporaneously by the same parties. As a result of the agreements, in the quarter ended June 26, 2025, NCM LLC released $21.6 million of the 'Payable under the TRA' and reversed the receivable of $10.6 million from AMC, related to unpaid integration payments, and the receivable under the Common Unit Adjustment Agreement within 'Prepaid expenses and other assets' on the Company's unaudited Condensed Consolidated Balance Sheet. NCM will no longer have an obligation to make TRA payments to AMC, provide common units as a part of the Common Unit Adjustment Agreement or distribute NCM LLC's available cash to AMC and the Company received the benefits of the revised ESA, including enhancements related to the pre-feature show structure and NCM's exclusive right to advertise in AMC's theaters. The net impact of these reversals was recorded to the 'Intangible Assets, net of amortization' as AMC's forfeiture of this net payable was considered akin to a lease incentive. The reduction in the intangible asset for the ESAs and the extension of the term of the ESA will result in reduced amortization expense, as it is considered akin to lease expense, for the remainder of the contract term. Refer to Note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Note 7</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Note 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Company’s Form 8-K filed with the SEC on April 23, 2025 for additional detail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surrounding these agreements.</w:t>
      </w:r>
    </w:p>
    <w:p>
      <w:pPr>
        <w:spacing w:after="0" w:line="73"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September 25, 2025, NCM LLC has no outstanding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80"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There were 0.0 million, 0.3 million, 3.3 million and 2.2 million shares repurchased on the open market during the three and nine months ended September 25, 2025 and September 26, 2024, respectively. In accordance with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505 —Equity</w:t>
      </w:r>
      <w:r>
        <w:rPr>
          <w:rFonts w:ascii="Times New Roman" w:cs="Times New Roman" w:eastAsia="Times New Roman" w:hAnsi="Times New Roman"/>
          <w:sz w:val="18"/>
          <w:szCs w:val="18"/>
          <w:color w:val="auto"/>
        </w:rPr>
        <w:t>, these shares were retired and any excess over par value paid was recorded as a reduction to retained earnings of $0.0 million, $1.9 million, $18.8 million and $11.3 million for the three and nine months ended September 25, 2025 and September 26, 2024. As of September 25, 2025, 5.8 million shares have been repurchased on the open market since the program's inception.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Filing, Deconsolidation and Reconsolidation of NCM LLC</w:t>
      </w:r>
    </w:p>
    <w:p>
      <w:pPr>
        <w:spacing w:after="0" w:line="121" w:lineRule="exact"/>
        <w:rPr>
          <w:sz w:val="20"/>
          <w:szCs w:val="20"/>
          <w:color w:val="auto"/>
        </w:rPr>
      </w:pPr>
    </w:p>
    <w:p>
      <w:pPr>
        <w:ind w:right="240" w:firstLine="614"/>
        <w:spacing w:after="0" w:line="256"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recorded a gain on deconsolidation of $557.7 million within the second quarter of 2023. NCM, Inc. continued to operate as the manager of the debtor-in-possession pursuant to the authority granted under Chapter 11 of the Bankruptcy Code throughout the Chapter 11 Case.</w:t>
      </w:r>
    </w:p>
    <w:p>
      <w:pPr>
        <w:spacing w:after="0" w:line="79" w:lineRule="exact"/>
        <w:rPr>
          <w:sz w:val="20"/>
          <w:szCs w:val="20"/>
          <w:color w:val="auto"/>
        </w:rPr>
      </w:pPr>
    </w:p>
    <w:p>
      <w:pPr>
        <w:ind w:right="40" w:firstLine="614"/>
        <w:spacing w:after="0" w:line="253"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ind w:right="240"/>
        <w:spacing w:after="0" w:line="282" w:lineRule="auto"/>
        <w:rPr>
          <w:sz w:val="20"/>
          <w:szCs w:val="20"/>
          <w:color w:val="auto"/>
        </w:rPr>
      </w:pPr>
      <w:r>
        <w:rPr>
          <w:rFonts w:ascii="Times New Roman" w:cs="Times New Roman" w:eastAsia="Times New Roman" w:hAnsi="Times New Roman"/>
          <w:sz w:val="18"/>
          <w:szCs w:val="18"/>
          <w:color w:val="auto"/>
        </w:rPr>
        <w:t>the Plan and also referred to as the "Revolving Credit Facility 2023") to support operations upon emergence. As a result of the Plan, all historical debt of NCM LLC was discharged and NCM LLC recorded a gain on bankruptcy of $916.4 million for the year ended December 26, 2024.</w:t>
      </w:r>
    </w:p>
    <w:p>
      <w:pPr>
        <w:spacing w:after="0" w:line="54" w:lineRule="exact"/>
        <w:rPr>
          <w:sz w:val="20"/>
          <w:szCs w:val="20"/>
          <w:color w:val="auto"/>
        </w:rPr>
      </w:pPr>
    </w:p>
    <w:p>
      <w:pPr>
        <w:ind w:right="40" w:firstLine="614"/>
        <w:spacing w:after="0" w:line="255" w:lineRule="auto"/>
        <w:rPr>
          <w:sz w:val="20"/>
          <w:szCs w:val="20"/>
          <w:color w:val="auto"/>
        </w:rPr>
      </w:pPr>
      <w:r>
        <w:rPr>
          <w:rFonts w:ascii="Times New Roman" w:cs="Times New Roman" w:eastAsia="Times New Roman" w:hAnsi="Times New Roman"/>
          <w:sz w:val="18"/>
          <w:szCs w:val="18"/>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8"/>
          <w:szCs w:val="18"/>
          <w:i w:val="1"/>
          <w:iCs w:val="1"/>
          <w:color w:val="auto"/>
        </w:rPr>
        <w:t>ASC 805 –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In accordance with</w:t>
      </w:r>
      <w:r>
        <w:rPr>
          <w:rFonts w:ascii="Times New Roman" w:cs="Times New Roman" w:eastAsia="Times New Roman" w:hAnsi="Times New Roman"/>
          <w:sz w:val="18"/>
          <w:szCs w:val="18"/>
          <w:i w:val="1"/>
          <w:iCs w:val="1"/>
          <w:color w:val="auto"/>
        </w:rPr>
        <w:t xml:space="preserve"> ASC 805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Combinations</w:t>
      </w:r>
      <w:r>
        <w:rPr>
          <w:rFonts w:ascii="Times New Roman" w:cs="Times New Roman" w:eastAsia="Times New Roman" w:hAnsi="Times New Roman"/>
          <w:sz w:val="18"/>
          <w:szCs w:val="18"/>
          <w:color w:val="auto"/>
        </w:rPr>
        <w:t>, the assets and liabilities of NCM LLC were adjusted to their estimated fair value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September 25, 2025, the Company had not completed all agreed upon payments to the General Unsecured Claim Pool and held a total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within the escrow accounts and accruals, presented within ‘Restricted cash’ and ‘Accounts payable’ on the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as of September 25, 2025. On March 28, 2025, a final decree was entered by the Bankruptcy Court administratively closing the Chapter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After this administrative closing the Bankruptcy Court will continue to have jurisdiction over the ongoing claims related to the Chapter 11 Case.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21" w:lineRule="exact"/>
        <w:rPr>
          <w:sz w:val="20"/>
          <w:szCs w:val="20"/>
          <w:color w:val="auto"/>
        </w:rPr>
      </w:pPr>
    </w:p>
    <w:p>
      <w:pPr>
        <w:ind w:right="140" w:firstLine="614"/>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margin and screen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YTD 2025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120" w:type="dxa"/>
            <w:vAlign w:val="bottom"/>
            <w:vMerge w:val="restart"/>
          </w:tcPr>
          <w:p>
            <w:pPr>
              <w:spacing w:after="0"/>
              <w:rPr>
                <w:sz w:val="10"/>
                <w:szCs w:val="10"/>
                <w:color w:val="auto"/>
              </w:rPr>
            </w:pPr>
          </w:p>
        </w:tc>
        <w:tc>
          <w:tcPr>
            <w:tcW w:w="118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20" w:type="dxa"/>
            <w:vAlign w:val="bottom"/>
          </w:tcPr>
          <w:p>
            <w:pPr>
              <w:spacing w:after="0"/>
              <w:rPr>
                <w:sz w:val="10"/>
                <w:szCs w:val="10"/>
                <w:color w:val="auto"/>
              </w:rPr>
            </w:pPr>
          </w:p>
        </w:tc>
        <w:tc>
          <w:tcPr>
            <w:tcW w:w="1220" w:type="dxa"/>
            <w:vAlign w:val="bottom"/>
          </w:tcPr>
          <w:p>
            <w:pPr>
              <w:jc w:val="center"/>
              <w:ind w:right="190"/>
              <w:spacing w:after="0" w:line="118" w:lineRule="exact"/>
              <w:rPr>
                <w:sz w:val="20"/>
                <w:szCs w:val="20"/>
                <w:color w:val="auto"/>
              </w:rPr>
            </w:pPr>
            <w:r>
              <w:rPr>
                <w:rFonts w:ascii="Times New Roman" w:cs="Times New Roman" w:eastAsia="Times New Roman" w:hAnsi="Times New Roman"/>
                <w:sz w:val="13"/>
                <w:szCs w:val="13"/>
                <w:b w:val="1"/>
                <w:bCs w:val="1"/>
                <w:color w:val="auto"/>
              </w:rPr>
              <w:t>2024 to</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Network operating costs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Theater exhibition fees</w:t>
            </w:r>
          </w:p>
        </w:tc>
        <w:tc>
          <w:tcPr>
            <w:tcW w:w="16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6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0"/>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NCM,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NCM, Inc. basic share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NCM, Inc. diluted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Adjusted OIBDA margin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screens</w:t>
            </w:r>
          </w:p>
        </w:tc>
        <w:tc>
          <w:tcPr>
            <w:tcW w:w="16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ESA Party screens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9,342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9,492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-1688465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-1688465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-1688465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-1688465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firstLine="382"/>
        <w:spacing w:after="0" w:line="266" w:lineRule="auto"/>
        <w:tabs>
          <w:tab w:leader="none" w:pos="629"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NCM LLC’s advertising network, excluding screens and attendance associated with AMC Carmike theaters that are currently part of another cinema advertising network for each of the periods presented. Refer to Note 4 to the unaudited Condensed Consolidated Financial Statements included elsewhere in this 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60" w:firstLine="614"/>
        <w:spacing w:after="0" w:line="258" w:lineRule="auto"/>
        <w:rPr>
          <w:sz w:val="20"/>
          <w:szCs w:val="20"/>
          <w:color w:val="auto"/>
        </w:rPr>
      </w:pPr>
      <w:r>
        <w:rPr>
          <w:rFonts w:ascii="Times New Roman" w:cs="Times New Roman" w:eastAsia="Times New Roman" w:hAnsi="Times New Roman"/>
          <w:sz w:val="18"/>
          <w:szCs w:val="18"/>
          <w:color w:val="auto"/>
        </w:rPr>
        <w:t>Adjusted OIBDA and Adjusted OIBDA margin are financial measures that are not calculated in accordance with GAAP in the United States. Adjusted OIBDA represents operating income before depreciation and amortization expense adjusted to also exclude non-cash share-based compensation costs, workforce reorganization costs, system optimization costs, satellite transition costs and advisor fees related to involvement in Regal’s Chapter 11 case (the “Cineworld Proceeding”) and the Chapter 11 Case. Adjusted OIBDA margin is calculated by dividing Adjusted OIBDA by total revenue. Our management uses these non-GAAP financial</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ind w:right="20"/>
        <w:spacing w:after="0" w:line="252" w:lineRule="auto"/>
        <w:rPr>
          <w:sz w:val="20"/>
          <w:szCs w:val="20"/>
          <w:color w:val="auto"/>
        </w:rPr>
      </w:pPr>
      <w:r>
        <w:rPr>
          <w:rFonts w:ascii="Times New Roman" w:cs="Times New Roman" w:eastAsia="Times New Roman" w:hAnsi="Times New Roman"/>
          <w:sz w:val="18"/>
          <w:szCs w:val="18"/>
          <w:color w:val="auto"/>
        </w:rPr>
        <w:t>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improves their ability to understand the Company’s operating performance and makes it easier to compare the Company’s results with other companies that may have different depreciation and amortization policies, non-cash share-based compensation programs, workforce reorganization costs, system optimization costs, satellite transition costs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workforce reorganization costs, system optimization costs, satellite transition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AOIBDA margin. Because not all companies use identical calculations, these non-GAAP presentations may not be comparable to other similarly titled measures of other companies or calculations in the Company’s debt agreement.</w:t>
      </w:r>
    </w:p>
    <w:p>
      <w:pPr>
        <w:spacing w:after="0" w:line="33" w:lineRule="exact"/>
        <w:rPr>
          <w:sz w:val="20"/>
          <w:szCs w:val="20"/>
          <w:color w:val="auto"/>
        </w:rPr>
      </w:pPr>
    </w:p>
    <w:p>
      <w:pPr>
        <w:ind w:right="300" w:firstLine="614"/>
        <w:spacing w:after="0" w:line="282" w:lineRule="auto"/>
        <w:rPr>
          <w:sz w:val="20"/>
          <w:szCs w:val="20"/>
          <w:color w:val="auto"/>
        </w:rPr>
      </w:pPr>
      <w:r>
        <w:rPr>
          <w:rFonts w:ascii="Times New Roman" w:cs="Times New Roman" w:eastAsia="Times New Roman" w:hAnsi="Times New Roman"/>
          <w:sz w:val="18"/>
          <w:szCs w:val="18"/>
          <w:color w:val="auto"/>
        </w:rPr>
        <w:t>The following table reconciles operating loss and operating margin to Adjusted OIBDA and Adjusted OIBDA margin for the periods presented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YTD 2025</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YTD 2024</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18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Workforce reorganization costs </w:t>
            </w:r>
            <w:r>
              <w:rPr>
                <w:rFonts w:ascii="Times New Roman" w:cs="Times New Roman" w:eastAsia="Times New Roman" w:hAnsi="Times New Roman"/>
                <w:sz w:val="18"/>
                <w:szCs w:val="18"/>
                <w:i w:val="1"/>
                <w:iCs w:val="1"/>
                <w:color w:val="auto"/>
              </w:rPr>
              <w:t>(2)</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System optimization costs </w:t>
            </w:r>
            <w:r>
              <w:rPr>
                <w:rFonts w:ascii="Times New Roman" w:cs="Times New Roman" w:eastAsia="Times New Roman" w:hAnsi="Times New Roman"/>
                <w:sz w:val="18"/>
                <w:szCs w:val="18"/>
                <w:i w:val="1"/>
                <w:iCs w:val="1"/>
                <w:color w:val="auto"/>
              </w:rPr>
              <w:t>(3)</w:t>
            </w:r>
          </w:p>
        </w:tc>
        <w:tc>
          <w:tcPr>
            <w:tcW w:w="18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Satellite transition costs </w:t>
            </w:r>
            <w:r>
              <w:rPr>
                <w:rFonts w:ascii="Times New Roman" w:cs="Times New Roman" w:eastAsia="Times New Roman" w:hAnsi="Times New Roman"/>
                <w:sz w:val="18"/>
                <w:szCs w:val="18"/>
                <w:i w:val="1"/>
                <w:iCs w:val="1"/>
                <w:color w:val="auto"/>
              </w:rPr>
              <w:t>(4)</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6"/>
        </w:trPr>
        <w:tc>
          <w:tcPr>
            <w:tcW w:w="5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Fees and expenses related to the Cineworld Proceeding</w:t>
            </w:r>
          </w:p>
        </w:tc>
        <w:tc>
          <w:tcPr>
            <w:tcW w:w="180" w:type="dxa"/>
            <w:vAlign w:val="bottom"/>
          </w:tcPr>
          <w:p>
            <w:pPr>
              <w:spacing w:after="0"/>
              <w:rPr>
                <w:sz w:val="17"/>
                <w:szCs w:val="17"/>
                <w:color w:val="auto"/>
              </w:rPr>
            </w:pPr>
          </w:p>
        </w:tc>
        <w:tc>
          <w:tcPr>
            <w:tcW w:w="116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and Chapter 11 Case </w:t>
            </w:r>
            <w:r>
              <w:rPr>
                <w:rFonts w:ascii="Times New Roman" w:cs="Times New Roman" w:eastAsia="Times New Roman" w:hAnsi="Times New Roman"/>
                <w:sz w:val="18"/>
                <w:szCs w:val="18"/>
                <w:i w:val="1"/>
                <w:iCs w:val="1"/>
                <w:color w:val="auto"/>
              </w:rPr>
              <w:t>(5)</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Adjusted OIBDA</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51"/>
              <w:spacing w:after="0" w:line="196" w:lineRule="exact"/>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1"/>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1"/>
              <w:spacing w:after="0" w:line="196" w:lineRule="exact"/>
              <w:rPr>
                <w:sz w:val="20"/>
                <w:szCs w:val="20"/>
                <w:color w:val="auto"/>
              </w:rPr>
            </w:pPr>
            <w:r>
              <w:rPr>
                <w:rFonts w:ascii="Times New Roman" w:cs="Times New Roman" w:eastAsia="Times New Roman" w:hAnsi="Times New Roman"/>
                <w:sz w:val="18"/>
                <w:szCs w:val="18"/>
                <w:color w:val="auto"/>
              </w:rPr>
              <w:t>150.0</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1"/>
              <w:spacing w:after="0" w:line="196" w:lineRule="exact"/>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4"/>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OIBDA margin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-448310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-431165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-448310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-431165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-448310</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-431165</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 w:lineRule="exact"/>
        <w:rPr>
          <w:sz w:val="20"/>
          <w:szCs w:val="20"/>
          <w:color w:val="auto"/>
        </w:rPr>
      </w:pPr>
    </w:p>
    <w:p>
      <w:pPr>
        <w:ind w:left="380" w:right="440" w:hanging="372"/>
        <w:spacing w:after="0" w:line="280" w:lineRule="auto"/>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operating costs', 'selling and marketing costs' and 'administrative and other costs' in the Company's unaudited Condensed Consolidated Financial Statements.</w:t>
      </w:r>
    </w:p>
    <w:p>
      <w:pPr>
        <w:spacing w:after="0" w:line="3" w:lineRule="exact"/>
        <w:rPr>
          <w:rFonts w:ascii="Times New Roman" w:cs="Times New Roman" w:eastAsia="Times New Roman" w:hAnsi="Times New Roman"/>
          <w:sz w:val="18"/>
          <w:szCs w:val="18"/>
          <w:i w:val="1"/>
          <w:iCs w:val="1"/>
          <w:color w:val="auto"/>
        </w:rPr>
      </w:pPr>
    </w:p>
    <w:p>
      <w:pPr>
        <w:ind w:left="380" w:right="120" w:hanging="372"/>
        <w:spacing w:after="0" w:line="280" w:lineRule="auto"/>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Workforce reorganization costs represent eliminated positions and redundancy costs associated with changes to the Company’s workforce, as well as related office relocations.</w:t>
      </w:r>
    </w:p>
    <w:p>
      <w:pPr>
        <w:spacing w:after="0" w:line="3" w:lineRule="exact"/>
        <w:rPr>
          <w:rFonts w:ascii="Times New Roman" w:cs="Times New Roman" w:eastAsia="Times New Roman" w:hAnsi="Times New Roman"/>
          <w:sz w:val="18"/>
          <w:szCs w:val="18"/>
          <w:i w:val="1"/>
          <w:iCs w:val="1"/>
          <w:color w:val="auto"/>
        </w:rPr>
      </w:pPr>
    </w:p>
    <w:p>
      <w:pPr>
        <w:ind w:left="380" w:right="460" w:hanging="372"/>
        <w:spacing w:after="0" w:line="297" w:lineRule="auto"/>
        <w:tabs>
          <w:tab w:leader="none" w:pos="380"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System optimization costs represent costs incurred related to a one-time assessment of the technology surrounding the Company's programmatic offerings beginning in the third quarter of 2024 and an assessment of operating efficiencies beginning in the third quarter of 2025.</w:t>
      </w:r>
    </w:p>
    <w:p>
      <w:pPr>
        <w:spacing w:after="0" w:line="2" w:lineRule="exact"/>
        <w:rPr>
          <w:rFonts w:ascii="Times New Roman" w:cs="Times New Roman" w:eastAsia="Times New Roman" w:hAnsi="Times New Roman"/>
          <w:sz w:val="17"/>
          <w:szCs w:val="17"/>
          <w:i w:val="1"/>
          <w:iCs w:val="1"/>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One-time costs of transitioning satellite providers during 2024.</w:t>
      </w:r>
    </w:p>
    <w:p>
      <w:pPr>
        <w:spacing w:after="0" w:line="63" w:lineRule="exact"/>
        <w:rPr>
          <w:rFonts w:ascii="Times New Roman" w:cs="Times New Roman" w:eastAsia="Times New Roman" w:hAnsi="Times New Roman"/>
          <w:sz w:val="18"/>
          <w:szCs w:val="18"/>
          <w:i w:val="1"/>
          <w:iCs w:val="1"/>
          <w:color w:val="auto"/>
        </w:rPr>
      </w:pPr>
    </w:p>
    <w:p>
      <w:pPr>
        <w:jc w:val="both"/>
        <w:ind w:left="380" w:right="180" w:hanging="372"/>
        <w:spacing w:after="0" w:line="266" w:lineRule="auto"/>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Advisor and legal fees and expenses incurred in connection with the Company’s involvement in the Cineworld Proceeding and Chapter 11 Case and related appeals, as well as insurance and retention related expenses. Actual expenses related to the first six months of 2025 were ultimately less than management's accrued estimate, resulting in a negative adjustment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-1530350</wp:posOffset>
            </wp:positionV>
            <wp:extent cx="19030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380" w:firstLine="614"/>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September 25, 2025 (third quarter of 2025) and September 26, 2024 (third quarter of 2024) were derived from the unaudited Condensed Consolidated Financial Statements and accounting records of NCM, Inc. and should be read in conjunction with the accompanying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Third Quarter of 2025 and Third Quarter of 2024.</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$1.0 million, or 1.6%, from $62.4 million for the third quarter of 2024 to $63.4 million for the third quarter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following is a summary of revenue by category (in millions):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49.9</w:t>
            </w:r>
          </w:p>
        </w:tc>
        <w:tc>
          <w:tcPr>
            <w:tcW w:w="1000" w:type="dxa"/>
            <w:vAlign w:val="bottom"/>
            <w:gridSpan w:val="3"/>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3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ESA Party advertising revenue from beverage</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gridSpan w:val="3"/>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vMerge w:val="continue"/>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3"/>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3"/>
            <w:vMerge w:val="continue"/>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720" w:type="dxa"/>
            <w:vAlign w:val="bottom"/>
            <w:gridSpan w:val="16"/>
          </w:tcPr>
          <w:p>
            <w:pPr>
              <w:ind w:left="62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third quarter of 2025 and 2024: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0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right"/>
              <w:ind w:right="51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0.459</w:t>
            </w: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0.385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0.088</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Total advertising revenue (excluding ESA Party beverage</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per attendee</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0.547</w:t>
            </w: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0.479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0.583</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0.513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40"/>
        </w:trPr>
        <w:tc>
          <w:tcPr>
            <w:tcW w:w="5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-1691640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-1691640</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-1691640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2" w:lineRule="exact"/>
        <w:rPr>
          <w:sz w:val="20"/>
          <w:szCs w:val="20"/>
          <w:color w:val="auto"/>
        </w:rPr>
      </w:pPr>
    </w:p>
    <w:p>
      <w:pPr>
        <w:ind w:left="380" w:right="260" w:hanging="372"/>
        <w:spacing w:after="0" w:line="282" w:lineRule="auto"/>
        <w:tabs>
          <w:tab w:leader="none" w:pos="2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54" w:lineRule="exact"/>
        <w:rPr>
          <w:sz w:val="20"/>
          <w:szCs w:val="20"/>
          <w:color w:val="auto"/>
        </w:rPr>
      </w:pPr>
    </w:p>
    <w:p>
      <w:pPr>
        <w:ind w:left="62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$3.1 million, or 6.6%, from $46.8 million for the third quarter of 2024 to $49.9 million for the third quarter of 2025. The increase in national advertising revenue was primarily due to a 41.9% increase in national advertising utilization, partially offset by a 10.6% decrease in network attendance in the third quarter of 2025, as compared to the third quarter of 2024. In order to increase utilization and better monetize attendance, the Company strategically decreased national advertising CPMs by 14.4% in the third quarter of 2025, as compared to the third quarter of 2024.</w:t>
      </w:r>
    </w:p>
    <w:p>
      <w:pPr>
        <w:spacing w:after="0" w:line="75" w:lineRule="exact"/>
        <w:rPr>
          <w:sz w:val="20"/>
          <w:szCs w:val="20"/>
          <w:color w:val="auto"/>
        </w:rPr>
      </w:pPr>
    </w:p>
    <w:p>
      <w:pPr>
        <w:ind w:left="62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decreased by $1.8 million, or 15.8%, from $11.4 million for the third quarter of 2024 to $9.6 million for the third quarter of 2025. The decrease in local and regional advertising revenue was primarily due to a decrease in contract activity and size within the healthcare, professional and trade and retail and apparel categories for the third quarter of 2025, as compared to the third quarter of 2024. These decreases were partially offset by an increase in contract activity and size within the travel and government categories in the third quarter of 2025, as compared to the third quarter of 2024.</w:t>
      </w:r>
    </w:p>
    <w:p>
      <w:pPr>
        <w:spacing w:after="0" w:line="75" w:lineRule="exact"/>
        <w:rPr>
          <w:sz w:val="20"/>
          <w:szCs w:val="20"/>
          <w:color w:val="auto"/>
        </w:rPr>
      </w:pPr>
    </w:p>
    <w:p>
      <w:pPr>
        <w:ind w:left="620"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ESA Party beverage revenue decreased by $0.3 million, or 7.1%, from $4.2 million for the third quarter of 2024 to $3.9 million for the third quarter of 2025. The decrease in ESA Party beverage revenue was primarily due to a 8.3% decrease in ESA Party attendance in the third quarter of 2025, as compared to the third quarter of 2024.</w:t>
      </w:r>
    </w:p>
    <w:p>
      <w:pPr>
        <w:spacing w:after="0" w:line="66" w:lineRule="exact"/>
        <w:rPr>
          <w:sz w:val="20"/>
          <w:szCs w:val="20"/>
          <w:color w:val="auto"/>
        </w:rPr>
      </w:pPr>
    </w:p>
    <w:p>
      <w:pPr>
        <w:ind w:right="260" w:firstLine="61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$4.7 million, or 6.7%, from $69.9 million for the third quarter of 2024 to $65.2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third quarter of 2025. The following table shows the changes in operating expense for the third quarter of 2025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operating costs</w:t>
            </w:r>
          </w:p>
        </w:tc>
        <w:tc>
          <w:tcPr>
            <w:tcW w:w="19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Theater exhibition fees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0.0</w:t>
            </w: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620"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color w:val="auto"/>
        </w:rPr>
        <w:t xml:space="preserve"> Network operating costs decreased $0.1 million, or 3.0%, from $3.3 million for the third quarter of 2024 to $3.2 million for the third quarter of 2025.</w:t>
      </w:r>
    </w:p>
    <w:p>
      <w:pPr>
        <w:spacing w:after="0" w:line="54" w:lineRule="exact"/>
        <w:rPr>
          <w:sz w:val="20"/>
          <w:szCs w:val="20"/>
          <w:color w:val="auto"/>
        </w:rPr>
      </w:pPr>
    </w:p>
    <w:p>
      <w:pPr>
        <w:ind w:left="620"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Theater exhibition fees.</w:t>
      </w:r>
      <w:r>
        <w:rPr>
          <w:rFonts w:ascii="Times New Roman" w:cs="Times New Roman" w:eastAsia="Times New Roman" w:hAnsi="Times New Roman"/>
          <w:sz w:val="18"/>
          <w:szCs w:val="18"/>
          <w:color w:val="auto"/>
        </w:rPr>
        <w:t xml:space="preserve"> Theater exhibition fees decreased by $0.6 million, or 1.8%, from $32.9 million for the third quarter of 2024 to $32.3 million for the third quarter of 2025. The decrease was primarily related to a $2.4 million decrease due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25" w:name="page26"/>
    <w:bookmarkEnd w:id="25"/>
    <w:p>
      <w:pPr>
        <w:ind w:left="620" w:right="40"/>
        <w:spacing w:after="0" w:line="261" w:lineRule="auto"/>
        <w:rPr>
          <w:sz w:val="20"/>
          <w:szCs w:val="20"/>
          <w:color w:val="auto"/>
        </w:rPr>
      </w:pPr>
      <w:r>
        <w:rPr>
          <w:rFonts w:ascii="Times New Roman" w:cs="Times New Roman" w:eastAsia="Times New Roman" w:hAnsi="Times New Roman"/>
          <w:sz w:val="18"/>
          <w:szCs w:val="18"/>
          <w:color w:val="auto"/>
        </w:rPr>
        <w:t>10.6% decrease in network attendance and a $0.1 million decrease related to the number of active screens in the third quarter of 2025, as compared to the third quarter of 2024. These decreases were partially offset by a $1.6 million increase driven by contractual rate increases within our exhibitor agreements for the third quarter of 2025, as compared to the third quarter of 2024, and the rate increases within the 2025 AMC Agreement entered into in April of 2025.</w:t>
      </w:r>
    </w:p>
    <w:p>
      <w:pPr>
        <w:spacing w:after="0" w:line="72" w:lineRule="exact"/>
        <w:rPr>
          <w:sz w:val="20"/>
          <w:szCs w:val="20"/>
          <w:color w:val="auto"/>
        </w:rPr>
      </w:pPr>
    </w:p>
    <w:p>
      <w:pPr>
        <w:ind w:left="620" w:right="140"/>
        <w:spacing w:after="0" w:line="281" w:lineRule="auto"/>
        <w:rPr>
          <w:sz w:val="20"/>
          <w:szCs w:val="20"/>
          <w:color w:val="auto"/>
        </w:rPr>
      </w:pPr>
      <w:r>
        <w:rPr>
          <w:rFonts w:ascii="Times New Roman" w:cs="Times New Roman" w:eastAsia="Times New Roman" w:hAnsi="Times New Roman"/>
          <w:sz w:val="17"/>
          <w:szCs w:val="17"/>
          <w:u w:val="single" w:color="auto"/>
          <w:color w:val="auto"/>
        </w:rPr>
        <w:t>Selling and marketing costs.</w:t>
      </w:r>
      <w:r>
        <w:rPr>
          <w:rFonts w:ascii="Times New Roman" w:cs="Times New Roman" w:eastAsia="Times New Roman" w:hAnsi="Times New Roman"/>
          <w:sz w:val="17"/>
          <w:szCs w:val="17"/>
          <w:color w:val="auto"/>
        </w:rPr>
        <w:t xml:space="preserve"> Selling and marketing costs remained at $10.1 million for the third quarter of 2025, consistent with $10.1 million for the third quarter of 2024. This was primarily due to a $0.5 million decrease in personnel related costs partially due to a decrease in performance-based compensation in the third quarter of 2025, as compared to the third quarter of 2024. This decrease was partially offset by a $0.3 million increase in variable costs associated with certain sales partnerships in the third quarter of 2025, as compared to the third quarter of 2024.</w:t>
      </w:r>
    </w:p>
    <w:p>
      <w:pPr>
        <w:spacing w:after="0" w:line="56" w:lineRule="exact"/>
        <w:rPr>
          <w:sz w:val="20"/>
          <w:szCs w:val="20"/>
          <w:color w:val="auto"/>
        </w:rPr>
      </w:pPr>
    </w:p>
    <w:p>
      <w:pPr>
        <w:ind w:left="620"/>
        <w:spacing w:after="0" w:line="255"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$2.3 million, or 17.8%, from $12.9 million for the third quarter of 2024 to $10.6 million for the third quarter of 2025. The decrease was primarily due to a $2.5 million decrease in legal and professional fees related to the Chapter 11 Case and Cineworld Proceeding, a $1.1 million decrease in stock-based compensation expense due to the grant of the one time management equity incentive plan in the first quarter of 2024, compared to normalized grant activity in 2025, and a $0.8 million decrease in performance-based compensation expense driven by the decrease in the Company's projected performance as compared to compensation targets, in the third quarter of 2025, as compared to the third quarter of 2024. These decreases were partially offset by a $1.5 million increase in system optimization costs and a $0.3 million increase in cloud computing expenses in the third quarter of 2025, as compared to the third quarter of 2024.</w:t>
      </w:r>
    </w:p>
    <w:p>
      <w:pPr>
        <w:spacing w:after="0" w:line="81" w:lineRule="exact"/>
        <w:rPr>
          <w:sz w:val="20"/>
          <w:szCs w:val="20"/>
          <w:color w:val="auto"/>
        </w:rPr>
      </w:pPr>
    </w:p>
    <w:p>
      <w:pPr>
        <w:ind w:left="620"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$0.1 million, or 8.3%, from $1.2 million for the third quarter of 2024, to $1.1 million for the third quarter of 2025.</w:t>
      </w:r>
    </w:p>
    <w:p>
      <w:pPr>
        <w:spacing w:after="0" w:line="54" w:lineRule="exact"/>
        <w:rPr>
          <w:sz w:val="20"/>
          <w:szCs w:val="20"/>
          <w:color w:val="auto"/>
        </w:rPr>
      </w:pPr>
    </w:p>
    <w:p>
      <w:pPr>
        <w:ind w:left="62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decreased $1.6 million, or 16.8%, from $9.5 million for the third quarter of 2024 to $7.9 million for the third quarter of 2025. The decrease was due to the reduction in and extension of the useful life of the intangible asset related to the ESA Parties following the 2025 AMC Agreement in the second quarter of 2025 as further discussed in Note 4—</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and Note 7—</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ind w:right="18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income. </w:t>
      </w:r>
      <w:r>
        <w:rPr>
          <w:rFonts w:ascii="Times New Roman" w:cs="Times New Roman" w:eastAsia="Times New Roman" w:hAnsi="Times New Roman"/>
          <w:sz w:val="18"/>
          <w:szCs w:val="18"/>
          <w:color w:val="auto"/>
        </w:rPr>
        <w:t>Total non-operating income decreased $0.5 million, or 12.8%, from $3.9 million for the third quarter of 2024 to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third quarter of 2025. The following table shows the changes in non-operating income for the third quarter of 2025 and the third quarter of 2024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Q3 2024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borrowings</w:t>
            </w:r>
          </w:p>
        </w:tc>
        <w:tc>
          <w:tcPr>
            <w:tcW w:w="178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98"/>
        </w:trPr>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Gain on the re-measurement of the payable under the</w:t>
            </w:r>
          </w:p>
        </w:tc>
        <w:tc>
          <w:tcPr>
            <w:tcW w:w="9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receivable agreement</w:t>
            </w:r>
          </w:p>
        </w:tc>
        <w:tc>
          <w:tcPr>
            <w:tcW w:w="9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non-operating income, net</w:t>
            </w: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60" w:firstLine="614"/>
        <w:spacing w:after="0" w:line="261" w:lineRule="auto"/>
        <w:rPr>
          <w:sz w:val="20"/>
          <w:szCs w:val="20"/>
          <w:color w:val="auto"/>
        </w:rPr>
      </w:pPr>
      <w:r>
        <w:rPr>
          <w:rFonts w:ascii="Times New Roman" w:cs="Times New Roman" w:eastAsia="Times New Roman" w:hAnsi="Times New Roman"/>
          <w:sz w:val="18"/>
          <w:szCs w:val="18"/>
          <w:color w:val="auto"/>
        </w:rPr>
        <w:t>The decrease in non-operating income was primarily due to a $0.5 million decrease in other non-operating income related to the Company's equity method investment in ACJV, LLC and a $0.4 million decrease in interest income in the third quarter of 2025, compared to the third quarter of 2024. These decreases were partially offset by a $0.3 million decrease in interest expense in the third quarter of 2025, compared to the third quarter of 2024 due to the termination of all of the Company's outstanding debt in the first quarter of 2025.</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25, 2025 and September 26, 2024</w:t>
      </w:r>
    </w:p>
    <w:p>
      <w:pPr>
        <w:spacing w:after="0" w:line="119" w:lineRule="exact"/>
        <w:rPr>
          <w:sz w:val="20"/>
          <w:szCs w:val="20"/>
          <w:color w:val="auto"/>
        </w:rPr>
      </w:pPr>
    </w:p>
    <w:p>
      <w:pPr>
        <w:ind w:right="80" w:firstLine="61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decreased $4.5 million, or 2.9%, from $154.5 million for the nine months ended September 26, 2024 to $150.0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25, 2025. The following is a summary of revenue by category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118.5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117.9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0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ESA Party advertising revenue from beverage</w:t>
            </w:r>
          </w:p>
        </w:tc>
        <w:tc>
          <w:tcPr>
            <w:tcW w:w="1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5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154.5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nine months ended September 25, 2025 and September 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2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25, 2025</w:t>
            </w:r>
          </w:p>
        </w:tc>
        <w:tc>
          <w:tcPr>
            <w:tcW w:w="140" w:type="dxa"/>
            <w:vAlign w:val="bottom"/>
          </w:tcPr>
          <w:p>
            <w:pPr>
              <w:spacing w:after="0"/>
              <w:rPr>
                <w:sz w:val="10"/>
                <w:szCs w:val="10"/>
                <w:color w:val="auto"/>
              </w:rPr>
            </w:pPr>
          </w:p>
        </w:tc>
        <w:tc>
          <w:tcPr>
            <w:tcW w:w="14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26, 2024</w:t>
            </w:r>
          </w:p>
        </w:tc>
        <w:tc>
          <w:tcPr>
            <w:tcW w:w="100" w:type="dxa"/>
            <w:vAlign w:val="bottom"/>
          </w:tcPr>
          <w:p>
            <w:pPr>
              <w:spacing w:after="0"/>
              <w:rPr>
                <w:sz w:val="10"/>
                <w:szCs w:val="10"/>
                <w:color w:val="auto"/>
              </w:rPr>
            </w:pPr>
          </w:p>
        </w:tc>
        <w:tc>
          <w:tcPr>
            <w:tcW w:w="1600" w:type="dxa"/>
            <w:vAlign w:val="bottom"/>
          </w:tcPr>
          <w:p>
            <w:pPr>
              <w:jc w:val="center"/>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6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0.400</w:t>
            </w:r>
          </w:p>
        </w:tc>
        <w:tc>
          <w:tcPr>
            <w:tcW w:w="82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0.406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16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0.070</w:t>
            </w:r>
          </w:p>
        </w:tc>
        <w:tc>
          <w:tcPr>
            <w:tcW w:w="8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0.091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198"/>
        </w:trPr>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Total advertising revenue (excluding ESA Party beverage</w:t>
            </w:r>
          </w:p>
        </w:tc>
        <w:tc>
          <w:tcPr>
            <w:tcW w:w="1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revenue) per attendee</w:t>
            </w:r>
          </w:p>
        </w:tc>
        <w:tc>
          <w:tcPr>
            <w:tcW w:w="16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0.470</w:t>
            </w:r>
          </w:p>
        </w:tc>
        <w:tc>
          <w:tcPr>
            <w:tcW w:w="82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0.498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16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0.506</w:t>
            </w:r>
          </w:p>
        </w:tc>
        <w:tc>
          <w:tcPr>
            <w:tcW w:w="8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0.532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296.4</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290.2</w:t>
            </w:r>
          </w:p>
        </w:tc>
        <w:tc>
          <w:tcPr>
            <w:tcW w:w="17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40"/>
        </w:trPr>
        <w:tc>
          <w:tcPr>
            <w:tcW w:w="53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right="260" w:hanging="372"/>
        <w:spacing w:after="0" w:line="282" w:lineRule="auto"/>
        <w:tabs>
          <w:tab w:leader="none" w:pos="2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54" w:lineRule="exact"/>
        <w:rPr>
          <w:sz w:val="20"/>
          <w:szCs w:val="20"/>
          <w:color w:val="auto"/>
        </w:rPr>
      </w:pPr>
    </w:p>
    <w:p>
      <w:pPr>
        <w:ind w:left="620"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$0.6 million, or 0.5%, from $117.9 million for the nine months ended September 26, 2024 to $118.5 million for the nine months ended September 25, 2025. The increase in national advertising revenue was primarily due to a 17.0% increase in national advertising utilization, as well as a 2.1% increase in network attendance in the nine months ended September 25, 2025, as compared to the nine months ended September 26, 2024. Macroeconomic uncertainty negatively affected advertisers' willingness to spend in the first six months of 2025 across the advertising industry. To improve utilization and better monetize attendance, the Company strategically decreased national advertising CPMs by 15.6% in the nine months ended September 25, 2025, as compared to the nine months ended September 26, 2024.</w:t>
      </w:r>
    </w:p>
    <w:p>
      <w:pPr>
        <w:spacing w:after="0" w:line="81" w:lineRule="exact"/>
        <w:rPr>
          <w:sz w:val="20"/>
          <w:szCs w:val="20"/>
          <w:color w:val="auto"/>
        </w:rPr>
      </w:pPr>
    </w:p>
    <w:p>
      <w:pPr>
        <w:ind w:left="6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decreased by $5.7 million, or 21.5%, from $26.5 million for the nine months ended September 26, 2024 to $20.8 million for the nine months ended September 25, 2025. The decrease in local and regional advertising revenue was primarily due to a decrease in contract activity and size within the healthcare, professional and trade and retail and apparel categories in the nine months ended September 25, 2025, as compared to the nine months ended September 26, 2024 due in part to macroeconomic uncertainty which negatively affected advertisers' willingness to spend in the first six months of 2025 across the advertising industry. The decreases within these categories were partially offset by an increase in contract activity and size within the travel and government categories in the nine months ended September 25, 2025, as compared to the nine months ended September 26, 2024.</w:t>
      </w:r>
    </w:p>
    <w:p>
      <w:pPr>
        <w:spacing w:after="0" w:line="81" w:lineRule="exact"/>
        <w:rPr>
          <w:sz w:val="20"/>
          <w:szCs w:val="20"/>
          <w:color w:val="auto"/>
        </w:rPr>
      </w:pPr>
    </w:p>
    <w:p>
      <w:pPr>
        <w:ind w:left="620"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ESA Party beverage revenue increased $0.6 million, or 5.9%, from $10.1 million for the nine months ended September 26, 2024 to $10.7 million for the nine months ended September 25, 2025. The increase in ESA Party beverage revenue was primarily due to a 4.4% increase in ESA Party attendance for the nine months ended September 25, 2025, as compared to the nine months ended September 26, 2024, as well as contractual rate increases within the ESAs.</w:t>
      </w:r>
    </w:p>
    <w:p>
      <w:pPr>
        <w:spacing w:after="0" w:line="70" w:lineRule="exact"/>
        <w:rPr>
          <w:sz w:val="20"/>
          <w:szCs w:val="20"/>
          <w:color w:val="auto"/>
        </w:rPr>
      </w:pPr>
    </w:p>
    <w:p>
      <w:pPr>
        <w:ind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decreased $6.2 million, or 3.2%, from $193.9 million for the nine months ended September 26,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$187.7 million for the nine months ended September 25, 2025. The following table shows the changes in operating expense for the nine months ended September 25, 2025 and September 26, 2024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17"/>
        </w:trPr>
        <w:tc>
          <w:tcPr>
            <w:tcW w:w="39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r>
      <w:tr>
        <w:trPr>
          <w:trHeight w:val="173"/>
        </w:trPr>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operating costs</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Theater exhibition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3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193.9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620" w:right="120"/>
        <w:spacing w:after="0" w:line="277" w:lineRule="auto"/>
        <w:rPr>
          <w:sz w:val="20"/>
          <w:szCs w:val="20"/>
          <w:color w:val="auto"/>
        </w:rPr>
      </w:pPr>
      <w:r>
        <w:rPr>
          <w:rFonts w:ascii="Times New Roman" w:cs="Times New Roman" w:eastAsia="Times New Roman" w:hAnsi="Times New Roman"/>
          <w:sz w:val="17"/>
          <w:szCs w:val="17"/>
          <w:u w:val="single" w:color="auto"/>
          <w:color w:val="auto"/>
        </w:rPr>
        <w:t>Network operating costs.</w:t>
      </w:r>
      <w:r>
        <w:rPr>
          <w:rFonts w:ascii="Times New Roman" w:cs="Times New Roman" w:eastAsia="Times New Roman" w:hAnsi="Times New Roman"/>
          <w:sz w:val="17"/>
          <w:szCs w:val="17"/>
          <w:color w:val="auto"/>
        </w:rPr>
        <w:t xml:space="preserve"> Network operating costs decreased $1.2 million, or 11.3%, from $10.6 million for the nine months ended September 26, 2024 to $9.4 million for the nine months ended September 25, 2025. The decrease in network operating costs was primarily due to a $0.5 million decrease in personnel-related expenses driven by a decrease in performance-based compensation, a $0.3 million decrease in costs associated with our digital offerings resulting from the decrease in revenue for the nine months ended September 25, 2025, as compared to the nine months ended September 26, 2024 and $0.3 million in one-time satellite transition costs incurred in the nine months ended September 26, 2024.</w:t>
      </w:r>
    </w:p>
    <w:p>
      <w:pPr>
        <w:spacing w:after="0" w:line="60" w:lineRule="exact"/>
        <w:rPr>
          <w:sz w:val="20"/>
          <w:szCs w:val="20"/>
          <w:color w:val="auto"/>
        </w:rPr>
      </w:pPr>
    </w:p>
    <w:p>
      <w:pPr>
        <w:ind w:left="62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Theater exhibition fees.</w:t>
      </w:r>
      <w:r>
        <w:rPr>
          <w:rFonts w:ascii="Times New Roman" w:cs="Times New Roman" w:eastAsia="Times New Roman" w:hAnsi="Times New Roman"/>
          <w:sz w:val="18"/>
          <w:szCs w:val="18"/>
          <w:color w:val="auto"/>
        </w:rPr>
        <w:t xml:space="preserve"> Theater exhibition fees increased $2.8 million, or 3.4%, from $82.1 million for the nine months ended September 26, 2024 to $84.9 million for the nine months ended September 25, 2025. The increase in theater exhibition fees was primarily related to $2.4 million due to contractual rate increases due in part to the 2025 AMC Agreement, and $0.6 million due to a 2.1% increase in network attendance for the nine months ended September 25, 2025, as compared to the nine months ended September 26, 2024. These increases were partially offset by a $0.3 million decrease related to the average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8"/>
          <w:szCs w:val="18"/>
          <w:color w:val="auto"/>
        </w:rPr>
        <w:t>number of active screens in the nine months ended September 25, 2025, compared to the nine months ended September 26, 2024.</w:t>
      </w:r>
    </w:p>
    <w:p>
      <w:pPr>
        <w:spacing w:after="0" w:line="117"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$1.0 million, or 3.4%, from $29.6 million for the nine months ended September 26, 2024 to $30.6 million for the nine months ended September 25, 2025. The increase in selling and marketing costs was primarily due to a $2.0 million increase in selling related expenses partly driven by the timing of our company-wide sales meeting, a $0.8 million increase in variable costs associated with certain sales partnerships and a $0.4 million increase in marketing research expenses due to an increase in research studies sold during the nine months ended September 25, 2025, as compared to the nine months ended September 26, 2024. These increases were partially offset by a $1.9 million decrease in personnel-related expenses primarily due to a decrease in performance-based compensation expense in line with the decrease in revenue, a decrease in severance expenses due to the workforce reorganization in the first quarter of 2024 and a decrease in stock-based compensation due to the grant of the one time management equity incentive plan in the first quarter of 2024, compared to normalized grant activity in 2025. The increases were also partially offset by a $0.4 million decrease in bad debt expense for the nine months ended September 25, 2025, as compared to the nine months ended September 26, 2024.</w:t>
      </w:r>
    </w:p>
    <w:p>
      <w:pPr>
        <w:spacing w:after="0" w:line="86" w:lineRule="exact"/>
        <w:rPr>
          <w:sz w:val="20"/>
          <w:szCs w:val="20"/>
          <w:color w:val="auto"/>
        </w:rPr>
      </w:pPr>
    </w:p>
    <w:p>
      <w:pPr>
        <w:ind w:left="620"/>
        <w:spacing w:after="0" w:line="269" w:lineRule="auto"/>
        <w:rPr>
          <w:sz w:val="20"/>
          <w:szCs w:val="20"/>
          <w:color w:val="auto"/>
        </w:rPr>
      </w:pPr>
      <w:r>
        <w:rPr>
          <w:rFonts w:ascii="Times New Roman" w:cs="Times New Roman" w:eastAsia="Times New Roman" w:hAnsi="Times New Roman"/>
          <w:sz w:val="17"/>
          <w:szCs w:val="17"/>
          <w:u w:val="single" w:color="auto"/>
          <w:color w:val="auto"/>
        </w:rPr>
        <w:t>Administrative and other costs.</w:t>
      </w:r>
      <w:r>
        <w:rPr>
          <w:rFonts w:ascii="Times New Roman" w:cs="Times New Roman" w:eastAsia="Times New Roman" w:hAnsi="Times New Roman"/>
          <w:sz w:val="17"/>
          <w:szCs w:val="17"/>
          <w:color w:val="auto"/>
        </w:rPr>
        <w:t xml:space="preserve"> Administrative and other costs decreased $5.8 million, or 14.6%, from $39.8 million for the nine months ended September 26, 2024 to $34.0 million for the nine months ended September 25, 2025. The decrease is primarily due to a $2.9 million decrease in legal and professional fees related to the Chapter 11 Case and Cineworld Proceeding, a $2.2 million decrease in performance-based compensation expense primarily due to retention related expenses in 2024 related to the Chapter 11 proceedings, as well as a decrease in the Company's projected performance as compared to compensation targets, a $1.8 million decrease in severance expense following the non-renewal of the former President</w:t>
      </w:r>
    </w:p>
    <w:p>
      <w:pPr>
        <w:spacing w:after="0" w:line="3" w:lineRule="exact"/>
        <w:rPr>
          <w:sz w:val="20"/>
          <w:szCs w:val="20"/>
          <w:color w:val="auto"/>
        </w:rPr>
      </w:pPr>
    </w:p>
    <w:p>
      <w:pPr>
        <w:ind w:left="620" w:right="60" w:firstLine="2"/>
        <w:spacing w:after="0" w:line="253"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Partnerships' contract in the second quarter of 2024 and a $1.4 million decrease in stock-based compensation due to the grant of the one time management equity incentive plan in the first quarter of 2024, compared to normalized grant activity in 2025. These decreases were partially offset by a $1.1 million increase in system optimization costs, a $1.0 million increase in cloud computing expenses due to improvements made to our programmatic offerings for the nine months ended September 25, 2025, compared to the nine months ended September 26, 2024 and a $0.3 million increase in investor relation expenses due to the Company's investor day in March of 2025.</w:t>
      </w:r>
    </w:p>
    <w:p>
      <w:pPr>
        <w:spacing w:after="0" w:line="79" w:lineRule="exact"/>
        <w:rPr>
          <w:sz w:val="20"/>
          <w:szCs w:val="20"/>
          <w:color w:val="auto"/>
        </w:rPr>
      </w:pPr>
    </w:p>
    <w:p>
      <w:pPr>
        <w:ind w:left="62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$0.1 million, or 2.9%, from $3.4 million for the nine months ended September 26, 2024 to $3.3 million for the nine months ended September 25, 2025.</w:t>
      </w:r>
    </w:p>
    <w:p>
      <w:pPr>
        <w:spacing w:after="0" w:line="54" w:lineRule="exact"/>
        <w:rPr>
          <w:sz w:val="20"/>
          <w:szCs w:val="20"/>
          <w:color w:val="auto"/>
        </w:rPr>
      </w:pPr>
    </w:p>
    <w:p>
      <w:pPr>
        <w:ind w:left="62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decreased $2.9 million, or 10.2%, from $28.4 million for the nine months ended September 26, 2024 to $25.5 million for the nine months ended September 25, 2025. The decrease was due to the reduction in and extension of the useful life of the intangible asset related to the ESA Parties following the 2025 AMC Agreement in the second quarter of 2025, as further discussed in Note 4—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and Note 7—</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right="26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 </w:t>
      </w:r>
      <w:r>
        <w:rPr>
          <w:rFonts w:ascii="Times New Roman" w:cs="Times New Roman" w:eastAsia="Times New Roman" w:hAnsi="Times New Roman"/>
          <w:sz w:val="18"/>
          <w:szCs w:val="18"/>
          <w:color w:val="auto"/>
        </w:rPr>
        <w:t>Total non-operating expense decreased $5.4 million, or 71.1%, from $7.6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2024 to $2.2 million for the nine months ended September 25, 2025. The following table shows the changes in non-operating expense for the nine months ended September 26, 2024 and September 25, 2025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17"/>
        </w:trPr>
        <w:tc>
          <w:tcPr>
            <w:tcW w:w="5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100" w:type="dxa"/>
            <w:vAlign w:val="bottom"/>
          </w:tcPr>
          <w:p>
            <w:pPr>
              <w:spacing w:after="0"/>
              <w:rPr>
                <w:sz w:val="10"/>
                <w:szCs w:val="10"/>
                <w:color w:val="auto"/>
              </w:rPr>
            </w:pPr>
          </w:p>
        </w:tc>
        <w:tc>
          <w:tcPr>
            <w:tcW w:w="1420" w:type="dxa"/>
            <w:vAlign w:val="bottom"/>
          </w:tcPr>
          <w:p>
            <w:pPr>
              <w:jc w:val="center"/>
              <w:ind w:right="170"/>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r>
      <w:tr>
        <w:trPr>
          <w:trHeight w:val="173"/>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Q3 2025</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borrowings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198"/>
        </w:trPr>
        <w:tc>
          <w:tcPr>
            <w:tcW w:w="5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Loss on the re-measurement of the payable under the</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receivable agreement</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tcPr>
          <w:p>
            <w:pPr>
              <w:spacing w:after="0"/>
              <w:rPr>
                <w:sz w:val="18"/>
                <w:szCs w:val="18"/>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0.9</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$7.7 million decrease in the loss on the re-measurement of the payable under the tax receivable agreement largely due to the addition of two years of estimates in management's forecast for future years in 2024 following increased insight into the respective movie slates and market demand as compared to the addition of one new forecasted year in 2025 to replace the completed prior year within the calculation. The decrease is also due to a $0.9 million decrease in interest expense in the nine months ended September 25, 2025, compared to the nine months ended September 26, 2024, following the termination of all of the Company's debt in the first quarter of 2025. These decreases were partially offset by a $1.8 million increase in loss on debt extinguishment in the first quarter of 2025 following the Company's termination of its Revolving Credit Facility 2023, a $0.9 million decrease in non-operating income related to the Company's equity method investment in ACJV, LLC and a $0.5 million decrease in interest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both"/>
        <w:ind w:right="20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ESA Party 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 program can be sold to the ESA Parties to satisfy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on-screen advertising commitments under their beverage concessionaire agreements. In the nine months ended September 25, 2025, Cinemark purchased 60 seconds of on-screen advertising time and AMC purchased 30 seconds to satisfy their obligations under their beverage concessionaire agreements.</w:t>
      </w:r>
    </w:p>
    <w:p>
      <w:pPr>
        <w:spacing w:after="0" w:line="253" w:lineRule="auto"/>
        <w:rPr>
          <w:sz w:val="20"/>
          <w:szCs w:val="20"/>
          <w:color w:val="auto"/>
        </w:rPr>
      </w:pPr>
      <w:r>
        <w:rPr>
          <w:rFonts w:ascii="Times New Roman" w:cs="Times New Roman" w:eastAsia="Times New Roman" w:hAnsi="Times New Roman"/>
          <w:sz w:val="18"/>
          <w:szCs w:val="18"/>
          <w:color w:val="auto"/>
        </w:rPr>
        <w:t>Additionally, in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In accordance with the 2019 ESA Amendment, the price for the time sold to Cinemark's beverage supplier increases at a fixed rate of 2.0% each year. In accordance with the 2025 AMC Agreement, beginning in 2026, the time sold to AMC's beverage supplier will also increase at a fixed rate of 2.0% each year.</w:t>
      </w:r>
    </w:p>
    <w:p>
      <w:pPr>
        <w:spacing w:after="0" w:line="75" w:lineRule="exact"/>
        <w:rPr>
          <w:sz w:val="20"/>
          <w:szCs w:val="20"/>
          <w:color w:val="auto"/>
        </w:rPr>
      </w:pPr>
    </w:p>
    <w:p>
      <w:pPr>
        <w:ind w:right="20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Theater exhibition fees</w:t>
      </w:r>
      <w:r>
        <w:rPr>
          <w:rFonts w:ascii="Times New Roman" w:cs="Times New Roman" w:eastAsia="Times New Roman" w:hAnsi="Times New Roman"/>
          <w:sz w:val="18"/>
          <w:szCs w:val="18"/>
          <w:color w:val="auto"/>
        </w:rPr>
        <w:t>—In consideration for the Company’s access to the ESA Parties’ and network affiliate theaters for on-screen and LEN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‘Theater exhibition fees’ in the unaudited Condensed Consolidated Statement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340" w:firstLine="608"/>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interest and principal payments on our 2025 Credit Facility, if any, income tax payments, TRA payments to Cinemark and available cash payments (as defined in the NCM LLC Operating Agreement) to Cinemark in the event Cinemark holds NCM LLC membership units, as well as the amount of dividends paid to NCM, Inc.’s common stockholders.</w:t>
      </w:r>
    </w:p>
    <w:p>
      <w:pPr>
        <w:spacing w:after="0" w:line="72"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On January 24, 2025, NCM LLC, as borrower, entered into the 2025 Credit Facility with U.S. Bank National Association, as lender. The agreement provides for a $45.0 million senior secured revolving credit facility that matures on January 24, 2028. In connection with entering into the 2025 Credit Facility, NCM LLC repaid in full the $10.0 million balance outstanding, as of December 26, 2024, and terminated all commitments under its Revolving Credit Facility 2023 (as defined below), and in connection with this termination, paid a prepayment fee equal to 1% of the total commitment. As of September 25, 2025, NCM LLC has no outstanding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84" w:lineRule="exact"/>
        <w:rPr>
          <w:sz w:val="20"/>
          <w:szCs w:val="20"/>
          <w:color w:val="auto"/>
        </w:rPr>
      </w:pPr>
    </w:p>
    <w:p>
      <w:pPr>
        <w:ind w:right="20" w:firstLine="608"/>
        <w:spacing w:after="0" w:line="252" w:lineRule="auto"/>
        <w:rPr>
          <w:sz w:val="20"/>
          <w:szCs w:val="20"/>
          <w:color w:val="auto"/>
        </w:rPr>
      </w:pPr>
      <w:r>
        <w:rPr>
          <w:rFonts w:ascii="Times New Roman" w:cs="Times New Roman" w:eastAsia="Times New Roman" w:hAnsi="Times New Roman"/>
          <w:sz w:val="18"/>
          <w:szCs w:val="18"/>
          <w:color w:val="auto"/>
        </w:rPr>
        <w:t>On August 7, 2023, NCM LLC entered into a Loan, Security and Guarantee Agreement (the “Revolving Credit Facility 2023”) with CIT Northbridge Credit LLC as agent, which was terminated in connection with the 2025 Credit Facility. The Revolving Credit Facility 2023 was an asset backed line facility where the capacity depends upon NCM LLC’s trade accounts receivable balance, as adjusted for aged balances and other considerations. The maximum availability NCM LLC had access to under the revolver is $55.0 million. The proceeds of the Revolving Credit Facility 2023 could have been used for, inter alia, working capital and capital expenditures. The Revolving Credit Facility 2023 was to mature on August 7, 2026. The interest rate under the Revolving Credit Facility 2023 was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was at least 1.1 to 1.0 during a “Trigger Period.” A Trigger Period began upon (i) an event of default or (ii) if availability was less than the greater of (a) $5.0 million and (b) 10% of aggregate revolving commitments. A Trigger Period ended only if</w:t>
      </w:r>
    </w:p>
    <w:p>
      <w:pPr>
        <w:spacing w:after="0" w:line="5" w:lineRule="exact"/>
        <w:rPr>
          <w:sz w:val="20"/>
          <w:szCs w:val="20"/>
          <w:color w:val="auto"/>
        </w:rPr>
      </w:pPr>
    </w:p>
    <w:p>
      <w:pPr>
        <w:ind w:right="440" w:firstLine="8"/>
        <w:spacing w:after="0" w:line="260"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existed for the preceding 30 consecutive days and (ii) availability is greater than both (a) $5.0 million and (b) 10% of aggregate revolving commitments.</w:t>
      </w:r>
    </w:p>
    <w:p>
      <w:pPr>
        <w:spacing w:after="0" w:line="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25,</w:t>
            </w:r>
          </w:p>
        </w:tc>
        <w:tc>
          <w:tcPr>
            <w:tcW w:w="180" w:type="dxa"/>
            <w:vAlign w:val="bottom"/>
          </w:tcPr>
          <w:p>
            <w:pPr>
              <w:spacing w:after="0"/>
              <w:rPr>
                <w:sz w:val="10"/>
                <w:szCs w:val="10"/>
                <w:color w:val="auto"/>
              </w:rPr>
            </w:pPr>
          </w:p>
        </w:tc>
        <w:tc>
          <w:tcPr>
            <w:tcW w:w="13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26, 2024</w:t>
            </w:r>
          </w:p>
        </w:tc>
        <w:tc>
          <w:tcPr>
            <w:tcW w:w="140" w:type="dxa"/>
            <w:vAlign w:val="bottom"/>
          </w:tcPr>
          <w:p>
            <w:pPr>
              <w:spacing w:after="0"/>
              <w:rPr>
                <w:sz w:val="10"/>
                <w:szCs w:val="10"/>
                <w:color w:val="auto"/>
              </w:rPr>
            </w:pPr>
          </w:p>
        </w:tc>
        <w:tc>
          <w:tcPr>
            <w:tcW w:w="10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26,</w:t>
            </w:r>
          </w:p>
        </w:tc>
        <w:tc>
          <w:tcPr>
            <w:tcW w:w="120" w:type="dxa"/>
            <w:vAlign w:val="bottom"/>
          </w:tcPr>
          <w:p>
            <w:pPr>
              <w:spacing w:after="0"/>
              <w:rPr>
                <w:sz w:val="10"/>
                <w:szCs w:val="10"/>
                <w:color w:val="auto"/>
              </w:rPr>
            </w:pPr>
          </w:p>
        </w:tc>
        <w:tc>
          <w:tcPr>
            <w:tcW w:w="960" w:type="dxa"/>
            <w:vAlign w:val="bottom"/>
            <w:gridSpan w:val="2"/>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YE 2024 to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Q3 2024 to</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Q3 2025</w:t>
            </w:r>
          </w:p>
        </w:tc>
        <w:tc>
          <w:tcPr>
            <w:tcW w:w="0" w:type="dxa"/>
            <w:vAlign w:val="bottom"/>
          </w:tcPr>
          <w:p>
            <w:pPr>
              <w:spacing w:after="0"/>
              <w:rPr>
                <w:sz w:val="1"/>
                <w:szCs w:val="1"/>
                <w:color w:val="auto"/>
              </w:rPr>
            </w:pPr>
          </w:p>
        </w:tc>
      </w:tr>
      <w:tr>
        <w:trPr>
          <w:trHeight w:val="209"/>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29.9</w:t>
            </w:r>
          </w:p>
        </w:tc>
        <w:tc>
          <w:tcPr>
            <w:tcW w:w="4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75.2</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2025 Credit Facility availability </w:t>
            </w:r>
            <w:r>
              <w:rPr>
                <w:rFonts w:ascii="Times New Roman" w:cs="Times New Roman" w:eastAsia="Times New Roman" w:hAnsi="Times New Roman"/>
                <w:sz w:val="18"/>
                <w:szCs w:val="18"/>
                <w:i w:val="1"/>
                <w:iCs w:val="1"/>
                <w:color w:val="auto"/>
              </w:rPr>
              <w:t>(2)</w:t>
            </w:r>
          </w:p>
        </w:tc>
        <w:tc>
          <w:tcPr>
            <w:tcW w:w="2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Revolving Credit Facility 2023 availability </w:t>
            </w:r>
            <w:r>
              <w:rPr>
                <w:rFonts w:ascii="Times New Roman" w:cs="Times New Roman" w:eastAsia="Times New Roman" w:hAnsi="Times New Roman"/>
                <w:sz w:val="18"/>
                <w:szCs w:val="18"/>
                <w:i w:val="1"/>
                <w:iCs w:val="1"/>
                <w:color w:val="auto"/>
              </w:rPr>
              <w:t>(3)</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0"/>
        </w:trPr>
        <w:tc>
          <w:tcPr>
            <w:tcW w:w="5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liquidity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74.3</w:t>
            </w:r>
          </w:p>
        </w:tc>
        <w:tc>
          <w:tcPr>
            <w:tcW w:w="4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-265430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-265430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-265430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-265430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 w:lineRule="exact"/>
        <w:rPr>
          <w:sz w:val="20"/>
          <w:szCs w:val="20"/>
          <w:color w:val="auto"/>
        </w:rPr>
      </w:pPr>
    </w:p>
    <w:p>
      <w:pPr>
        <w:ind w:left="380" w:right="340" w:hanging="372"/>
        <w:spacing w:after="0" w:line="266" w:lineRule="auto"/>
        <w:tabs>
          <w:tab w:leader="none" w:pos="38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September 25, 2025, December 26, 2024 and September 26, 2024, was $11.6 million, $63.5 million and $45.5 million, respectively, of cash held by NCM LLC that is not available to satisfy dividends declared by NCM, Inc., income tax, TRA payments and other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left="380" w:right="20" w:hanging="372"/>
        <w:spacing w:after="0" w:line="255" w:lineRule="auto"/>
        <w:tabs>
          <w:tab w:leader="none" w:pos="3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2025 Credit Facility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2025 Credit Facility is $45.0 million as of September 25, 2025. As of September 25, 2025, the amount available under the 2025 Credit Facility in the table above is net of letters of credit of $0.6 million.</w:t>
      </w:r>
    </w:p>
    <w:p>
      <w:pPr>
        <w:spacing w:after="0" w:line="2" w:lineRule="exact"/>
        <w:rPr>
          <w:rFonts w:ascii="Times New Roman" w:cs="Times New Roman" w:eastAsia="Times New Roman" w:hAnsi="Times New Roman"/>
          <w:sz w:val="18"/>
          <w:szCs w:val="18"/>
          <w:i w:val="1"/>
          <w:iCs w:val="1"/>
          <w:color w:val="auto"/>
        </w:rPr>
      </w:pPr>
    </w:p>
    <w:p>
      <w:pPr>
        <w:ind w:left="380" w:right="260" w:hanging="372"/>
        <w:spacing w:after="0" w:line="253" w:lineRule="auto"/>
        <w:tabs>
          <w:tab w:leader="none" w:pos="38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2023 portion of NCM LLC’s total borrowings that was available, subject to certain conditions, for general corporate purposes of NCM LLC in the ordinary course of business and for other transactions permitted under the senior secured credit facility, and a portion was available for letters of credit. NCM LLC’s total capacity under the Revolving Credit Facility 2023, which was subject to fluctuations in the underlying assets, was $55.0 million prior to its extinguishment.</w:t>
      </w:r>
    </w:p>
    <w:p>
      <w:pPr>
        <w:spacing w:after="0" w:line="81" w:lineRule="exact"/>
        <w:rPr>
          <w:sz w:val="20"/>
          <w:szCs w:val="20"/>
          <w:color w:val="auto"/>
        </w:rPr>
      </w:pPr>
    </w:p>
    <w:p>
      <w:pPr>
        <w:ind w:firstLine="614"/>
        <w:spacing w:after="0" w:line="261" w:lineRule="auto"/>
        <w:rPr>
          <w:sz w:val="20"/>
          <w:szCs w:val="20"/>
          <w:color w:val="auto"/>
        </w:rPr>
      </w:pPr>
      <w:r>
        <w:rPr>
          <w:rFonts w:ascii="Times New Roman" w:cs="Times New Roman" w:eastAsia="Times New Roman" w:hAnsi="Times New Roman"/>
          <w:sz w:val="18"/>
          <w:szCs w:val="18"/>
          <w:color w:val="auto"/>
        </w:rPr>
        <w:t>As of September 25, 2025, the weighted average remaining maturity of our debt facility was 2.3 years. As of September 25, 2025, NCM LLC has drawn $10.0 million from the facility and repaid $10.0 million of the facility, with no outstanding balance under the 2025 Credit Facility. All of our borrowings bear interest at variable rates and our net income and earnings per share could fluctuate with market interest rate fluctuations that could increase or decrease the interest paid on our borrowings.</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used and generated cash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4"/>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7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September 25, 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September 26, 2024</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Investing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cash flow</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99" w:lineRule="exact"/>
        <w:rPr>
          <w:sz w:val="20"/>
          <w:szCs w:val="20"/>
          <w:color w:val="auto"/>
        </w:rPr>
      </w:pPr>
    </w:p>
    <w:p>
      <w:pPr>
        <w:ind w:left="1000" w:right="80" w:hanging="379"/>
        <w:spacing w:after="0" w:line="254"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Operating Activitie</w:t>
      </w:r>
      <w:r>
        <w:rPr>
          <w:rFonts w:ascii="Times New Roman" w:cs="Times New Roman" w:eastAsia="Times New Roman" w:hAnsi="Times New Roman"/>
          <w:sz w:val="18"/>
          <w:szCs w:val="18"/>
          <w:color w:val="auto"/>
        </w:rPr>
        <w:t>s. The $29.7 million decrease in cash provided by operating activities for the nine months ended September 25,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2024, was due to 1) an $18.7 million decrease in the change in deferred revenue, 2) $7.3 million decrease in accounts receivable collections inline with the decrease in revenue, 3) a $4.7 million increase in net loss adjusted for non-cash items, 4) a $1.3 million increase in the payments to ESA Parties under the tax receivable agreement, 5) a $0.4 million decrease in the change of other operating assets and liabilities and 6) a $0.2 million decrease in ESA integration and other encumbered theater payments received. These decreases in cash provided by operating activities were partially offset by a $1.6 million increase in the change in ESA amounts due to/from, a $0.9 million increase in the change in prepaid expenses and a $0.5 million increase in the proceeds received from equity method investments, as this was included within operating activities in the prior year, for the nine months ended September 25, 2025, as compared to the nine months ended September 26, 2024.</w:t>
      </w:r>
    </w:p>
    <w:p>
      <w:pPr>
        <w:spacing w:after="0" w:line="188" w:lineRule="exact"/>
        <w:rPr>
          <w:rFonts w:ascii="Times New Roman" w:cs="Times New Roman" w:eastAsia="Times New Roman" w:hAnsi="Times New Roman"/>
          <w:sz w:val="18"/>
          <w:szCs w:val="18"/>
          <w:color w:val="auto"/>
        </w:rPr>
      </w:pPr>
    </w:p>
    <w:p>
      <w:pPr>
        <w:ind w:left="1000" w:right="120" w:hanging="379"/>
        <w:spacing w:after="0" w:line="26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$2.9 million increase in cash used by investing activities for the nine months ended September 25, 2025 ,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2024, was due to a $2.0 million increase in purchases of cost method investments, a $0.6 million decrease in proceeds from equity method investments, as this is now included within operating activities, and a $0.4 million increase in purchases of intangible assets.</w:t>
      </w:r>
    </w:p>
    <w:p>
      <w:pPr>
        <w:spacing w:after="0" w:line="176" w:lineRule="exact"/>
        <w:rPr>
          <w:rFonts w:ascii="Times New Roman" w:cs="Times New Roman" w:eastAsia="Times New Roman" w:hAnsi="Times New Roman"/>
          <w:sz w:val="18"/>
          <w:szCs w:val="18"/>
          <w:color w:val="auto"/>
        </w:rPr>
      </w:pPr>
    </w:p>
    <w:p>
      <w:pPr>
        <w:ind w:left="1000" w:right="60" w:hanging="379"/>
        <w:spacing w:after="0" w:line="255"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$27.4 million increase in cash used in financing activities for the nine months ended September 25,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nine months ended September 26, 2024, was primarily due to the $10.0 million repayment of the Revolving Credit Facility 2023 and a $10.0 million repayment of the 2025 Revolving Credit Facility, an $8.2 million increase in the payment of dividends, a $7.6 million increase in payments made to repurchase shares of NCM, Inc.'s common stock, a $1.5 million increase in payments of debt issuance costs associated with the termination of the Revolving Credit Facility 2023 and commencement of the Credit Facility 2025 and a $0.6 million increase in repurchase of stock for restricted stock tax withholding. These increases were partially offset by the $10.0 million drawdown on the 2025 Revolving Credit Facility and a $0.7 million decrease in cash redemptions of NCM LLC common membership units during the nine months ended September 25, 2025, compared to the nine months ended September 26,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21" w:lineRule="exact"/>
        <w:rPr>
          <w:sz w:val="20"/>
          <w:szCs w:val="20"/>
          <w:color w:val="auto"/>
        </w:rPr>
      </w:pPr>
    </w:p>
    <w:p>
      <w:pPr>
        <w:ind w:right="100" w:firstLine="614"/>
        <w:spacing w:after="0" w:line="258"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which as of September 25, 2025, were $29.9 million (including $11.6 million of cash held by NCM LLC). NCM LLC’s primary sources of liquidity and capital resources are cash provided by its operating activities, availability under the 2025 Credit Facility and cash on hand. The $11.6 million of cash at NCM LLC will be used to fund operations and strategic investments. Cash at NCM, Inc. is used to fund income taxes, payments associated with the TRA, stock repurchases and for future payment of dividends to NCM, Inc. stockholders if and when declared by the Board of Directors.</w:t>
      </w:r>
    </w:p>
    <w:p>
      <w:pPr>
        <w:spacing w:after="0" w:line="75" w:lineRule="exact"/>
        <w:rPr>
          <w:sz w:val="20"/>
          <w:szCs w:val="20"/>
          <w:color w:val="auto"/>
        </w:rPr>
      </w:pPr>
    </w:p>
    <w:p>
      <w:pPr>
        <w:ind w:right="80" w:firstLine="614"/>
        <w:spacing w:after="0" w:line="258" w:lineRule="auto"/>
        <w:rPr>
          <w:sz w:val="20"/>
          <w:szCs w:val="20"/>
          <w:color w:val="auto"/>
        </w:rPr>
      </w:pPr>
      <w:r>
        <w:rPr>
          <w:rFonts w:ascii="Times New Roman" w:cs="Times New Roman" w:eastAsia="Times New Roman" w:hAnsi="Times New Roman"/>
          <w:sz w:val="18"/>
          <w:szCs w:val="18"/>
          <w:color w:val="auto"/>
        </w:rPr>
        <w:t>NCM LLC is required, pursuant to the terms of the NCM LLC Operating Agreement, to distribute its available cash, as defined in the NCM LLC Operating Agreement, quarterly to its members. The members are only able to receive available cash when they hold units. The available cash amount to the members of NCM LLC, for the three months ended September 25, 2025, was calculated as approximately positive $7.1 million, payable entirely to NCM, Inc., as the only holder of NCM LLC units as of September 25, 2025. NCM, Inc. has the option to defer payment of any available cash distributions payable to NCM, Inc. at its discretion. Any negative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amounts can only be offset against positive available cash within the second quarter of future years, in accordance with the agreement. As of September 25, 2025, NCM LLC owed NCM, Inc. $21.9 million in deferred available cash distributions.</w:t>
      </w:r>
    </w:p>
    <w:p>
      <w:pPr>
        <w:spacing w:after="0" w:line="54"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2025 Credit Facility) to fund payments associated with the TRA, stock repurchases and future dividends if and when declared by the Board of Directors. The Company made an estimated TRA payment and will make a final TRA payment in 2025 for the 2024 tax year and did not make a TRA payment in 2024 for the 2023 tax year. The Company also expects to make a TRA payment in 2026 for the 2025 tax year. Deferred distributions from NCM LLC and NCM, Inc. cash balances should be sufficient to fund payments associated with the TRA, income taxes and any stock repurchases or declared dividends for the foreseeable future at the discretion of the Board of Directors. 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firstLine="608"/>
        <w:spacing w:after="0" w:line="258" w:lineRule="auto"/>
        <w:rPr>
          <w:sz w:val="20"/>
          <w:szCs w:val="20"/>
          <w:color w:val="auto"/>
        </w:rPr>
      </w:pPr>
      <w:r>
        <w:rPr>
          <w:rFonts w:ascii="Times New Roman" w:cs="Times New Roman" w:eastAsia="Times New Roman" w:hAnsi="Times New Roman"/>
          <w:sz w:val="18"/>
          <w:szCs w:val="18"/>
          <w:color w:val="auto"/>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26, 2024, and incorporated by reference herein. As of September 25, 2025, there were no other significant changes in those critical accounting policies.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300" w:firstLine="608"/>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52" w:lineRule="exact"/>
        <w:rPr>
          <w:sz w:val="20"/>
          <w:szCs w:val="20"/>
          <w:color w:val="auto"/>
        </w:rPr>
      </w:pPr>
    </w:p>
    <w:p>
      <w:pPr>
        <w:ind w:right="60" w:firstLine="608"/>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608"/>
        <w:spacing w:after="0" w:line="256"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September 25, 2025, the Company has no balance outstanding on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75"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September 25, 2025, the end of the period covered by this Quarterly Report on Form 10-Q. Based on such evaluation, the Company’s management concluded that the Company’s disclosure controls and procedures, as of September 25, 2025, were effective.</w:t>
      </w:r>
    </w:p>
    <w:p>
      <w:pPr>
        <w:spacing w:after="0" w:line="72" w:lineRule="exact"/>
        <w:rPr>
          <w:sz w:val="20"/>
          <w:szCs w:val="20"/>
          <w:color w:val="auto"/>
        </w:rPr>
      </w:pPr>
    </w:p>
    <w:p>
      <w:pPr>
        <w:ind w:right="320" w:firstLine="608"/>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0" w:firstLine="60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25, 2025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right="260" w:firstLine="614"/>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21" w:lineRule="exact"/>
        <w:rPr>
          <w:sz w:val="20"/>
          <w:szCs w:val="20"/>
          <w:color w:val="auto"/>
        </w:rPr>
      </w:pPr>
    </w:p>
    <w:p>
      <w:pPr>
        <w:ind w:right="40" w:firstLine="61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risk factors as previously disclosed in our Annual Report on Form 10-K filed with the SEC on March 6, 2025 for the fiscal year ended December 26,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firstLine="614"/>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purchased in connection with the Company’s share repurchase program during the three months ended September 25,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gridSpan w:val="2"/>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4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356"/>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27, 2025 through July 24, 2025</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w:t>
            </w: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25, 2025 through August 28, 2025</w:t>
            </w:r>
          </w:p>
        </w:tc>
        <w:tc>
          <w:tcPr>
            <w:tcW w:w="12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29, 2025 through September 25, 2025</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for the quarter ended September 25, 2025</w:t>
            </w:r>
          </w:p>
        </w:tc>
        <w:tc>
          <w:tcPr>
            <w:tcW w:w="12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i w:val="1"/>
                <w:iCs w:val="1"/>
                <w:color w:val="auto"/>
              </w:rPr>
              <w:t>(1)</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-265430</wp:posOffset>
            </wp:positionV>
            <wp:extent cx="102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-265430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-265430</wp:posOffset>
            </wp:positionV>
            <wp:extent cx="1885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-265430</wp:posOffset>
            </wp:positionV>
            <wp:extent cx="1885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6" w:lineRule="exact"/>
        <w:rPr>
          <w:sz w:val="20"/>
          <w:szCs w:val="20"/>
          <w:color w:val="auto"/>
        </w:rPr>
      </w:pPr>
    </w:p>
    <w:p>
      <w:pPr>
        <w:ind w:left="380" w:right="280" w:hanging="372"/>
        <w:spacing w:after="0" w:line="261" w:lineRule="auto"/>
        <w:tabs>
          <w:tab w:leader="none" w:pos="38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19" w:lineRule="exact"/>
        <w:rPr>
          <w:sz w:val="20"/>
          <w:szCs w:val="20"/>
          <w:color w:val="auto"/>
        </w:rPr>
      </w:pPr>
    </w:p>
    <w:p>
      <w:pPr>
        <w:ind w:right="140" w:firstLine="61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Adoption of 10b5-1 Trading Plans by Our Officers and Directors. </w:t>
      </w:r>
      <w:r>
        <w:rPr>
          <w:rFonts w:ascii="Times New Roman" w:cs="Times New Roman" w:eastAsia="Times New Roman" w:hAnsi="Times New Roman"/>
          <w:sz w:val="18"/>
          <w:szCs w:val="18"/>
          <w:color w:val="auto"/>
        </w:rPr>
        <w:t>The below sets forth written trading plans adopted by certain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(as defined in SEC Rule 16a-(f)) during the quarter ended June 26, 2025. All of these plans were intended to satisfy the affirmative defense conditions of Rule 10b5-1 under the Exchange Act ( a "Rule 10b5-1 Plan") and were adopted during the quarterly trading window under our Insider Trading Policy, with no sales commencing under the plan until the completion of the required cooling off period under Rule 10b5-1. Other than as set forth below, during the three months ended September 25, 2025,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w:t>
      </w:r>
    </w:p>
    <w:p>
      <w:pPr>
        <w:spacing w:after="0" w:line="77" w:lineRule="exact"/>
        <w:rPr>
          <w:sz w:val="20"/>
          <w:szCs w:val="20"/>
          <w:color w:val="auto"/>
        </w:rPr>
      </w:pPr>
    </w:p>
    <w:p>
      <w:pPr>
        <w:ind w:right="200" w:firstLine="614"/>
        <w:spacing w:after="0" w:line="266" w:lineRule="auto"/>
        <w:rPr>
          <w:sz w:val="20"/>
          <w:szCs w:val="20"/>
          <w:color w:val="auto"/>
        </w:rPr>
      </w:pPr>
      <w:r>
        <w:rPr>
          <w:rFonts w:ascii="Times New Roman" w:cs="Times New Roman" w:eastAsia="Times New Roman" w:hAnsi="Times New Roman"/>
          <w:sz w:val="18"/>
          <w:szCs w:val="18"/>
          <w:color w:val="auto"/>
        </w:rPr>
        <w:t>On August 11, 2025, Ronnie Y. Ng, our Chief Financial Officer, amended his previously adopted Rule 10b5-1 Plan to amend the floor price, subject to the satisfaction of specific conditions set forth in the plan. The plan expires on December 1, 2025, unless terminated sooner in accordance with its terms.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7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17"/>
                <w:szCs w:val="17"/>
                <w:color w:val="auto"/>
              </w:rPr>
            </w:pPr>
          </w:p>
        </w:tc>
        <w:tc>
          <w:tcPr>
            <w:tcW w:w="620" w:type="dxa"/>
            <w:vAlign w:val="bottom"/>
            <w:vMerge w:val="restart"/>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7"/>
                <w:szCs w:val="17"/>
                <w:color w:val="auto"/>
              </w:rPr>
            </w:pPr>
          </w:p>
        </w:tc>
        <w:tc>
          <w:tcPr>
            <w:tcW w:w="874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Second Amended and Restated Exhibitor Services Agreement, dated April 17, 2025, between National CineMedia, LLC,</w:t>
            </w:r>
          </w:p>
        </w:tc>
        <w:tc>
          <w:tcPr>
            <w:tcW w:w="0" w:type="dxa"/>
            <w:vAlign w:val="bottom"/>
          </w:tcPr>
          <w:p>
            <w:pPr>
              <w:spacing w:after="0"/>
              <w:rPr>
                <w:sz w:val="1"/>
                <w:szCs w:val="1"/>
                <w:color w:val="auto"/>
              </w:rPr>
            </w:pPr>
          </w:p>
        </w:tc>
      </w:tr>
      <w:tr>
        <w:trPr>
          <w:trHeight w:val="75"/>
        </w:trPr>
        <w:tc>
          <w:tcPr>
            <w:tcW w:w="4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74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American Multi-Cinema, Inc., Muvico, LLC, and the other parties thereto</w:t>
            </w:r>
          </w:p>
        </w:tc>
        <w:tc>
          <w:tcPr>
            <w:tcW w:w="0" w:type="dxa"/>
            <w:vAlign w:val="bottom"/>
          </w:tcPr>
          <w:p>
            <w:pPr>
              <w:spacing w:after="0"/>
              <w:rPr>
                <w:sz w:val="1"/>
                <w:szCs w:val="1"/>
                <w:color w:val="auto"/>
              </w:rPr>
            </w:pPr>
          </w:p>
        </w:tc>
      </w:tr>
      <w:tr>
        <w:trPr>
          <w:trHeight w:val="121"/>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7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1"/>
                <w:szCs w:val="21"/>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Chief Executive Officer.</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6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480" w:type="dxa"/>
            <w:vAlign w:val="bottom"/>
            <w:tcBorders>
              <w:right w:val="single" w:sz="8" w:color="0000FF"/>
            </w:tcBorders>
            <w:gridSpan w:val="4"/>
            <w:shd w:val="clear" w:color="auto" w:fill="0000FF"/>
          </w:tcPr>
          <w:p>
            <w:pPr>
              <w:spacing w:after="0" w:line="20" w:lineRule="exact"/>
              <w:rPr>
                <w:sz w:val="1"/>
                <w:szCs w:val="1"/>
                <w:color w:val="auto"/>
              </w:rPr>
            </w:pPr>
          </w:p>
        </w:tc>
        <w:tc>
          <w:tcPr>
            <w:tcW w:w="3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4"/>
                <w:szCs w:val="24"/>
                <w:color w:val="auto"/>
              </w:rPr>
            </w:pPr>
          </w:p>
        </w:tc>
        <w:tc>
          <w:tcPr>
            <w:tcW w:w="6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480" w:type="dxa"/>
            <w:vAlign w:val="bottom"/>
            <w:tcBorders>
              <w:right w:val="single" w:sz="8" w:color="0000EE"/>
            </w:tcBorders>
            <w:gridSpan w:val="4"/>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340" w:hanging="1284"/>
        <w:spacing w:after="0"/>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9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903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873" w:right="9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360" w:firstLine="60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34"/>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30, 2025</w:t>
            </w:r>
          </w:p>
        </w:tc>
        <w:tc>
          <w:tcPr>
            <w:tcW w:w="1880" w:type="dxa"/>
            <w:vAlign w:val="bottom"/>
          </w:tcPr>
          <w:p>
            <w:pPr>
              <w:spacing w:after="0"/>
              <w:rPr>
                <w:sz w:val="24"/>
                <w:szCs w:val="24"/>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189"/>
        </w:trPr>
        <w:tc>
          <w:tcPr>
            <w:tcW w:w="5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Thomas F. Lesinski</w:t>
            </w:r>
          </w:p>
        </w:tc>
      </w:tr>
      <w:tr>
        <w:trPr>
          <w:trHeight w:val="216"/>
        </w:trPr>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30, 2025</w:t>
            </w:r>
          </w:p>
        </w:tc>
        <w:tc>
          <w:tcPr>
            <w:tcW w:w="1880" w:type="dxa"/>
            <w:vAlign w:val="bottom"/>
          </w:tcPr>
          <w:p>
            <w:pPr>
              <w:spacing w:after="0"/>
              <w:rPr>
                <w:sz w:val="24"/>
                <w:szCs w:val="24"/>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 Ronnie Y. Ng</w:t>
            </w:r>
          </w:p>
        </w:tc>
      </w:tr>
      <w:tr>
        <w:trPr>
          <w:trHeight w:val="189"/>
        </w:trPr>
        <w:tc>
          <w:tcPr>
            <w:tcW w:w="5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Ronnie Y. Ng</w:t>
            </w:r>
          </w:p>
        </w:tc>
      </w:tr>
      <w:tr>
        <w:trPr>
          <w:trHeight w:val="216"/>
        </w:trPr>
        <w:tc>
          <w:tcPr>
            <w:tcW w:w="5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0" w:type="dxa"/>
            <w:vAlign w:val="bottom"/>
            <w:gridSpan w:val="2"/>
          </w:tcPr>
          <w:p>
            <w:pPr>
              <w:ind w:left="7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48"/>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4900" w:type="dxa"/>
            <w:vAlign w:val="bottom"/>
          </w:tcPr>
          <w:p>
            <w:pPr>
              <w:spacing w:after="0"/>
              <w:rPr>
                <w:sz w:val="24"/>
                <w:szCs w:val="24"/>
                <w:color w:val="auto"/>
              </w:rPr>
            </w:pPr>
          </w:p>
        </w:tc>
      </w:tr>
      <w:tr>
        <w:trPr>
          <w:trHeight w:val="763"/>
        </w:trPr>
        <w:tc>
          <w:tcPr>
            <w:tcW w:w="5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line="18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218" w:lineRule="exact"/>
        <w:rPr>
          <w:sz w:val="20"/>
          <w:szCs w:val="20"/>
          <w:color w:val="auto"/>
        </w:rPr>
      </w:pPr>
    </w:p>
    <w:p>
      <w:pPr>
        <w:jc w:val="cente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SECOND AMENDED AND RESTATED EXHIBITOR</w:t>
      </w:r>
    </w:p>
    <w:p>
      <w:pPr>
        <w:spacing w:after="0" w:line="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SERVICES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BETWEEN NATIONAL CINEMEDIA, LLC AND AMC (AS DEFINED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AMENDED AND RESTATED AS OF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1398270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20" w:top="1440" w:right="439" w:bottom="1440" w:gutter="0" w:footer="0" w:header="0"/>
        </w:sectPr>
      </w:pPr>
    </w:p>
    <w:bookmarkStart w:id="35" w:name="page36"/>
    <w:bookmarkEnd w:id="35"/>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FINAL</w:t>
            </w:r>
          </w:p>
        </w:tc>
      </w:tr>
      <w:tr>
        <w:trPr>
          <w:trHeight w:val="407"/>
        </w:trPr>
        <w:tc>
          <w:tcPr>
            <w:tcW w:w="1820" w:type="dxa"/>
            <w:vAlign w:val="bottom"/>
          </w:tcPr>
          <w:p>
            <w:pPr>
              <w:spacing w:after="0"/>
              <w:rPr>
                <w:sz w:val="24"/>
                <w:szCs w:val="24"/>
                <w:color w:val="auto"/>
              </w:rPr>
            </w:pPr>
          </w:p>
        </w:tc>
        <w:tc>
          <w:tcPr>
            <w:tcW w:w="7360" w:type="dxa"/>
            <w:vAlign w:val="bottom"/>
            <w:gridSpan w:val="3"/>
          </w:tcPr>
          <w:p>
            <w:pPr>
              <w:ind w:left="26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900" w:type="dxa"/>
            <w:vAlign w:val="bottom"/>
          </w:tcPr>
          <w:p>
            <w:pPr>
              <w:spacing w:after="0"/>
              <w:rPr>
                <w:sz w:val="24"/>
                <w:szCs w:val="24"/>
                <w:color w:val="auto"/>
              </w:rPr>
            </w:pPr>
          </w:p>
        </w:tc>
      </w:tr>
      <w:tr>
        <w:trPr>
          <w:trHeight w:val="91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1.</w:t>
            </w:r>
          </w:p>
        </w:tc>
        <w:tc>
          <w:tcPr>
            <w:tcW w:w="260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0000FF"/>
              </w:rPr>
              <w:t>DEFINITIONS</w:t>
            </w:r>
          </w:p>
        </w:tc>
        <w:tc>
          <w:tcPr>
            <w:tcW w:w="232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1.01</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Definitions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2.</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b w:val="1"/>
                <w:bCs w:val="1"/>
                <w:color w:val="0000FF"/>
              </w:rPr>
              <w:t>PARTICIPATION AND FEES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2.01</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Theatre Service Participation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2.02</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Addition of Theatres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2.03</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Disposition of Theatres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2.04</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Mandatory Participation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2.05</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Revenue Share; Minimum Guarantee; Theatre Maintenance Fee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2.06</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Non-Cash Consideration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3.</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b w:val="1"/>
                <w:bCs w:val="1"/>
                <w:color w:val="0000FF"/>
              </w:rPr>
              <w:t>EQUIPMENT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3.01</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Procurement; Cost; Specifications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3.02</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Ownership of Equipment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3.03</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AMC Equipment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3.04</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Installation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3.05</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Upgrades and Modifications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3.06</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Conversion of Theatres to Digital Cinema Equipment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3.07</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Training</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3.08</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Equipment Maintenance Standard</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4.</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b w:val="1"/>
                <w:bCs w:val="1"/>
                <w:color w:val="0000FF"/>
              </w:rPr>
              <w:t>DELIVERY OF THE ADVERTISING SERVICES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4.01</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Content and Distribution of the Digital Content Service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4.02</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Content Standards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4.03</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Development of the Advertising Services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4.04</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Policy Trailer; Branded Slots</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4.05</w:t>
            </w:r>
          </w:p>
        </w:tc>
        <w:tc>
          <w:tcPr>
            <w:tcW w:w="7360" w:type="dxa"/>
            <w:vAlign w:val="bottom"/>
            <w:gridSpan w:val="3"/>
          </w:tcPr>
          <w:p>
            <w:pPr>
              <w:ind w:left="800"/>
              <w:spacing w:after="0"/>
              <w:rPr>
                <w:sz w:val="20"/>
                <w:szCs w:val="20"/>
                <w:color w:val="auto"/>
              </w:rPr>
            </w:pPr>
            <w:r>
              <w:rPr>
                <w:rFonts w:ascii="Times New Roman" w:cs="Times New Roman" w:eastAsia="Times New Roman" w:hAnsi="Times New Roman"/>
                <w:sz w:val="21"/>
                <w:szCs w:val="21"/>
                <w:color w:val="0000FF"/>
              </w:rPr>
              <w:t>Beverage</w:t>
            </w:r>
          </w:p>
        </w:tc>
        <w:tc>
          <w:tcPr>
            <w:tcW w:w="1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1207770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440" w:right="459" w:bottom="1440" w:gutter="0" w:footer="0" w:header="0"/>
        </w:sectPr>
      </w:pPr>
    </w:p>
    <w:bookmarkStart w:id="36" w:name="page37"/>
    <w:bookmarkEnd w:id="36"/>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4.06</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Other AMC Advertising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4.07</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AMC Run-Out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4.08</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License</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4.09</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Cooperation and Assistance</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4.10</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Trailers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4.11</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Customer Access to Pre-Feature Program</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4.12</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Excluded Theatres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4.13</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4.14</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Consultation regarding Certain Advertising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4.15</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3D and 4D Services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4.16</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Digital Programming Event Simulcast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4.17</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Event Sponsorships; Sponsor Message</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4.18</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Bar/Lounge Video Screens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5.</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0000FF"/>
              </w:rPr>
              <w:t>SUPPORT; MAKE GOODS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5.01</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Software Support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5.02</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Cooperation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5.03</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Make Goods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6.</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0000FF"/>
              </w:rPr>
              <w:t>OTHER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6.01</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Joint Venture Termination and Settlement Agreement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6.02</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Digital Advertising Agreement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7.</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0000FF"/>
              </w:rPr>
              <w:t>INTELLECTUAL PROPERTY</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7.01</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Software License</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7.02</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License of the LLC Marks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7.03</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License of the AMC Marks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7.04</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Status of the LLC Marks and AMC Marks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8.</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b w:val="1"/>
                <w:bCs w:val="1"/>
                <w:color w:val="0000FF"/>
              </w:rPr>
              <w:t>FEES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45</w:t>
            </w: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21"/>
                <w:szCs w:val="21"/>
                <w:color w:val="0000FF"/>
              </w:rPr>
              <w:t>Section 8.01</w:t>
            </w:r>
          </w:p>
        </w:tc>
        <w:tc>
          <w:tcPr>
            <w:tcW w:w="7260" w:type="dxa"/>
            <w:vAlign w:val="bottom"/>
          </w:tcPr>
          <w:p>
            <w:pPr>
              <w:ind w:left="800"/>
              <w:spacing w:after="0"/>
              <w:rPr>
                <w:sz w:val="20"/>
                <w:szCs w:val="20"/>
                <w:color w:val="auto"/>
              </w:rPr>
            </w:pPr>
            <w:r>
              <w:rPr>
                <w:rFonts w:ascii="Times New Roman" w:cs="Times New Roman" w:eastAsia="Times New Roman" w:hAnsi="Times New Roman"/>
                <w:sz w:val="21"/>
                <w:szCs w:val="21"/>
                <w:color w:val="0000FF"/>
              </w:rPr>
              <w:t>Payment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1207770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440" w:right="459" w:bottom="1440" w:gutter="0" w:footer="0" w:header="0"/>
        </w:sectPr>
      </w:pPr>
    </w:p>
    <w:bookmarkStart w:id="37" w:name="page38"/>
    <w:bookmarkEnd w:id="37"/>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8.02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Administrative Fee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8.03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Audit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9.</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TERM AND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46</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9.01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Term</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9.02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Termination; Defaults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9.03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Optional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9.04</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Survival</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9.05</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Effect of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10.</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REPRESENTATIONS, WARRANTIES AND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48</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10.01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Representations and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10.02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Additional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10.03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Disclaimer</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11.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INDEMNIFICATION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50</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11.01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Indemnification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11.02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Defense of Action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12.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ADDITIONAL RIGHTS AND OBLIGATIONS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Assistance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Infringement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Theatre Passes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12.04</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Compliance with Law</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12.05</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12.06</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Most Favored Nations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12.07</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Non-Competition and Non-Solicitation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b w:val="1"/>
                <w:bCs w:val="1"/>
                <w:color w:val="0000FF"/>
              </w:rPr>
              <w:t>Article 13.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OWNERSHIP</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53</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13.01</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13.02</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Derived Works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r>
      <w:tr>
        <w:trPr>
          <w:trHeight w:val="459"/>
        </w:trPr>
        <w:tc>
          <w:tcPr>
            <w:tcW w:w="1880" w:type="dxa"/>
            <w:vAlign w:val="bottom"/>
          </w:tcPr>
          <w:p>
            <w:pPr>
              <w:spacing w:after="0"/>
              <w:rPr>
                <w:sz w:val="20"/>
                <w:szCs w:val="20"/>
                <w:color w:val="auto"/>
              </w:rPr>
            </w:pPr>
            <w:r>
              <w:rPr>
                <w:rFonts w:ascii="Times New Roman" w:cs="Times New Roman" w:eastAsia="Times New Roman" w:hAnsi="Times New Roman"/>
                <w:sz w:val="21"/>
                <w:szCs w:val="21"/>
                <w:color w:val="0000FF"/>
              </w:rPr>
              <w:t>Section 13.03</w:t>
            </w:r>
          </w:p>
        </w:tc>
        <w:tc>
          <w:tcPr>
            <w:tcW w:w="75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No Title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1207770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440" w:right="459" w:bottom="1440" w:gutter="0" w:footer="0" w:header="0"/>
        </w:sectPr>
      </w:pPr>
    </w:p>
    <w:bookmarkStart w:id="38" w:name="page39"/>
    <w:bookmarkEnd w:id="38"/>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0000FF"/>
              </w:rPr>
              <w:t>Article 14.</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CONFIDENTIALITY</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54</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14.01</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Confidential Treatment</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54</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14.02</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Injunctive Relief</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55</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0000FF"/>
              </w:rPr>
              <w:t>Article 15.</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b w:val="1"/>
                <w:bCs w:val="1"/>
                <w:color w:val="0000FF"/>
              </w:rPr>
              <w:t>MISCELLANEOUS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55</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15.01</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Notices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55</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15.02</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Waiver; Remedies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56</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15.03</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Severability</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56</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15.04</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Integration; Headings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56</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15.05</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Construction</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56</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15.06</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Non-Recourse</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57</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15.07</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Governing Law; Submission to Jurisdiction</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57</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15.08</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Assignment</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58</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15.09</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Force Majeure</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58</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15.10</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Third Party Beneficiary</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15.11</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Export</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15.12</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Independent Contractors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15.13</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Counterparts</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15.14</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Effective Date</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459"/>
        </w:trPr>
        <w:tc>
          <w:tcPr>
            <w:tcW w:w="1920" w:type="dxa"/>
            <w:vAlign w:val="bottom"/>
          </w:tcPr>
          <w:p>
            <w:pPr>
              <w:ind w:left="40"/>
              <w:spacing w:after="0"/>
              <w:rPr>
                <w:sz w:val="20"/>
                <w:szCs w:val="20"/>
                <w:color w:val="auto"/>
              </w:rPr>
            </w:pPr>
            <w:r>
              <w:rPr>
                <w:rFonts w:ascii="Times New Roman" w:cs="Times New Roman" w:eastAsia="Times New Roman" w:hAnsi="Times New Roman"/>
                <w:sz w:val="21"/>
                <w:szCs w:val="21"/>
                <w:color w:val="0000FF"/>
              </w:rPr>
              <w:t>Section 15.15</w:t>
            </w:r>
          </w:p>
        </w:tc>
        <w:tc>
          <w:tcPr>
            <w:tcW w:w="6680" w:type="dxa"/>
            <w:vAlign w:val="bottom"/>
          </w:tcPr>
          <w:p>
            <w:pPr>
              <w:ind w:left="740"/>
              <w:spacing w:after="0"/>
              <w:rPr>
                <w:sz w:val="20"/>
                <w:szCs w:val="20"/>
                <w:color w:val="auto"/>
              </w:rPr>
            </w:pPr>
            <w:r>
              <w:rPr>
                <w:rFonts w:ascii="Times New Roman" w:cs="Times New Roman" w:eastAsia="Times New Roman" w:hAnsi="Times New Roman"/>
                <w:sz w:val="21"/>
                <w:szCs w:val="21"/>
                <w:color w:val="0000FF"/>
              </w:rPr>
              <w:t>Amendment and Restatement</w:t>
            </w:r>
          </w:p>
        </w:tc>
        <w:tc>
          <w:tcPr>
            <w:tcW w:w="264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rPr>
              <w:t>59</w:t>
            </w:r>
          </w:p>
        </w:tc>
      </w:tr>
      <w:tr>
        <w:trPr>
          <w:trHeight w:val="2793"/>
        </w:trPr>
        <w:tc>
          <w:tcPr>
            <w:tcW w:w="192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EXHIBITS AND SCHEDULES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13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Description of Advertising Services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Exhibit B Beverage Agreement Advertising Rate,</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Administrative Fee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Exhibit C Joint Venture Termination and Settlement Agreement</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Schedule 1.01 Theatres</w:t>
      </w:r>
    </w:p>
    <w:p>
      <w:pPr>
        <w:spacing w:after="0" w:line="206"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22"/>
          <w:szCs w:val="22"/>
          <w:color w:val="auto"/>
        </w:rPr>
        <w:t>Schedule 2.02(a)</w:t>
      </w:r>
      <w:r>
        <w:rPr>
          <w:sz w:val="20"/>
          <w:szCs w:val="20"/>
          <w:color w:val="auto"/>
        </w:rPr>
        <w:tab/>
      </w:r>
      <w:r>
        <w:rPr>
          <w:rFonts w:ascii="Times New Roman" w:cs="Times New Roman" w:eastAsia="Times New Roman" w:hAnsi="Times New Roman"/>
          <w:sz w:val="21"/>
          <w:szCs w:val="21"/>
          <w:color w:val="auto"/>
        </w:rPr>
        <w:t>Additional Theatres</w:t>
      </w:r>
    </w:p>
    <w:p>
      <w:pPr>
        <w:spacing w:after="0" w:line="206" w:lineRule="exact"/>
        <w:rPr>
          <w:sz w:val="20"/>
          <w:szCs w:val="20"/>
          <w:color w:val="auto"/>
        </w:rPr>
      </w:pPr>
    </w:p>
    <w:p>
      <w:pPr>
        <w:ind w:left="120"/>
        <w:spacing w:after="0"/>
        <w:tabs>
          <w:tab w:leader="none" w:pos="1820" w:val="left"/>
        </w:tabs>
        <w:rPr>
          <w:sz w:val="20"/>
          <w:szCs w:val="20"/>
          <w:color w:val="auto"/>
        </w:rPr>
      </w:pPr>
      <w:r>
        <w:rPr>
          <w:rFonts w:ascii="Times New Roman" w:cs="Times New Roman" w:eastAsia="Times New Roman" w:hAnsi="Times New Roman"/>
          <w:sz w:val="22"/>
          <w:szCs w:val="22"/>
          <w:color w:val="auto"/>
        </w:rPr>
        <w:t>Schedule 2.05(h)</w:t>
      </w:r>
      <w:r>
        <w:rPr>
          <w:sz w:val="20"/>
          <w:szCs w:val="20"/>
          <w:color w:val="auto"/>
        </w:rPr>
        <w:tab/>
      </w:r>
      <w:r>
        <w:rPr>
          <w:rFonts w:ascii="Times New Roman" w:cs="Times New Roman" w:eastAsia="Times New Roman" w:hAnsi="Times New Roman"/>
          <w:sz w:val="21"/>
          <w:szCs w:val="21"/>
          <w:color w:val="auto"/>
        </w:rPr>
        <w:t>Theatre Maintenance Fee per Digital Cinema Screen</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Schedule 4.02 Content Standards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Addendum A Lobby Entertainment Program and Lobby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0" w:name="page41"/>
    <w:bookmarkEnd w:id="40"/>
    <w:p>
      <w:pPr>
        <w:spacing w:after="0" w:line="18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EXHIBITOR SERVICES AGREEMENT</w:t>
      </w:r>
    </w:p>
    <w:p>
      <w:pPr>
        <w:spacing w:after="0" w:line="178" w:lineRule="exact"/>
        <w:rPr>
          <w:sz w:val="20"/>
          <w:szCs w:val="20"/>
          <w:color w:val="auto"/>
        </w:rPr>
      </w:pPr>
    </w:p>
    <w:p>
      <w:pPr>
        <w:jc w:val="both"/>
        <w:ind w:left="120" w:right="120" w:firstLine="728"/>
        <w:spacing w:after="0" w:line="237" w:lineRule="auto"/>
        <w:rPr>
          <w:sz w:val="20"/>
          <w:szCs w:val="20"/>
          <w:color w:val="auto"/>
        </w:rPr>
      </w:pPr>
      <w:r>
        <w:rPr>
          <w:rFonts w:ascii="Times New Roman" w:cs="Times New Roman" w:eastAsia="Times New Roman" w:hAnsi="Times New Roman"/>
          <w:sz w:val="22"/>
          <w:szCs w:val="22"/>
          <w:color w:val="auto"/>
        </w:rPr>
        <w:t>THIS SECOND AMENDED AND RESTATED EXHIBITOR SERVICES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April 17, 2025 (the “</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by and between National CineMedia, LLC, a Delaware limited liability company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and American Multi-Cinema, Inc., a Missouri corporation (“</w:t>
      </w:r>
      <w:r>
        <w:rPr>
          <w:rFonts w:ascii="Times New Roman" w:cs="Times New Roman" w:eastAsia="Times New Roman" w:hAnsi="Times New Roman"/>
          <w:sz w:val="22"/>
          <w:szCs w:val="22"/>
          <w:b w:val="1"/>
          <w:bCs w:val="1"/>
          <w:color w:val="auto"/>
        </w:rPr>
        <w:t>American Multi-Cinema</w:t>
      </w:r>
      <w:r>
        <w:rPr>
          <w:rFonts w:ascii="Times New Roman" w:cs="Times New Roman" w:eastAsia="Times New Roman" w:hAnsi="Times New Roman"/>
          <w:sz w:val="22"/>
          <w:szCs w:val="22"/>
          <w:color w:val="auto"/>
        </w:rPr>
        <w:t>”), Muvico, LLC (“</w:t>
      </w:r>
      <w:r>
        <w:rPr>
          <w:rFonts w:ascii="Times New Roman" w:cs="Times New Roman" w:eastAsia="Times New Roman" w:hAnsi="Times New Roman"/>
          <w:sz w:val="22"/>
          <w:szCs w:val="22"/>
          <w:b w:val="1"/>
          <w:bCs w:val="1"/>
          <w:color w:val="auto"/>
        </w:rPr>
        <w:t>Muvico</w:t>
      </w:r>
      <w:r>
        <w:rPr>
          <w:rFonts w:ascii="Times New Roman" w:cs="Times New Roman" w:eastAsia="Times New Roman" w:hAnsi="Times New Roman"/>
          <w:sz w:val="22"/>
          <w:szCs w:val="22"/>
          <w:color w:val="auto"/>
        </w:rPr>
        <w:t>”), and each of the other affiliates of American Multi-Cinema and Muvico identified on the signature pages hereto (together with American Multi-Cinema and Muvico, “</w:t>
      </w:r>
      <w:r>
        <w:rPr>
          <w:rFonts w:ascii="Times New Roman" w:cs="Times New Roman" w:eastAsia="Times New Roman" w:hAnsi="Times New Roman"/>
          <w:sz w:val="22"/>
          <w:szCs w:val="22"/>
          <w:b w:val="1"/>
          <w:bCs w:val="1"/>
          <w:color w:val="auto"/>
        </w:rPr>
        <w:t>AMC</w:t>
      </w:r>
      <w:r>
        <w:rPr>
          <w:rFonts w:ascii="Times New Roman" w:cs="Times New Roman" w:eastAsia="Times New Roman" w:hAnsi="Times New Roman"/>
          <w:sz w:val="22"/>
          <w:szCs w:val="22"/>
          <w:color w:val="auto"/>
        </w:rPr>
        <w:t>,” and with LLC,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Any undefined capitalized term has the meaning given to it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jc w:val="both"/>
        <w:ind w:left="120" w:right="120" w:firstLine="728"/>
        <w:spacing w:after="0" w:line="244" w:lineRule="auto"/>
        <w:rPr>
          <w:sz w:val="20"/>
          <w:szCs w:val="20"/>
          <w:color w:val="auto"/>
        </w:rPr>
      </w:pPr>
      <w:r>
        <w:rPr>
          <w:rFonts w:ascii="Times New Roman" w:cs="Times New Roman" w:eastAsia="Times New Roman" w:hAnsi="Times New Roman"/>
          <w:sz w:val="22"/>
          <w:szCs w:val="22"/>
          <w:color w:val="auto"/>
        </w:rPr>
        <w:t>WHEREAS, American Multi-Cinema and LLC are party to the Amended and Restated Exhibitor Services Agreement, dated December 26, 2013, and as amended March 9, 2017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under which LLC operates a digital content network and provides the Advertising Services at the Theatres throughout the Territory.</w:t>
      </w:r>
    </w:p>
    <w:p>
      <w:pPr>
        <w:spacing w:after="0" w:line="173" w:lineRule="exact"/>
        <w:rPr>
          <w:sz w:val="20"/>
          <w:szCs w:val="20"/>
          <w:color w:val="auto"/>
        </w:rPr>
      </w:pPr>
    </w:p>
    <w:p>
      <w:pPr>
        <w:jc w:val="both"/>
        <w:ind w:left="120" w:right="120" w:firstLine="728"/>
        <w:spacing w:after="0" w:line="244" w:lineRule="auto"/>
        <w:rPr>
          <w:sz w:val="20"/>
          <w:szCs w:val="20"/>
          <w:color w:val="auto"/>
        </w:rPr>
      </w:pPr>
      <w:r>
        <w:rPr>
          <w:rFonts w:ascii="Times New Roman" w:cs="Times New Roman" w:eastAsia="Times New Roman" w:hAnsi="Times New Roman"/>
          <w:sz w:val="22"/>
          <w:szCs w:val="22"/>
          <w:color w:val="auto"/>
        </w:rPr>
        <w:t>WHEREAS, the Parties desire to amend and restate the Parties’ obligations under the Original Agreement which AMC and its Affiliates grant to LLC the exclusive right to, and LLC will, provide Advertising Services at the Theatres throughout the Territory as of the Execution Date and pursuant to the terms of this Agreement.</w:t>
      </w:r>
    </w:p>
    <w:p>
      <w:pPr>
        <w:spacing w:after="0" w:line="169" w:lineRule="exact"/>
        <w:rPr>
          <w:sz w:val="20"/>
          <w:szCs w:val="20"/>
          <w:color w:val="auto"/>
        </w:rPr>
      </w:pPr>
    </w:p>
    <w:p>
      <w:pPr>
        <w:jc w:val="both"/>
        <w:ind w:left="120" w:right="120" w:firstLine="728"/>
        <w:spacing w:after="0" w:line="262" w:lineRule="auto"/>
        <w:rPr>
          <w:sz w:val="20"/>
          <w:szCs w:val="20"/>
          <w:color w:val="auto"/>
        </w:rPr>
      </w:pPr>
      <w:r>
        <w:rPr>
          <w:rFonts w:ascii="Times New Roman" w:cs="Times New Roman" w:eastAsia="Times New Roman" w:hAnsi="Times New Roman"/>
          <w:sz w:val="22"/>
          <w:szCs w:val="22"/>
          <w:color w:val="auto"/>
        </w:rPr>
        <w:t>WHEREAS, until July 1,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the payments made to American Multi-Cinema will continue as provided in the Original Agreement, and on the Effective Date all payments will be as set forth in this Agreement.</w:t>
      </w:r>
    </w:p>
    <w:p>
      <w:pPr>
        <w:spacing w:after="0" w:line="154" w:lineRule="exact"/>
        <w:rPr>
          <w:sz w:val="20"/>
          <w:szCs w:val="20"/>
          <w:color w:val="auto"/>
        </w:rPr>
      </w:pPr>
    </w:p>
    <w:p>
      <w:pPr>
        <w:jc w:val="both"/>
        <w:ind w:left="120" w:right="120" w:firstLine="72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1.01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Within the context of this Agreement, the following terms shall have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3D</w:t>
      </w:r>
      <w:r>
        <w:rPr>
          <w:rFonts w:ascii="Times New Roman" w:cs="Times New Roman" w:eastAsia="Times New Roman" w:hAnsi="Times New Roman"/>
          <w:sz w:val="22"/>
          <w:szCs w:val="22"/>
          <w:color w:val="auto"/>
        </w:rPr>
        <w:t>” means a digital format that is three dimensional and creates the illusion of depth perception.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3D or 4D Advertising Services</w:t>
      </w:r>
      <w:r>
        <w:rPr>
          <w:rFonts w:ascii="Times New Roman" w:cs="Times New Roman" w:eastAsia="Times New Roman" w:hAnsi="Times New Roman"/>
          <w:sz w:val="22"/>
          <w:szCs w:val="22"/>
          <w:color w:val="auto"/>
        </w:rPr>
        <w:t xml:space="preserve">” has the meaning assigned to it in Section 3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3D or 4D Content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3D Glasses</w:t>
      </w:r>
      <w:r>
        <w:rPr>
          <w:rFonts w:ascii="Times New Roman" w:cs="Times New Roman" w:eastAsia="Times New Roman" w:hAnsi="Times New Roman"/>
          <w:sz w:val="22"/>
          <w:szCs w:val="22"/>
          <w:color w:val="auto"/>
        </w:rPr>
        <w:t>” means glasses worn by theatre patrons to enable them to view content in 3D that meet or exceed 3D Equipment supplier’s specifications and are approved by AMC.</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8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4D</w:t>
      </w:r>
      <w:r>
        <w:rPr>
          <w:rFonts w:ascii="Times New Roman" w:cs="Times New Roman" w:eastAsia="Times New Roman" w:hAnsi="Times New Roman"/>
          <w:sz w:val="22"/>
          <w:szCs w:val="22"/>
          <w:color w:val="auto"/>
        </w:rPr>
        <w:t>” means a movie format that uses physical effects to enhance the viewing experience, including through 3D, motion-enabled seats, scents, and environmental controls.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ACE Solution</w:t>
      </w:r>
      <w:r>
        <w:rPr>
          <w:rFonts w:ascii="Times New Roman" w:cs="Times New Roman" w:eastAsia="Times New Roman" w:hAnsi="Times New Roman"/>
          <w:sz w:val="22"/>
          <w:szCs w:val="22"/>
          <w:color w:val="auto"/>
        </w:rPr>
        <w:t>” means a delivery system in which the DCN screen player is eliminated, and the ACE (also referred to as an alternative content engine) interfaces directly with the TMS. The ACE Solution is also known as “fully integrated”.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Theatres</w:t>
      </w:r>
      <w:r>
        <w:rPr>
          <w:rFonts w:ascii="Times New Roman" w:cs="Times New Roman" w:eastAsia="Times New Roman" w:hAnsi="Times New Roman"/>
          <w:sz w:val="22"/>
          <w:szCs w:val="22"/>
          <w:color w:val="auto"/>
        </w:rPr>
        <w:t>” means any theatres in the Territory (i) of which AMC or an Affiliate of AMC obtains control of the advertising or promotional activities therein or (ii) that is newly built by AMC or an Affiliate of AMC, in each case, following the Execution Date.</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Administrative Fee</w:t>
      </w:r>
      <w:r>
        <w:rPr>
          <w:rFonts w:ascii="Times New Roman" w:cs="Times New Roman" w:eastAsia="Times New Roman" w:hAnsi="Times New Roman"/>
          <w:sz w:val="22"/>
          <w:szCs w:val="22"/>
          <w:color w:val="auto"/>
        </w:rPr>
        <w:t>” means the fee for services provided by LLC as requested by AMC in connection with delivery of content to Theatres.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Advertising Services</w:t>
      </w:r>
      <w:r>
        <w:rPr>
          <w:rFonts w:ascii="Times New Roman" w:cs="Times New Roman" w:eastAsia="Times New Roman" w:hAnsi="Times New Roman"/>
          <w:sz w:val="22"/>
          <w:szCs w:val="22"/>
          <w:color w:val="auto"/>
        </w:rPr>
        <w:t xml:space="preserve">” means the advertising and promotional services (including the Digital Content Service, the Digital Carousel, Lobby Promotions, Event Sponsorships, Event Simulcast Advertising Services and 3D or 4D Advertising Services) as described in </w:t>
      </w:r>
      <w:r>
        <w:rPr>
          <w:rFonts w:ascii="Times New Roman" w:cs="Times New Roman" w:eastAsia="Times New Roman" w:hAnsi="Times New Roman"/>
          <w:sz w:val="22"/>
          <w:szCs w:val="22"/>
          <w:u w:val="single" w:color="auto"/>
          <w:color w:val="auto"/>
        </w:rPr>
        <w:t>Exhibit A.</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as to any entity, any other entity that is controlled by, controls, or is under common control with that entity. The term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the terms “controlled,” “controlled by” and “under common control with”) means possession, directly or indirectly, of the power to direct or cause direction of the management and policies of an entity.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assigned to it in the preamble of this Agreement, as the same may be amended, supplemented or otherwise modified from time to time.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w:t>
      </w:r>
      <w:r>
        <w:rPr>
          <w:rFonts w:ascii="Times New Roman" w:cs="Times New Roman" w:eastAsia="Times New Roman" w:hAnsi="Times New Roman"/>
          <w:sz w:val="22"/>
          <w:szCs w:val="22"/>
          <w:color w:val="auto"/>
        </w:rPr>
        <w:t>” has the meaning assigned to it in the preamble of this Agreement.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Attendance</w:t>
      </w:r>
      <w:r>
        <w:rPr>
          <w:rFonts w:ascii="Times New Roman" w:cs="Times New Roman" w:eastAsia="Times New Roman" w:hAnsi="Times New Roman"/>
          <w:sz w:val="22"/>
          <w:szCs w:val="22"/>
          <w:color w:val="auto"/>
        </w:rPr>
        <w:t xml:space="preserve">” means the sum of the AMC Standard Format Attendance and AMC Premium Large Format Attendance. Attendance is calculated by the total number of patrons in all Theatre auditoriums (excluding auditoriums that do not run the applicable advertising due to human or technical error within AMC’s control, AMC’s failure to allow LLC to upgrade the Software or Equipment following reasonable advance notice from LLC, AMC’s failure to install Equipment pursuant to its obligations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after notice and opportunity to cure as set forth in </w:t>
      </w:r>
      <w:r>
        <w:rPr>
          <w:rFonts w:ascii="Times New Roman" w:cs="Times New Roman" w:eastAsia="Times New Roman" w:hAnsi="Times New Roman"/>
          <w:sz w:val="22"/>
          <w:szCs w:val="22"/>
          <w:u w:val="single" w:color="auto"/>
          <w:color w:val="auto"/>
        </w:rPr>
        <w:t>Section 3.08(b)</w:t>
      </w:r>
      <w:r>
        <w:rPr>
          <w:rFonts w:ascii="Times New Roman" w:cs="Times New Roman" w:eastAsia="Times New Roman" w:hAnsi="Times New Roman"/>
          <w:sz w:val="22"/>
          <w:szCs w:val="22"/>
          <w:color w:val="auto"/>
        </w:rPr>
        <w:t xml:space="preserve">, as the result of AMC’s failure to repair or replace any AMC Equipment or AMC’s (or its Affiliates’) software installed at any Theatre, if such obligation to repair or replace is undertaken by AMC pursuant to </w:t>
      </w:r>
      <w:r>
        <w:rPr>
          <w:rFonts w:ascii="Times New Roman" w:cs="Times New Roman" w:eastAsia="Times New Roman" w:hAnsi="Times New Roman"/>
          <w:sz w:val="22"/>
          <w:szCs w:val="22"/>
          <w:u w:val="single" w:color="auto"/>
          <w:color w:val="auto"/>
        </w:rPr>
        <w:t>Section 3.08(b)</w:t>
      </w:r>
      <w:r>
        <w:rPr>
          <w:rFonts w:ascii="Times New Roman" w:cs="Times New Roman" w:eastAsia="Times New Roman" w:hAnsi="Times New Roman"/>
          <w:sz w:val="22"/>
          <w:szCs w:val="22"/>
          <w:color w:val="auto"/>
        </w:rPr>
        <w:t xml:space="preserve"> and excluding auditoriums that do not exhibit Inventory for any other reason not caused by LLC), during the applicable measurement period. An “AMC Attendee” is one patron that satisfies the definition of AMC Attendance.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Attributable Revenue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2.05(b)(i)(A)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Attributable Lobby Revenue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Campaign Attendance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Derived Works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13.02(b)</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Equipment</w:t>
      </w:r>
      <w:r>
        <w:rPr>
          <w:rFonts w:ascii="Times New Roman" w:cs="Times New Roman" w:eastAsia="Times New Roman" w:hAnsi="Times New Roman"/>
          <w:sz w:val="22"/>
          <w:szCs w:val="22"/>
          <w:color w:val="auto"/>
        </w:rPr>
        <w:t>” means the Equipment owned by AMC.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Information</w:t>
      </w:r>
      <w:r>
        <w:rPr>
          <w:rFonts w:ascii="Times New Roman" w:cs="Times New Roman" w:eastAsia="Times New Roman" w:hAnsi="Times New Roman"/>
          <w:sz w:val="22"/>
          <w:szCs w:val="22"/>
          <w:color w:val="auto"/>
        </w:rPr>
        <w:t>” means all Confidential Information supplied by AMC and its Affiliates.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Marks</w:t>
      </w:r>
      <w:r>
        <w:rPr>
          <w:rFonts w:ascii="Times New Roman" w:cs="Times New Roman" w:eastAsia="Times New Roman" w:hAnsi="Times New Roman"/>
          <w:sz w:val="22"/>
          <w:szCs w:val="22"/>
          <w:color w:val="auto"/>
        </w:rPr>
        <w:t>” means the trademarks, service marks, logos, slogans and/or designs owned by AMC or otherwise contributed by AMC for use under this Agreement, in any and all forms, formats and styles, including as may be used in the Brand (as defined herein), as may be modified from time-to-time all as notified to LLC from time-to-time by AMC.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Optional Termination Right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Property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13.01(b)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Platinum Spot Attributable Revenue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2.05(c)(i)(A)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Platinum Spot Revenue per Attendee</w:t>
      </w:r>
      <w:r>
        <w:rPr>
          <w:rFonts w:ascii="Times New Roman" w:cs="Times New Roman" w:eastAsia="Times New Roman" w:hAnsi="Times New Roman"/>
          <w:sz w:val="22"/>
          <w:szCs w:val="22"/>
          <w:color w:val="auto"/>
        </w:rPr>
        <w:t>” means, with respect to the applicable period, the AMC Platinum Spot Attributable Revenue for such period, divided by aggregate AMC Attendance during such period. For the avoidance of doubt, the AMC Platinum Spot Revenue per Attendee will exclude the AMC Attributable Revenue. For illustrative purposes only, if AMC Attendance for the applicable period is 100,000,000 and the AMC Platinum Spot Attributable Revenue for the same period is $10,000,000.00, then the AMC Platinum Spot Revenue per Attendee shall be $0.10.</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Political Attributable Revenue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4.02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Premium Large Format Attendance</w:t>
      </w:r>
      <w:r>
        <w:rPr>
          <w:rFonts w:ascii="Times New Roman" w:cs="Times New Roman" w:eastAsia="Times New Roman" w:hAnsi="Times New Roman"/>
          <w:sz w:val="22"/>
          <w:szCs w:val="22"/>
          <w:color w:val="auto"/>
        </w:rPr>
        <w:t>” means an AMC Attendee that is in an auditorium with a Premium Large Format Screen.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Quality Standards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Revenue per Attendee</w:t>
      </w:r>
      <w:r>
        <w:rPr>
          <w:rFonts w:ascii="Times New Roman" w:cs="Times New Roman" w:eastAsia="Times New Roman" w:hAnsi="Times New Roman"/>
          <w:sz w:val="22"/>
          <w:szCs w:val="22"/>
          <w:color w:val="auto"/>
        </w:rPr>
        <w:t>” means, with respect to the applicable period, the AMC Attributable Revenue for such period, divided by aggregate AMC Attendance during such period. For the avoidance of doubt, the AMC Revenue per Attendee will exclude the AMC Platinum Spot Attributable Revenue and the AMC Political Attributable Revenue. For illustrative purposes only, if AMC Attendance for the applicable period is 100,000,000 and the AMC Attributable Revenue for the same period is $50,000,000.00, then the AMC Revenue per Attendee shall be $0.50.</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Revenue per Attendee Grid</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Standard Format Attendance</w:t>
      </w:r>
      <w:r>
        <w:rPr>
          <w:rFonts w:ascii="Times New Roman" w:cs="Times New Roman" w:eastAsia="Times New Roman" w:hAnsi="Times New Roman"/>
          <w:sz w:val="22"/>
          <w:szCs w:val="22"/>
          <w:color w:val="auto"/>
        </w:rPr>
        <w:t>” means an AMC Attendee that is in an auditorium with a Standard Format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Screen.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Tonality Requirements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4.02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American Multi-Cinema</w:t>
      </w:r>
      <w:r>
        <w:rPr>
          <w:rFonts w:ascii="Times New Roman" w:cs="Times New Roman" w:eastAsia="Times New Roman" w:hAnsi="Times New Roman"/>
          <w:sz w:val="22"/>
          <w:szCs w:val="22"/>
          <w:color w:val="auto"/>
        </w:rPr>
        <w:t>” has the meaning assigned to it in the preamble to this Agreement.</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Minimum Guarantee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15.08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Associated Provisions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12.06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of the United States Code (11 U.S.C. §101 et seq.), as amended from time to time.</w:t>
      </w:r>
    </w:p>
    <w:p>
      <w:pPr>
        <w:spacing w:after="0" w:line="21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Beverage Agreement</w:t>
      </w:r>
      <w:r>
        <w:rPr>
          <w:rFonts w:ascii="Times New Roman" w:cs="Times New Roman" w:eastAsia="Times New Roman" w:hAnsi="Times New Roman"/>
          <w:sz w:val="22"/>
          <w:szCs w:val="22"/>
          <w:color w:val="auto"/>
        </w:rPr>
        <w:t>” means the Marketing, Advertising and Brand Presence Agreement by and between Coca-Cola North America, a division of The Coca-Cola Company, and AMC, dated as of January 1, 2021, and all exhibits and amendments thereto</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as such agreement may be amended from time to time, and any subsequent agreements entered into by AMC and its beverage concessionaires at the expiration or termination of the agreement referenced above which is in effect on the Execution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Beverage Agreement Advertising Rate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Beverage Compliance Report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4.09(b)(i)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Branded Slots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Cinemark</w:t>
      </w:r>
      <w:r>
        <w:rPr>
          <w:rFonts w:ascii="Times New Roman" w:cs="Times New Roman" w:eastAsia="Times New Roman" w:hAnsi="Times New Roman"/>
          <w:sz w:val="22"/>
          <w:szCs w:val="22"/>
          <w:color w:val="auto"/>
        </w:rPr>
        <w:t>” means Cinemark USA, Inc., a Texas corporation.</w:t>
      </w:r>
    </w:p>
    <w:p>
      <w:pPr>
        <w:spacing w:after="0" w:line="206" w:lineRule="exact"/>
        <w:rPr>
          <w:sz w:val="20"/>
          <w:szCs w:val="20"/>
          <w:color w:val="auto"/>
        </w:rPr>
      </w:pPr>
    </w:p>
    <w:p>
      <w:pPr>
        <w:jc w:val="both"/>
        <w:ind w:right="12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Cinemark Exhibitor Agreement</w:t>
      </w:r>
      <w:r>
        <w:rPr>
          <w:rFonts w:ascii="Times New Roman" w:cs="Times New Roman" w:eastAsia="Times New Roman" w:hAnsi="Times New Roman"/>
          <w:sz w:val="21"/>
          <w:szCs w:val="21"/>
          <w:color w:val="auto"/>
        </w:rPr>
        <w:t>” means the Amended and Restated Exhibitor Services Agreement between LLC and Cinemark, dated December 26, 2013, as the same may be amended, supplemented or otherwise modified from time to time.</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Client Limitation</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Concessions</w:t>
      </w:r>
      <w:r>
        <w:rPr>
          <w:rFonts w:ascii="Times New Roman" w:cs="Times New Roman" w:eastAsia="Times New Roman" w:hAnsi="Times New Roman"/>
          <w:sz w:val="22"/>
          <w:szCs w:val="22"/>
          <w:color w:val="auto"/>
        </w:rPr>
        <w:t>” means popcorn, candy, and other food and beverage items, including alcohol sold in a Theatre.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LLC), and shall include, by way of example and not limitation, the LLC Property, the AMC Property, the LLC Derived Works and the AMC Derived Works.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 Year</w:t>
      </w:r>
      <w:r>
        <w:rPr>
          <w:rFonts w:ascii="Times New Roman" w:cs="Times New Roman" w:eastAsia="Times New Roman" w:hAnsi="Times New Roman"/>
          <w:sz w:val="22"/>
          <w:szCs w:val="22"/>
          <w:color w:val="auto"/>
        </w:rPr>
        <w:t>” means each twelve (12)-month period during the Term, commencing on the Effective Date.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11.01(a)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Advertising Agreement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Carousel</w:t>
      </w:r>
      <w:r>
        <w:rPr>
          <w:rFonts w:ascii="Times New Roman" w:cs="Times New Roman" w:eastAsia="Times New Roman" w:hAnsi="Times New Roman"/>
          <w:sz w:val="22"/>
          <w:szCs w:val="22"/>
          <w:color w:val="auto"/>
        </w:rPr>
        <w:t>” means a loop of slide advertising with minimal branding and entertainment content which is displayed before the Pre-Feature Program in Theatres via the Digital Content Network.</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Cinema Equipment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Cinema Screen</w:t>
      </w:r>
      <w:r>
        <w:rPr>
          <w:rFonts w:ascii="Times New Roman" w:cs="Times New Roman" w:eastAsia="Times New Roman" w:hAnsi="Times New Roman"/>
          <w:sz w:val="22"/>
          <w:szCs w:val="22"/>
          <w:color w:val="auto"/>
        </w:rPr>
        <w:t>” means a screen in an auditorium in a Theatre that is equipped with Digital Cinema Equipment and such Digital Cinema Equipment is operational to provide the Advertising Services.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Cinema Services</w:t>
      </w:r>
      <w:r>
        <w:rPr>
          <w:rFonts w:ascii="Times New Roman" w:cs="Times New Roman" w:eastAsia="Times New Roman" w:hAnsi="Times New Roman"/>
          <w:sz w:val="22"/>
          <w:szCs w:val="22"/>
          <w:color w:val="auto"/>
        </w:rPr>
        <w:t>” 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spacing w:after="0" w:line="16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Digital Content Network</w:t>
      </w:r>
      <w:r>
        <w:rPr>
          <w:rFonts w:ascii="Times New Roman" w:cs="Times New Roman" w:eastAsia="Times New Roman" w:hAnsi="Times New Roman"/>
          <w:sz w:val="21"/>
          <w:szCs w:val="21"/>
          <w:color w:val="auto"/>
        </w:rPr>
        <w:t>” means a network of LLC Equipment and third-party equipment and other facilities which provides for the electronic transmission of digital content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directly or indirectly, from a centrally-controlled location to Theatres, resulting in the “on- screen” exhibition of such content in such Theatres, either in Theatre auditoriums or on Lobby Screens.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Content Service</w:t>
      </w:r>
      <w:r>
        <w:rPr>
          <w:rFonts w:ascii="Times New Roman" w:cs="Times New Roman" w:eastAsia="Times New Roman" w:hAnsi="Times New Roman"/>
          <w:sz w:val="22"/>
          <w:szCs w:val="22"/>
          <w:color w:val="auto"/>
        </w:rPr>
        <w:t>” means the Pre-Feature Program, Policy Trailer and the Lobby Entertainment Program.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Programming Event</w:t>
      </w:r>
      <w:r>
        <w:rPr>
          <w:rFonts w:ascii="Times New Roman" w:cs="Times New Roman" w:eastAsia="Times New Roman" w:hAnsi="Times New Roman"/>
          <w:sz w:val="22"/>
          <w:szCs w:val="22"/>
          <w:color w:val="auto"/>
        </w:rPr>
        <w:t>” means any programming exhibited in Theatres that is not a feature film.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Programming Event Simulcast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Digital Screen</w:t>
      </w:r>
      <w:r>
        <w:rPr>
          <w:rFonts w:ascii="Times New Roman" w:cs="Times New Roman" w:eastAsia="Times New Roman" w:hAnsi="Times New Roman"/>
          <w:sz w:val="22"/>
          <w:szCs w:val="22"/>
          <w:color w:val="auto"/>
        </w:rPr>
        <w:t>” means a screen in an auditorium of a Digitized Theatre.</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Digitized Theatres</w:t>
      </w:r>
      <w:r>
        <w:rPr>
          <w:rFonts w:ascii="Times New Roman" w:cs="Times New Roman" w:eastAsia="Times New Roman" w:hAnsi="Times New Roman"/>
          <w:sz w:val="22"/>
          <w:szCs w:val="22"/>
          <w:color w:val="auto"/>
        </w:rPr>
        <w:t>” means all Theatres that are connected to the Digital Content Network, as of the Execution Date, and all Theatres that subsequently connect to the Digital Content Network, as of the date such connection is established</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(including the term “</w:t>
      </w:r>
      <w:r>
        <w:rPr>
          <w:rFonts w:ascii="Times New Roman" w:cs="Times New Roman" w:eastAsia="Times New Roman" w:hAnsi="Times New Roman"/>
          <w:sz w:val="22"/>
          <w:szCs w:val="22"/>
          <w:b w:val="1"/>
          <w:bCs w:val="1"/>
          <w:color w:val="auto"/>
        </w:rPr>
        <w:t>Disposed</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Dolby Cinema Screen</w:t>
      </w:r>
      <w:r>
        <w:rPr>
          <w:rFonts w:ascii="Times New Roman" w:cs="Times New Roman" w:eastAsia="Times New Roman" w:hAnsi="Times New Roman"/>
          <w:sz w:val="22"/>
          <w:szCs w:val="22"/>
          <w:color w:val="auto"/>
        </w:rPr>
        <w:t>” means Theatre screens dedicated to the exhibition of films using “Dolby Cinema” technology that include both Dolby Vision, or a replacement technology, and Dolby Atmos, or a replacement technology. Any Theatre screen that utilizes only one aspect of Dolby’s technology or that is not marketed specifically by AMC as a premium product offering will not be Dolby Cinema Screens.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Dual Interface Architecture</w:t>
      </w:r>
      <w:r>
        <w:rPr>
          <w:rFonts w:ascii="Times New Roman" w:cs="Times New Roman" w:eastAsia="Times New Roman" w:hAnsi="Times New Roman"/>
          <w:sz w:val="22"/>
          <w:szCs w:val="22"/>
          <w:color w:val="auto"/>
        </w:rPr>
        <w:t>” means a delivery system in which the SMS and the DCN screen player connect to the same digital cinema projector (one projector with two play-back servers).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has the meaning assigned to it in the recitals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Encumbered Theatres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Equipment</w:t>
      </w:r>
      <w:r>
        <w:rPr>
          <w:rFonts w:ascii="Times New Roman" w:cs="Times New Roman" w:eastAsia="Times New Roman" w:hAnsi="Times New Roman"/>
          <w:sz w:val="21"/>
          <w:szCs w:val="21"/>
          <w:color w:val="auto"/>
        </w:rPr>
        <w:t>” 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Execution Date is set forth in the Specification Documentation. Lobby Equipment is addressed in Addendum 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Distributor</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Simulcast Advertising Services</w:t>
      </w:r>
      <w:r>
        <w:rPr>
          <w:rFonts w:ascii="Times New Roman" w:cs="Times New Roman" w:eastAsia="Times New Roman" w:hAnsi="Times New Roman"/>
          <w:sz w:val="22"/>
          <w:szCs w:val="22"/>
          <w:color w:val="auto"/>
        </w:rPr>
        <w:t xml:space="preserve">” has the meaning assigned to it in Section 2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Sponsorship</w:t>
      </w:r>
      <w:r>
        <w:rPr>
          <w:rFonts w:ascii="Times New Roman" w:cs="Times New Roman" w:eastAsia="Times New Roman" w:hAnsi="Times New Roman"/>
          <w:sz w:val="22"/>
          <w:szCs w:val="22"/>
          <w:color w:val="auto"/>
        </w:rPr>
        <w:t xml:space="preserve">” has the meaning assigned to it in Section 2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Trailer</w:t>
      </w:r>
      <w:r>
        <w:rPr>
          <w:rFonts w:ascii="Times New Roman" w:cs="Times New Roman" w:eastAsia="Times New Roman" w:hAnsi="Times New Roman"/>
          <w:sz w:val="22"/>
          <w:szCs w:val="22"/>
          <w:color w:val="auto"/>
        </w:rPr>
        <w:t>” means a promotion for a Digital Programming Event that is exhibited in the Theatres after Showtime.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Theatres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Execution Date</w:t>
      </w:r>
      <w:r>
        <w:rPr>
          <w:rFonts w:ascii="Times New Roman" w:cs="Times New Roman" w:eastAsia="Times New Roman" w:hAnsi="Times New Roman"/>
          <w:sz w:val="22"/>
          <w:szCs w:val="22"/>
          <w:color w:val="auto"/>
        </w:rPr>
        <w:t>” has the meaning assigned to it in the preamble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means the fiscal year of the LLC.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Flight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Future Theatres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United States generally accepted accounting principles, consistently applied.</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nation or government, any state or other political subdivision thereof, and any entity exercising executive, legislative, judicial, regulatory or administrative functions of or pertaining to government.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IMAX Screens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2"/>
          <w:szCs w:val="22"/>
          <w:color w:val="auto"/>
        </w:rPr>
        <w:t xml:space="preserve"> Theatre screens dedicated to the exhibition of films using “IMAX” technology.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11.01(c)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means any advertising or other content.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Venture Termination and Settlement Agreement</w:t>
      </w:r>
      <w:r>
        <w:rPr>
          <w:rFonts w:ascii="Times New Roman" w:cs="Times New Roman" w:eastAsia="Times New Roman" w:hAnsi="Times New Roman"/>
          <w:sz w:val="22"/>
          <w:szCs w:val="22"/>
          <w:color w:val="auto"/>
        </w:rPr>
        <w:t>” has the meaning assigned to it in Section 6.01.</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means that certain Second Amended and Restated Software License Agreement, dated as of February 13, 2007, among LLC, AMC, and the other parties thereto, and as such agreement may be amended, supplemented or otherwise modified from time to time.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Agreement</w:t>
      </w:r>
      <w:r>
        <w:rPr>
          <w:rFonts w:ascii="Times New Roman" w:cs="Times New Roman" w:eastAsia="Times New Roman" w:hAnsi="Times New Roman"/>
          <w:sz w:val="22"/>
          <w:szCs w:val="22"/>
          <w:color w:val="auto"/>
        </w:rPr>
        <w:t>” has the meaning assigned to it in the recitals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Confirmation</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Derived Works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13.02(a)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Equipment</w:t>
      </w:r>
      <w:r>
        <w:rPr>
          <w:rFonts w:ascii="Times New Roman" w:cs="Times New Roman" w:eastAsia="Times New Roman" w:hAnsi="Times New Roman"/>
          <w:sz w:val="22"/>
          <w:szCs w:val="22"/>
          <w:color w:val="auto"/>
        </w:rPr>
        <w:t>” means the Equipment owned by LLC pursuant to the terms of this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Marks</w:t>
      </w:r>
      <w:r>
        <w:rPr>
          <w:rFonts w:ascii="Times New Roman" w:cs="Times New Roman" w:eastAsia="Times New Roman" w:hAnsi="Times New Roman"/>
          <w:sz w:val="22"/>
          <w:szCs w:val="22"/>
          <w:color w:val="auto"/>
        </w:rPr>
        <w:t>” 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AMC from time to time by LLC.</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Net Revenue per Attendee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2.05(b)(i)(C)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Optional Termination Right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Platinum Spot Net Revenue per Attendee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2.05(c)(i)(B)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Political Revenue per Attendee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4.02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Property</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Quality Standards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7.02(c)</w:t>
      </w:r>
      <w:r>
        <w:rPr>
          <w:rFonts w:ascii="Times New Roman" w:cs="Times New Roman" w:eastAsia="Times New Roman" w:hAnsi="Times New Roman"/>
          <w:sz w:val="22"/>
          <w:szCs w:val="22"/>
          <w:color w:val="auto"/>
        </w:rPr>
        <w:t>.</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Entertainment Program</w:t>
      </w:r>
      <w:r>
        <w:rPr>
          <w:rFonts w:ascii="Times New Roman" w:cs="Times New Roman" w:eastAsia="Times New Roman" w:hAnsi="Times New Roman"/>
          <w:sz w:val="22"/>
          <w:szCs w:val="22"/>
          <w:color w:val="auto"/>
        </w:rPr>
        <w:t xml:space="preserve">” means a program of digital content exhibited on Lobby Screens (as defined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 xml:space="preserve">) which is distributed by LLC through the Digital Content Network for exhibition in Digitized Theatres, upon the terms set forth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Equipment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Promotions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Revenue Share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Screens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Low Resolution Projection System</w:t>
      </w:r>
      <w:r>
        <w:rPr>
          <w:rFonts w:ascii="Times New Roman" w:cs="Times New Roman" w:eastAsia="Times New Roman" w:hAnsi="Times New Roman"/>
          <w:sz w:val="22"/>
          <w:szCs w:val="22"/>
          <w:color w:val="auto"/>
        </w:rPr>
        <w:t>” means a digital projection system deployed in Theatres that (i) has a maximum resolution less than 2K (i.e., a resolution of less than 2048×1080), and (ii) is similar in functionality to the low-resolution projection systems currently deployed in Theatres as of the Execution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Marketing Materials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7.02(a)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9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MFN Litigation</w:t>
      </w:r>
      <w:r>
        <w:rPr>
          <w:rFonts w:ascii="Times New Roman" w:cs="Times New Roman" w:eastAsia="Times New Roman" w:hAnsi="Times New Roman"/>
          <w:sz w:val="22"/>
          <w:szCs w:val="22"/>
          <w:color w:val="auto"/>
        </w:rPr>
        <w:t>” means the Bankruptcy Appeals as defined in the Joint Venture Termination and Settlement Agreement, including any all appeals, remands and further proceedings resulting from such action.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Total</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Total Payment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Muvico</w:t>
      </w:r>
      <w:r>
        <w:rPr>
          <w:rFonts w:ascii="Times New Roman" w:cs="Times New Roman" w:eastAsia="Times New Roman" w:hAnsi="Times New Roman"/>
          <w:sz w:val="22"/>
          <w:szCs w:val="22"/>
          <w:color w:val="auto"/>
        </w:rPr>
        <w:t>” has the meaning assigned to it in the preamble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National CineMedia</w:t>
      </w:r>
      <w:r>
        <w:rPr>
          <w:rFonts w:ascii="Times New Roman" w:cs="Times New Roman" w:eastAsia="Times New Roman" w:hAnsi="Times New Roman"/>
          <w:sz w:val="22"/>
          <w:szCs w:val="22"/>
          <w:color w:val="auto"/>
        </w:rPr>
        <w:t>” means National CineMedia, Inc.</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Revenue</w:t>
      </w:r>
      <w:r>
        <w:rPr>
          <w:rFonts w:ascii="Times New Roman" w:cs="Times New Roman" w:eastAsia="Times New Roman" w:hAnsi="Times New Roman"/>
          <w:sz w:val="22"/>
          <w:szCs w:val="22"/>
          <w:color w:val="auto"/>
        </w:rPr>
        <w:t>” means, with respect to a specific advertising or promotional content campaign for which LLC recognizes revenue in an applicable period, the excess of (a) the total amount received by LLC from third parties for such campaign in such period, less [***].</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Non-Digitized Theatres</w:t>
      </w:r>
      <w:r>
        <w:rPr>
          <w:rFonts w:ascii="Times New Roman" w:cs="Times New Roman" w:eastAsia="Times New Roman" w:hAnsi="Times New Roman"/>
          <w:sz w:val="22"/>
          <w:szCs w:val="22"/>
          <w:color w:val="auto"/>
        </w:rPr>
        <w:t>” means Theatres that are not Digitized Theatres.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has the meaning assigned to it in the recitals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Payment Structure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has the meaning assigned to it in the preamble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right="60" w:firstLine="757"/>
        <w:spacing w:after="0" w:line="258" w:lineRule="auto"/>
        <w:tabs>
          <w:tab w:leader="none" w:pos="1163"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by operation of law or otherwise, the direct or indirect change in control, merger, consolidation or acquisition of all or substantially all of the assets of LLC or AMC, as applicable,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5" w:lineRule="exact"/>
        <w:rPr>
          <w:sz w:val="20"/>
          <w:szCs w:val="20"/>
          <w:color w:val="auto"/>
        </w:rPr>
      </w:pPr>
    </w:p>
    <w:p>
      <w:pPr>
        <w:ind w:firstLine="757"/>
        <w:spacing w:after="0" w:line="258" w:lineRule="auto"/>
        <w:tabs>
          <w:tab w:leader="none" w:pos="1203"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the assignment of this Agreement by AMC to an Affiliate in connection with a bona fide business purpose, provided such Affiliate executes a joinder to this Agreement,</w:t>
      </w:r>
    </w:p>
    <w:p>
      <w:pPr>
        <w:spacing w:after="0" w:line="158" w:lineRule="exact"/>
        <w:rPr>
          <w:rFonts w:ascii="Times New Roman" w:cs="Times New Roman" w:eastAsia="Times New Roman" w:hAnsi="Times New Roman"/>
          <w:sz w:val="21"/>
          <w:szCs w:val="21"/>
          <w:b w:val="1"/>
          <w:bCs w:val="1"/>
          <w:color w:val="auto"/>
        </w:rPr>
      </w:pPr>
    </w:p>
    <w:p>
      <w:pPr>
        <w:jc w:val="both"/>
        <w:ind w:firstLine="757"/>
        <w:spacing w:after="0" w:line="235" w:lineRule="auto"/>
        <w:tabs>
          <w:tab w:leader="none" w:pos="1163"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with respect to the rights and obligations of LLC under this Agreement, (i) the grant of a security interest by LLC in this Agreement and all rights and obligations of LLC hereunder to a lender, group of lenders, or an administrative agent in connection with a credit agreement or other secured debt agreement, (ii) the assignment or other transfer of such rights and obligations to the lender, group of lenders, or an administrative agent or other third party upon the exercise of remedies in accordance with LLC’s existing credit agreement or other secured debt and/or any other secured debt to be entered into or issued by LLC and the subsequent assignment or other transfer of such rights and obligations by the lender, group of lenders, or an administrative agent to a third party, or</w:t>
      </w:r>
    </w:p>
    <w:p>
      <w:pPr>
        <w:spacing w:after="0" w:line="183" w:lineRule="exact"/>
        <w:rPr>
          <w:rFonts w:ascii="Times New Roman" w:cs="Times New Roman" w:eastAsia="Times New Roman" w:hAnsi="Times New Roman"/>
          <w:sz w:val="21"/>
          <w:szCs w:val="21"/>
          <w:b w:val="1"/>
          <w:bCs w:val="1"/>
          <w:color w:val="auto"/>
        </w:rPr>
      </w:pPr>
    </w:p>
    <w:p>
      <w:pPr>
        <w:ind w:firstLine="757"/>
        <w:spacing w:after="0" w:line="282" w:lineRule="auto"/>
        <w:tabs>
          <w:tab w:leader="none" w:pos="1163"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in the event that LLC becomes a debtor in a case under the Bankruptcy Code, the assumption and/or assignment by LLC of this Agreement under section 365 of the Bankruptcy Code, notwithstanding the provisions of section 365(c) thereof.</w:t>
      </w:r>
    </w:p>
    <w:p>
      <w:pPr>
        <w:spacing w:after="0" w:line="13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Platinum Spot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4.01(b)(i)(B)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Platinum Spot Revenue Share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Play List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Policy Trailer</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Political Advertising</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4.02.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Political Revenue Share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4.02.</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Pre-Feature Program</w:t>
      </w:r>
      <w:r>
        <w:rPr>
          <w:rFonts w:ascii="Times New Roman" w:cs="Times New Roman" w:eastAsia="Times New Roman" w:hAnsi="Times New Roman"/>
          <w:sz w:val="22"/>
          <w:szCs w:val="22"/>
          <w:color w:val="auto"/>
        </w:rPr>
        <w:t>” means a program of digital content of (i) between 20 and 25 minutes in length that is distributed by LLC through the Digital Content Network for exhibition in Theatres beginning 15 to 20 minutes prior to Showtime (the “</w:t>
      </w:r>
      <w:r>
        <w:rPr>
          <w:rFonts w:ascii="Times New Roman" w:cs="Times New Roman" w:eastAsia="Times New Roman" w:hAnsi="Times New Roman"/>
          <w:sz w:val="22"/>
          <w:szCs w:val="22"/>
          <w:b w:val="1"/>
          <w:bCs w:val="1"/>
          <w:color w:val="auto"/>
        </w:rPr>
        <w:t>Preshow</w:t>
      </w:r>
      <w:r>
        <w:rPr>
          <w:rFonts w:ascii="Times New Roman" w:cs="Times New Roman" w:eastAsia="Times New Roman" w:hAnsi="Times New Roman"/>
          <w:sz w:val="22"/>
          <w:szCs w:val="22"/>
          <w:color w:val="auto"/>
        </w:rPr>
        <w:t xml:space="preserve">”) and ending 5 minutes immediately following Showtime (as further described in </w:t>
      </w:r>
      <w:r>
        <w:rPr>
          <w:rFonts w:ascii="Times New Roman" w:cs="Times New Roman" w:eastAsia="Times New Roman" w:hAnsi="Times New Roman"/>
          <w:sz w:val="22"/>
          <w:szCs w:val="22"/>
          <w:u w:val="single" w:color="auto"/>
          <w:color w:val="auto"/>
        </w:rPr>
        <w:t>Section 4.01(b)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Postshow</w:t>
      </w:r>
      <w:r>
        <w:rPr>
          <w:rFonts w:ascii="Times New Roman" w:cs="Times New Roman" w:eastAsia="Times New Roman" w:hAnsi="Times New Roman"/>
          <w:sz w:val="22"/>
          <w:szCs w:val="22"/>
          <w:color w:val="auto"/>
        </w:rPr>
        <w:t>”) of a feature film or Digital Programming Event and (ii) the Platinum Spot.</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Pre-Feature Programming Schedule</w:t>
      </w:r>
      <w:r>
        <w:rPr>
          <w:rFonts w:ascii="Times New Roman" w:cs="Times New Roman" w:eastAsia="Times New Roman" w:hAnsi="Times New Roman"/>
          <w:sz w:val="22"/>
          <w:szCs w:val="22"/>
          <w:color w:val="auto"/>
        </w:rPr>
        <w:t>” means the schedule for the Pre-Feature Program as developed from time to time by LLC after consultation with AMC.</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Premium Large Format Screen</w:t>
      </w:r>
      <w:r>
        <w:rPr>
          <w:rFonts w:ascii="Times New Roman" w:cs="Times New Roman" w:eastAsia="Times New Roman" w:hAnsi="Times New Roman"/>
          <w:sz w:val="22"/>
          <w:szCs w:val="22"/>
          <w:color w:val="auto"/>
        </w:rPr>
        <w:t>” means a large format screen that uses premium technology licensed or otherwise provided by a third-party, and is marketed and sold by AMC as a premium large format. As of the date hereof, the parties agree that only IMAX Screens, Dolby Cinema Screens, 4DX Screens, and multi-projector ScreenX Screens are Premium Large Format Screens. [***]</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Projection System</w:t>
      </w:r>
      <w:r>
        <w:rPr>
          <w:rFonts w:ascii="Times New Roman" w:cs="Times New Roman" w:eastAsia="Times New Roman" w:hAnsi="Times New Roman"/>
          <w:sz w:val="22"/>
          <w:szCs w:val="22"/>
          <w:color w:val="auto"/>
        </w:rPr>
        <w:t>” means, collectively, a digital projection system including at least the following components: a digital projector with a minimum resolution of 2K, a digital</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9" w:name="page50"/>
    <w:bookmarkEnd w:id="4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cinema playout system (server or media block) and a screen management system for the relevant Screen.</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Proprietary Information</w:t>
      </w:r>
      <w:r>
        <w:rPr>
          <w:rFonts w:ascii="Times New Roman" w:cs="Times New Roman" w:eastAsia="Times New Roman" w:hAnsi="Times New Roman"/>
          <w:sz w:val="22"/>
          <w:szCs w:val="22"/>
          <w:color w:val="auto"/>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“PSA Trailer” </w:t>
      </w:r>
      <w:r>
        <w:rPr>
          <w:rFonts w:ascii="Times New Roman" w:cs="Times New Roman" w:eastAsia="Times New Roman" w:hAnsi="Times New Roman"/>
          <w:sz w:val="22"/>
          <w:szCs w:val="22"/>
          <w:color w:val="auto"/>
        </w:rPr>
        <w:t>means up to 30 seconds for AMC approved fundraising or public service/awareness campaign 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contain the display of any trademark, service mark, logo or other branding of the charitable organizations and/or AMC suppliers/vendors sponsoring such campaign that is exhibited in the Theatres after Showtime. PSA Trailers may not contain blatant advertising for AMC suppliers/vendors sponsoring the message and will satisfy all requirements of a Sponsor Message. AMC may also include PSA Trailer content in its Branded Slots or Policy Trailer.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11.01(a)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Revenue Share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Reverted Agreement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Run-Out Obligations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Showtime</w:t>
      </w:r>
      <w:r>
        <w:rPr>
          <w:rFonts w:ascii="Times New Roman" w:cs="Times New Roman" w:eastAsia="Times New Roman" w:hAnsi="Times New Roman"/>
          <w:sz w:val="22"/>
          <w:szCs w:val="22"/>
          <w:color w:val="auto"/>
        </w:rPr>
        <w:t>” means the advertised showtime for a feature film or a Digital Programming Event, which will include the period of time for the Postshow, Trailers and other permitted content prior to the actual start of the feature film or a Digital Programming Event. If local laws or regulations require advertisement of the actual start time of the feature film or Digital Programming Event, the Parties will cooperate to determine compliance approaches that minimize the impact on the Pre-Feature Program, the Postshow and Trailers, provided, however, that AMC shall not be required to take any action that it reasonably determines would be violative of such laws or regulations.</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 means the software owned by, and/or licensed to, LLC or its direct or indirect Subsidiaries and which is installed on either LLC Equipment or AMC Equipment and used in connection with delivery of the Digital Content Service and the Digital Carousel.</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Special Promotions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Specification Documentation</w:t>
      </w:r>
      <w:r>
        <w:rPr>
          <w:rFonts w:ascii="Times New Roman" w:cs="Times New Roman" w:eastAsia="Times New Roman" w:hAnsi="Times New Roman"/>
          <w:sz w:val="22"/>
          <w:szCs w:val="22"/>
          <w:color w:val="auto"/>
        </w:rPr>
        <w:t>” means documentation relating to technical specifications or other matters relating to this Agreement, that is mutually agreed upon by the Parties from time-to-time.</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0" w:name="page51"/>
    <w:bookmarkEnd w:id="50"/>
    <w:p>
      <w:pPr>
        <w:spacing w:after="0" w:line="18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Sponsor</w:t>
      </w:r>
      <w:r>
        <w:rPr>
          <w:rFonts w:ascii="Times New Roman" w:cs="Times New Roman" w:eastAsia="Times New Roman" w:hAnsi="Times New Roman"/>
          <w:sz w:val="22"/>
          <w:szCs w:val="22"/>
          <w:color w:val="auto"/>
        </w:rPr>
        <w:t>” means any Person that, financially or through the provision of goods or services, supports the production, distribution, underwriting or marketing of a Digital Programming Event.</w:t>
      </w:r>
    </w:p>
    <w:p>
      <w:pPr>
        <w:spacing w:after="0" w:line="150" w:lineRule="exact"/>
        <w:rPr>
          <w:sz w:val="20"/>
          <w:szCs w:val="20"/>
          <w:color w:val="auto"/>
        </w:rPr>
      </w:pPr>
    </w:p>
    <w:p>
      <w:pPr>
        <w:ind w:right="10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Sponsor Message</w:t>
      </w:r>
      <w:r>
        <w:rPr>
          <w:rFonts w:ascii="Times New Roman" w:cs="Times New Roman" w:eastAsia="Times New Roman" w:hAnsi="Times New Roman"/>
          <w:sz w:val="22"/>
          <w:szCs w:val="22"/>
          <w:color w:val="auto"/>
        </w:rPr>
        <w:t>” means a marketing message from a Sponsor that may be exhibited under the conditions, restrictions and requirements identified herein.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Standard Format Screen</w:t>
      </w:r>
      <w:r>
        <w:rPr>
          <w:rFonts w:ascii="Times New Roman" w:cs="Times New Roman" w:eastAsia="Times New Roman" w:hAnsi="Times New Roman"/>
          <w:sz w:val="22"/>
          <w:szCs w:val="22"/>
          <w:color w:val="auto"/>
        </w:rPr>
        <w:t>” means any screen that is not a Premium Large Format Screen.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Strategic LEN Programs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4.06(b)(ii)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Strategic Lobby Programs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4.06(b)(iii)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Strategic Programs</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Strategic Relationship</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the 50 states of the United States of America and the District of Columbia.</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Theatre Advertising</w:t>
      </w:r>
      <w:r>
        <w:rPr>
          <w:rFonts w:ascii="Times New Roman" w:cs="Times New Roman" w:eastAsia="Times New Roman" w:hAnsi="Times New Roman"/>
          <w:sz w:val="22"/>
          <w:szCs w:val="22"/>
          <w:color w:val="auto"/>
        </w:rPr>
        <w:t>” means advertisement of one or more of the following activities associated with operation of the Theatres of AMC or its Affiliates: (A) the availability and price of Concessions available in the Theatre, which will not include any mention of purchase or consumption outside the Theatre, (B) AMC’s gift cards, loyalty programs and other items related to AMC’s business in the Theatres, (C) events or services presented by AMC including without limitation business meetings, church services or other events, (D) vendors of services (other than film-related vendors or vendors for Digital Programming Events) provided to the Theatres, provided such promotion is incidental to the vendor’s service such as, but without limitation, online or telephone ticketing or other alternative delivery sources for the same, credit cards, bank cards, charge cards, debit cards, gift cards and other consumer payment devices, or (E) AMC branded popcorn or other merchandise available outside of Theatres, which may include a reference to the availability in retail outlets by name. Theatre Advertising includes the display of concession menus, movie listings, Showtimes and pricing information. Theatre Advertising may include QR codes, url addresses, social media identifiers, and the</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1" w:name="page52"/>
    <w:bookmarkEnd w:id="51"/>
    <w:p>
      <w:pPr>
        <w:spacing w:after="0" w:line="185"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22"/>
          <w:szCs w:val="22"/>
          <w:color w:val="auto"/>
        </w:rPr>
        <w:t>logos and trademarks of Concession suppliers and producers and distributors of feature films or Digital Programming Events. Theatre Advertising may not contain blatant advertising for AMC suppliers/vendors or any retail outlets, and AMC may not sell, charge, or market the Theatre Advertising to any third-party and will satisfy all requirements of a Sponsor Message. Provided, however, that AMC shall not be prohibited from receiving customary promotional discounts, rebates, allowances or similar incentives from its suppliers/vendors in connection with its purchases of goods and services that are not a material inducement to entering into the arrangement.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Theatre Maintenance Fee per Digital Cinema Screen</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Schedule 2.05(h)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60"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Theatres</w:t>
      </w:r>
      <w:r>
        <w:rPr>
          <w:rFonts w:ascii="Times New Roman" w:cs="Times New Roman" w:eastAsia="Times New Roman" w:hAnsi="Times New Roman"/>
          <w:sz w:val="22"/>
          <w:szCs w:val="22"/>
          <w:color w:val="auto"/>
        </w:rPr>
        <w:t xml:space="preserve">” means from time-to-time, as applicable, all theatres in the Territory owned by AMC or an Affiliate of AMC or as to which AMC or an Affiliate of AMC has a controlling interest or operational control, except as provided in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4.12</w:t>
      </w:r>
      <w:r>
        <w:rPr>
          <w:rFonts w:ascii="Times New Roman" w:cs="Times New Roman" w:eastAsia="Times New Roman" w:hAnsi="Times New Roman"/>
          <w:sz w:val="22"/>
          <w:szCs w:val="22"/>
          <w:color w:val="auto"/>
        </w:rPr>
        <w:t xml:space="preserve"> 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 The Theatres that are initially subject to this Agreement are listed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 which may be amended from time to time by the Parties as Additional Theatres become Theatres or Dispositions occur.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TMS</w:t>
      </w:r>
      <w:r>
        <w:rPr>
          <w:rFonts w:ascii="Times New Roman" w:cs="Times New Roman" w:eastAsia="Times New Roman" w:hAnsi="Times New Roman"/>
          <w:sz w:val="22"/>
          <w:szCs w:val="22"/>
          <w:color w:val="auto"/>
        </w:rPr>
        <w:t>” means a digital cinema theatre management server.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Campaign Attendance</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2.05(b)(i)(D)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Trailer</w:t>
      </w:r>
      <w:r>
        <w:rPr>
          <w:rFonts w:ascii="Times New Roman" w:cs="Times New Roman" w:eastAsia="Times New Roman" w:hAnsi="Times New Roman"/>
          <w:sz w:val="22"/>
          <w:szCs w:val="22"/>
          <w:color w:val="auto"/>
        </w:rPr>
        <w:t>” means a promotion secured by AMC, directly or indirectly, for a feature film that is exhibited in the Theatres after the Postshow.</w:t>
      </w:r>
    </w:p>
    <w:p>
      <w:pPr>
        <w:spacing w:after="0" w:line="150" w:lineRule="exact"/>
        <w:rPr>
          <w:sz w:val="20"/>
          <w:szCs w:val="20"/>
          <w:color w:val="auto"/>
        </w:rPr>
      </w:pPr>
    </w:p>
    <w:p>
      <w:pPr>
        <w:jc w:val="both"/>
        <w:ind w:right="60"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Trailer Position</w:t>
      </w:r>
      <w:r>
        <w:rPr>
          <w:rFonts w:ascii="Times New Roman" w:cs="Times New Roman" w:eastAsia="Times New Roman" w:hAnsi="Times New Roman"/>
          <w:sz w:val="22"/>
          <w:szCs w:val="22"/>
          <w:color w:val="auto"/>
        </w:rPr>
        <w:t>” means a specified Inventory slot directly preceding the applicable Trailer. For example, “Third Trailer Position” means a slot directly preceding the third Trailer prior to the feature film or Digital Programming Event. For the avoidance of doubt, trailer positions are counted backward from the last trailer, with the last trailer having the “First Trailer Position”. Trailer Position shall be determined without distinction of certain trailers as attached trailers (i.e. the “First Trailer Position” is the last trailer played regardless of whether it is considered an attached trailer).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Upgrade Request</w:t>
      </w:r>
      <w:r>
        <w:rPr>
          <w:rFonts w:ascii="Times New Roman" w:cs="Times New Roman" w:eastAsia="Times New Roman" w:hAnsi="Times New Roman"/>
          <w:sz w:val="22"/>
          <w:szCs w:val="22"/>
          <w:color w:val="auto"/>
        </w:rPr>
        <w:t xml:space="preserve">” has the meaning assigned to it in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PARTICIPATION AND FEES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2.01 </w:t>
      </w:r>
      <w:r>
        <w:rPr>
          <w:rFonts w:ascii="Times New Roman" w:cs="Times New Roman" w:eastAsia="Times New Roman" w:hAnsi="Times New Roman"/>
          <w:sz w:val="22"/>
          <w:szCs w:val="22"/>
          <w:b w:val="1"/>
          <w:bCs w:val="1"/>
          <w:u w:val="single" w:color="auto"/>
          <w:color w:val="auto"/>
        </w:rPr>
        <w:t>Theatre Service Participation</w:t>
      </w:r>
      <w:r>
        <w:rPr>
          <w:rFonts w:ascii="Times New Roman" w:cs="Times New Roman" w:eastAsia="Times New Roman" w:hAnsi="Times New Roman"/>
          <w:sz w:val="22"/>
          <w:szCs w:val="22"/>
          <w:color w:val="auto"/>
        </w:rPr>
        <w:t>. During the Term, LLC shall provide all aspects of the Advertising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Services to AMC and AMC shall exhibit and otherwise participate in such aspects of the Advertising Services, on the terms and conditions set forth herein. Subject to the provisions of </w:t>
      </w:r>
      <w:r>
        <w:rPr>
          <w:rFonts w:ascii="Times New Roman" w:cs="Times New Roman" w:eastAsia="Times New Roman" w:hAnsi="Times New Roman"/>
          <w:sz w:val="22"/>
          <w:szCs w:val="22"/>
          <w:u w:val="single" w:color="auto"/>
          <w:color w:val="auto"/>
        </w:rPr>
        <w:t>Section 4.07</w:t>
      </w:r>
      <w:r>
        <w:rPr>
          <w:rFonts w:ascii="Times New Roman" w:cs="Times New Roman" w:eastAsia="Times New Roman" w:hAnsi="Times New Roman"/>
          <w:sz w:val="22"/>
          <w:szCs w:val="22"/>
          <w:color w:val="auto"/>
        </w:rPr>
        <w:t xml:space="preserve"> (AMC Run-Out Obligations), during the Term all Theatres will participate in the Advertising Services as Digitized Theatres.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85" w:lineRule="exact"/>
        <w:rPr>
          <w:sz w:val="20"/>
          <w:szCs w:val="20"/>
          <w:color w:val="auto"/>
        </w:rPr>
      </w:pPr>
    </w:p>
    <w:p>
      <w:pPr>
        <w:jc w:val="both"/>
        <w:ind w:left="-20" w:firstLine="1505"/>
        <w:spacing w:after="0" w:line="235" w:lineRule="auto"/>
        <w:tabs>
          <w:tab w:leader="none" w:pos="190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Digitized Theatres</w:t>
      </w:r>
      <w:r>
        <w:rPr>
          <w:rFonts w:ascii="Times New Roman" w:cs="Times New Roman" w:eastAsia="Times New Roman" w:hAnsi="Times New Roman"/>
          <w:sz w:val="22"/>
          <w:szCs w:val="22"/>
          <w:color w:val="auto"/>
        </w:rPr>
        <w:t xml:space="preserve">. During the Term, pursuant to the terms of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(Content and Distribution of the Digital Content Service), LLC will provide the following Advertising Services to the Digitized Theatres, and all Digitized Theatres will, subject to the terms of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(Customer Access to Pre-Feature Program), participate in (i) the Pre-Feature Program, (ii) the Policy Trailer and (iii) the Lobby Entertainment Program (as described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 xml:space="preserve">).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(Customer Access to Pre-Feature Program), participate in the Digital Carousel.</w:t>
      </w:r>
    </w:p>
    <w:p>
      <w:pPr>
        <w:spacing w:after="0" w:line="178" w:lineRule="exact"/>
        <w:rPr>
          <w:rFonts w:ascii="Times New Roman" w:cs="Times New Roman" w:eastAsia="Times New Roman" w:hAnsi="Times New Roman"/>
          <w:sz w:val="22"/>
          <w:szCs w:val="22"/>
          <w:color w:val="auto"/>
        </w:rPr>
      </w:pPr>
    </w:p>
    <w:p>
      <w:pPr>
        <w:jc w:val="both"/>
        <w:ind w:left="-20" w:right="120" w:firstLine="1505"/>
        <w:spacing w:after="0" w:line="239" w:lineRule="auto"/>
        <w:tabs>
          <w:tab w:leader="none" w:pos="19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Non-Digitized Theatres</w:t>
      </w:r>
      <w:r>
        <w:rPr>
          <w:rFonts w:ascii="Times New Roman" w:cs="Times New Roman" w:eastAsia="Times New Roman" w:hAnsi="Times New Roman"/>
          <w:sz w:val="22"/>
          <w:szCs w:val="22"/>
          <w:color w:val="auto"/>
        </w:rPr>
        <w:t>. Non-Digitized Theatres will not participate in, nor will LLC be obligated to provide to any Non-Digitized Theatre, the Pre-Feature Program or any other Advertising Services without LLC’s prior written consent. AMC will use commercially reasonable efforts to convert any existing or future acquired Non-Digitized Theatres to Digitized Theatres.</w:t>
      </w:r>
    </w:p>
    <w:p>
      <w:pPr>
        <w:spacing w:after="0" w:line="180" w:lineRule="exact"/>
        <w:rPr>
          <w:rFonts w:ascii="Times New Roman" w:cs="Times New Roman" w:eastAsia="Times New Roman" w:hAnsi="Times New Roman"/>
          <w:sz w:val="22"/>
          <w:szCs w:val="22"/>
          <w:color w:val="auto"/>
        </w:rPr>
      </w:pPr>
    </w:p>
    <w:p>
      <w:pPr>
        <w:ind w:left="-20" w:right="120" w:firstLine="1505"/>
        <w:spacing w:after="0" w:line="258" w:lineRule="auto"/>
        <w:tabs>
          <w:tab w:leader="none" w:pos="19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Lobby Promotions</w:t>
      </w:r>
      <w:r>
        <w:rPr>
          <w:rFonts w:ascii="Times New Roman" w:cs="Times New Roman" w:eastAsia="Times New Roman" w:hAnsi="Times New Roman"/>
          <w:sz w:val="22"/>
          <w:szCs w:val="22"/>
          <w:color w:val="auto"/>
        </w:rPr>
        <w:t xml:space="preserve">. LLC shall provide Lobby Promotions to Theatres and Theatres shall participate in Lobby Promotions as described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20" w:right="120" w:firstLine="1505"/>
        <w:spacing w:after="0" w:line="244" w:lineRule="auto"/>
        <w:tabs>
          <w:tab w:leader="none" w:pos="190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The Parties agree that the rights and obligations to provide and participate in elements of the Advertising Services, as set forth immediately above, may be modified during the Term upon mutual written agreement of the Parties.</w:t>
      </w:r>
    </w:p>
    <w:p>
      <w:pPr>
        <w:spacing w:after="0" w:line="173" w:lineRule="exact"/>
        <w:rPr>
          <w:rFonts w:ascii="Times New Roman" w:cs="Times New Roman" w:eastAsia="Times New Roman" w:hAnsi="Times New Roman"/>
          <w:sz w:val="22"/>
          <w:szCs w:val="22"/>
          <w:color w:val="auto"/>
        </w:rPr>
      </w:pPr>
    </w:p>
    <w:p>
      <w:pPr>
        <w:jc w:val="both"/>
        <w:ind w:left="-20" w:right="120" w:firstLine="1505"/>
        <w:spacing w:after="0" w:line="244" w:lineRule="auto"/>
        <w:tabs>
          <w:tab w:leader="none" w:pos="192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to Transfer Theatres</w:t>
      </w:r>
      <w:r>
        <w:rPr>
          <w:rFonts w:ascii="Times New Roman" w:cs="Times New Roman" w:eastAsia="Times New Roman" w:hAnsi="Times New Roman"/>
          <w:sz w:val="22"/>
          <w:szCs w:val="22"/>
          <w:color w:val="auto"/>
        </w:rPr>
        <w:t>. The Parties agree that nothing in this Agreement is intended to, nor shall, bind or otherwise limit AMC’s or its Affiliates’ rights and abilities in its sole discretion from time to time to close, sell, acquire or otherwise transfer any interest in (including by mortgage or otherwise) any theatre.</w:t>
      </w:r>
    </w:p>
    <w:p>
      <w:pPr>
        <w:spacing w:after="0" w:line="169"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2.02</w:t>
      </w:r>
      <w:r>
        <w:rPr>
          <w:sz w:val="20"/>
          <w:szCs w:val="20"/>
          <w:color w:val="auto"/>
        </w:rPr>
        <w:tab/>
      </w:r>
      <w:r>
        <w:rPr>
          <w:rFonts w:ascii="Times New Roman" w:cs="Times New Roman" w:eastAsia="Times New Roman" w:hAnsi="Times New Roman"/>
          <w:sz w:val="21"/>
          <w:szCs w:val="21"/>
          <w:b w:val="1"/>
          <w:bCs w:val="1"/>
          <w:u w:val="single" w:color="auto"/>
          <w:color w:val="auto"/>
        </w:rPr>
        <w:t>Addition of Theatres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 w:right="120" w:firstLine="1505"/>
        <w:spacing w:after="0" w:line="233" w:lineRule="auto"/>
        <w:tabs>
          <w:tab w:leader="none" w:pos="195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Theatres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Schedule 2.02(a)</w:t>
      </w:r>
      <w:r>
        <w:rPr>
          <w:rFonts w:ascii="Times New Roman" w:cs="Times New Roman" w:eastAsia="Times New Roman" w:hAnsi="Times New Roman"/>
          <w:sz w:val="22"/>
          <w:szCs w:val="22"/>
          <w:color w:val="auto"/>
        </w:rPr>
        <w:t xml:space="preserve">, LLC must consent in writing to the provision of Advertising Services to any Additional Theatre. Any Additional Theatre approved by LLC must be equipped to receive the Digital Content Service via the Digital Content Network, may not be a Non-Digitized Theatre (without LLC’s written consent), and shall participate in the Digital Content Service on the terms set forth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AMC will use commercially reasonable efforts to notify LLC at least 90 days prior to the date that AMC anticipates LLC being able to provide Advertising Services to an Additional Theatre, and will include at least the following information: (1) address, (2) the number and types of screens, (3) AMC’s plans to improve or alter the Theatre, and (4) the number of attendees in the Additional Theatre during each of the previous 5 years (or in the case of a newly built theatre, the estimated attendance used by AMC in making the decision to build the theatre and any internal adjustments to that estimate). If LLC does not consent to the provision of Advertising Services to an Additional Theatre, then such Additional Theatre will not be subject to the exclusivity and mandatory participation restrictions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In the event that LLC consents to an Additional Theatre that was previously receiving advertising services from a third-party, </w:t>
      </w:r>
      <w:r>
        <w:rPr>
          <w:rFonts w:ascii="Times New Roman" w:cs="Times New Roman" w:eastAsia="Times New Roman" w:hAnsi="Times New Roman"/>
          <w:sz w:val="22"/>
          <w:szCs w:val="22"/>
          <w:u w:val="single" w:color="auto"/>
          <w:color w:val="auto"/>
        </w:rPr>
        <w:t>Section 4.07</w:t>
      </w:r>
      <w:r>
        <w:rPr>
          <w:rFonts w:ascii="Times New Roman" w:cs="Times New Roman" w:eastAsia="Times New Roman" w:hAnsi="Times New Roman"/>
          <w:sz w:val="22"/>
          <w:szCs w:val="22"/>
          <w:color w:val="auto"/>
        </w:rPr>
        <w:t xml:space="preserve"> will apply.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892175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53" w:name="page54"/>
    <w:bookmarkEnd w:id="53"/>
    <w:p>
      <w:pPr>
        <w:spacing w:after="0" w:line="185" w:lineRule="exact"/>
        <w:rPr>
          <w:sz w:val="20"/>
          <w:szCs w:val="20"/>
          <w:color w:val="auto"/>
        </w:rPr>
      </w:pPr>
    </w:p>
    <w:p>
      <w:pPr>
        <w:jc w:val="both"/>
        <w:ind w:right="120" w:firstLine="1505"/>
        <w:spacing w:after="0" w:line="244" w:lineRule="auto"/>
        <w:tabs>
          <w:tab w:leader="none" w:pos="19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 Party</w:t>
      </w:r>
      <w:r>
        <w:rPr>
          <w:rFonts w:ascii="Times New Roman" w:cs="Times New Roman" w:eastAsia="Times New Roman" w:hAnsi="Times New Roman"/>
          <w:sz w:val="22"/>
          <w:szCs w:val="22"/>
          <w:color w:val="auto"/>
        </w:rPr>
        <w:t>. In the event that an Additional Theatre expected to receive Advertising Services is owned, operated, or managed by an entity that is not a signatory to this Agreement, then AMC will cause such entity to sign a joinder in a form reasonably acceptable to LLC causing such entity to become a Party to this Agreement.</w:t>
      </w:r>
    </w:p>
    <w:p>
      <w:pPr>
        <w:spacing w:after="0" w:line="16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2.03</w:t>
      </w:r>
      <w:r>
        <w:rPr>
          <w:sz w:val="20"/>
          <w:szCs w:val="20"/>
          <w:color w:val="auto"/>
        </w:rPr>
        <w:tab/>
      </w:r>
      <w:r>
        <w:rPr>
          <w:rFonts w:ascii="Times New Roman" w:cs="Times New Roman" w:eastAsia="Times New Roman" w:hAnsi="Times New Roman"/>
          <w:sz w:val="21"/>
          <w:szCs w:val="21"/>
          <w:b w:val="1"/>
          <w:bCs w:val="1"/>
          <w:u w:val="single" w:color="auto"/>
          <w:color w:val="auto"/>
        </w:rPr>
        <w:t>Disposition of Theatres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4"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AMC shall provide LLC prompt written notice after the sale, transfer, permanent closure or other disposition of a Theatre (other than as the result of a Permitted Transfer) or the permanent loss of any Theatre lease (a “</w:t>
      </w:r>
      <w:r>
        <w:rPr>
          <w:rFonts w:ascii="Times New Roman" w:cs="Times New Roman" w:eastAsia="Times New Roman" w:hAnsi="Times New Roman"/>
          <w:sz w:val="22"/>
          <w:szCs w:val="22"/>
          <w:b w:val="1"/>
          <w:bCs w:val="1"/>
          <w:color w:val="auto"/>
        </w:rPr>
        <w:t>Disposition</w:t>
      </w:r>
      <w:r>
        <w:rPr>
          <w:rFonts w:ascii="Times New Roman" w:cs="Times New Roman" w:eastAsia="Times New Roman" w:hAnsi="Times New Roman"/>
          <w:sz w:val="22"/>
          <w:szCs w:val="22"/>
          <w:color w:val="auto"/>
        </w:rPr>
        <w:t>”). The decision to sell, close or otherwise dispose of any Theatre shall be in AMC’s sole and absolute discretion. Any such Theatre shall cease to be a Theatre for all purposes under this Agreement; and, if so determined by AMC and agreed by LLC (which agreement shall not be unreasonably or untimely withheld), then unless LLC and the applicable third party(ies) enter into an agreement for LLC to provide advertising services, then the Parties will agree on a date and time at which LLC shall be permitted to enter the affected Theatre(s) and remove any LLC Property. In the event LLC fails to remove any LLC Property within the timeframe the Parties agree upon for such removal, AMC or such third-party transferee shall have the right to remove and dispose of such LLC Property in its sole discretion; provided that any Software included in the LLC Property shall be removed and returned to LLC at LLC’s expense.</w:t>
      </w:r>
    </w:p>
    <w:p>
      <w:pPr>
        <w:spacing w:after="0" w:line="17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2.04 </w:t>
      </w:r>
      <w:r>
        <w:rPr>
          <w:rFonts w:ascii="Times New Roman" w:cs="Times New Roman" w:eastAsia="Times New Roman" w:hAnsi="Times New Roman"/>
          <w:sz w:val="21"/>
          <w:szCs w:val="21"/>
          <w:b w:val="1"/>
          <w:bCs w:val="1"/>
          <w:u w:val="single" w:color="auto"/>
          <w:color w:val="auto"/>
        </w:rPr>
        <w:t>Mandatory Participation</w:t>
      </w:r>
      <w:r>
        <w:rPr>
          <w:rFonts w:ascii="Times New Roman" w:cs="Times New Roman" w:eastAsia="Times New Roman" w:hAnsi="Times New Roman"/>
          <w:sz w:val="21"/>
          <w:szCs w:val="21"/>
          <w:color w:val="auto"/>
        </w:rPr>
        <w:t>. Mandatory Participation. During the Term, except as expressly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including </w:t>
      </w:r>
      <w:r>
        <w:rPr>
          <w:rFonts w:ascii="Times New Roman" w:cs="Times New Roman" w:eastAsia="Times New Roman" w:hAnsi="Times New Roman"/>
          <w:sz w:val="21"/>
          <w:szCs w:val="21"/>
          <w:u w:val="single" w:color="auto"/>
          <w:color w:val="auto"/>
        </w:rPr>
        <w:t>Sections 4.01(b)</w:t>
      </w:r>
      <w:r>
        <w:rPr>
          <w:rFonts w:ascii="Times New Roman" w:cs="Times New Roman" w:eastAsia="Times New Roman" w:hAnsi="Times New Roman"/>
          <w:sz w:val="21"/>
          <w:szCs w:val="21"/>
          <w:color w:val="auto"/>
        </w:rPr>
        <w:t xml:space="preserve"> (Pre-Feature Programs), </w:t>
      </w:r>
      <w:r>
        <w:rPr>
          <w:rFonts w:ascii="Times New Roman" w:cs="Times New Roman" w:eastAsia="Times New Roman" w:hAnsi="Times New Roman"/>
          <w:sz w:val="21"/>
          <w:szCs w:val="21"/>
          <w:u w:val="single" w:color="auto"/>
          <w:color w:val="auto"/>
        </w:rPr>
        <w:t>4.04</w:t>
      </w:r>
      <w:r>
        <w:rPr>
          <w:rFonts w:ascii="Times New Roman" w:cs="Times New Roman" w:eastAsia="Times New Roman" w:hAnsi="Times New Roman"/>
          <w:sz w:val="21"/>
          <w:szCs w:val="21"/>
          <w:color w:val="auto"/>
        </w:rPr>
        <w:t xml:space="preserve"> (Policy Trailer; Branded Slots), </w:t>
      </w:r>
      <w:r>
        <w:rPr>
          <w:rFonts w:ascii="Times New Roman" w:cs="Times New Roman" w:eastAsia="Times New Roman" w:hAnsi="Times New Roman"/>
          <w:sz w:val="21"/>
          <w:szCs w:val="21"/>
          <w:u w:val="single" w:color="auto"/>
          <w:color w:val="auto"/>
        </w:rPr>
        <w:t>4.05(a)</w:t>
      </w:r>
      <w:r>
        <w:rPr>
          <w:rFonts w:ascii="Times New Roman" w:cs="Times New Roman" w:eastAsia="Times New Roman" w:hAnsi="Times New Roman"/>
          <w:sz w:val="21"/>
          <w:szCs w:val="21"/>
          <w:color w:val="auto"/>
        </w:rPr>
        <w:t xml:space="preserve"> (Beverage Agreements), </w:t>
      </w:r>
      <w:r>
        <w:rPr>
          <w:rFonts w:ascii="Times New Roman" w:cs="Times New Roman" w:eastAsia="Times New Roman" w:hAnsi="Times New Roman"/>
          <w:sz w:val="21"/>
          <w:szCs w:val="21"/>
          <w:u w:val="single" w:color="auto"/>
          <w:color w:val="auto"/>
        </w:rPr>
        <w:t>4.06</w:t>
      </w:r>
      <w:r>
        <w:rPr>
          <w:rFonts w:ascii="Times New Roman" w:cs="Times New Roman" w:eastAsia="Times New Roman" w:hAnsi="Times New Roman"/>
          <w:sz w:val="21"/>
          <w:szCs w:val="21"/>
          <w:color w:val="auto"/>
        </w:rPr>
        <w:t xml:space="preserve"> (Other AMC Advertising Agreements), </w:t>
      </w:r>
      <w:r>
        <w:rPr>
          <w:rFonts w:ascii="Times New Roman" w:cs="Times New Roman" w:eastAsia="Times New Roman" w:hAnsi="Times New Roman"/>
          <w:sz w:val="21"/>
          <w:szCs w:val="21"/>
          <w:u w:val="single" w:color="auto"/>
          <w:color w:val="auto"/>
        </w:rPr>
        <w:t>4.07</w:t>
      </w:r>
      <w:r>
        <w:rPr>
          <w:rFonts w:ascii="Times New Roman" w:cs="Times New Roman" w:eastAsia="Times New Roman" w:hAnsi="Times New Roman"/>
          <w:sz w:val="21"/>
          <w:szCs w:val="21"/>
          <w:color w:val="auto"/>
        </w:rPr>
        <w:t xml:space="preserve"> (AMC Run-Out Obligations), </w:t>
      </w:r>
      <w:r>
        <w:rPr>
          <w:rFonts w:ascii="Times New Roman" w:cs="Times New Roman" w:eastAsia="Times New Roman" w:hAnsi="Times New Roman"/>
          <w:sz w:val="21"/>
          <w:szCs w:val="21"/>
          <w:u w:val="single" w:color="auto"/>
          <w:color w:val="auto"/>
        </w:rPr>
        <w:t>4.10(b)</w:t>
      </w:r>
      <w:r>
        <w:rPr>
          <w:rFonts w:ascii="Times New Roman" w:cs="Times New Roman" w:eastAsia="Times New Roman" w:hAnsi="Times New Roman"/>
          <w:sz w:val="21"/>
          <w:szCs w:val="21"/>
          <w:color w:val="auto"/>
        </w:rPr>
        <w:t xml:space="preserve"> (Event Trailers), </w:t>
      </w:r>
      <w:r>
        <w:rPr>
          <w:rFonts w:ascii="Times New Roman" w:cs="Times New Roman" w:eastAsia="Times New Roman" w:hAnsi="Times New Roman"/>
          <w:sz w:val="21"/>
          <w:szCs w:val="21"/>
          <w:u w:val="single" w:color="auto"/>
          <w:color w:val="auto"/>
        </w:rPr>
        <w:t>4.16(a)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(Digital Programming Event Simulcast), </w:t>
      </w:r>
      <w:r>
        <w:rPr>
          <w:rFonts w:ascii="Times New Roman" w:cs="Times New Roman" w:eastAsia="Times New Roman" w:hAnsi="Times New Roman"/>
          <w:sz w:val="21"/>
          <w:szCs w:val="21"/>
          <w:u w:val="single" w:color="auto"/>
          <w:color w:val="auto"/>
        </w:rPr>
        <w:t>4.17</w:t>
      </w:r>
      <w:r>
        <w:rPr>
          <w:rFonts w:ascii="Times New Roman" w:cs="Times New Roman" w:eastAsia="Times New Roman" w:hAnsi="Times New Roman"/>
          <w:sz w:val="21"/>
          <w:szCs w:val="21"/>
          <w:color w:val="auto"/>
        </w:rPr>
        <w:t xml:space="preserve"> (Event Sponsorships; Sponsor Message),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(Description of Advertising Services), and </w:t>
      </w:r>
      <w:r>
        <w:rPr>
          <w:rFonts w:ascii="Times New Roman" w:cs="Times New Roman" w:eastAsia="Times New Roman" w:hAnsi="Times New Roman"/>
          <w:sz w:val="21"/>
          <w:szCs w:val="21"/>
          <w:u w:val="single" w:color="auto"/>
          <w:color w:val="auto"/>
        </w:rPr>
        <w:t>Addendum A</w:t>
      </w:r>
      <w:r>
        <w:rPr>
          <w:rFonts w:ascii="Times New Roman" w:cs="Times New Roman" w:eastAsia="Times New Roman" w:hAnsi="Times New Roman"/>
          <w:sz w:val="21"/>
          <w:szCs w:val="21"/>
          <w:color w:val="auto"/>
        </w:rPr>
        <w:t xml:space="preserve"> (Lobby Entertainment Program and Lobby Promotions), AMC shall subscribe for and LLC shall be the exclusive provider to the Theatres of the services specifically set forth in the definition of the “Advertising Services.” Except as expressly provided in this Agreement, during the Term, AMC shall neither engage nor permit a third party (excluding third party designees of LLC as provided hereunder) to provide, or itself provide, to a Theatre any of the services specifically set forth in the definition of “Advertising Services”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Nothing in this Agreement shall limit or affect (i) LLC’s ability to contract or enter into any relationship with any Person or entity for any product, service, or otherwise, whether or not similar to any products or services provided by LLC under this Agreement, or (ii) AMC’s ability to contract or enter into any relationship with any Person or entity for any product, service, or otherwise, other than the services that will be provided exclusively by LLC as set forth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All rights with respect to advertising and promotions not explicitly granted hereunder are reserved to AMC, including without limitation AMC’s ability to offer and sell advertising to any third party on any website on the Internet, its telephone ticketing service or other alternative media sources used for ticketing.</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2.05</w:t>
      </w:r>
      <w:r>
        <w:rPr>
          <w:sz w:val="20"/>
          <w:szCs w:val="20"/>
          <w:color w:val="auto"/>
        </w:rPr>
        <w:tab/>
      </w:r>
      <w:r>
        <w:rPr>
          <w:rFonts w:ascii="Times New Roman" w:cs="Times New Roman" w:eastAsia="Times New Roman" w:hAnsi="Times New Roman"/>
          <w:sz w:val="21"/>
          <w:szCs w:val="21"/>
          <w:b w:val="1"/>
          <w:bCs w:val="1"/>
          <w:u w:val="single" w:color="auto"/>
          <w:color w:val="auto"/>
        </w:rPr>
        <w:t>Revenue Share; Minimum Guarantee; Theatre Maintenance Fee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44" w:lineRule="auto"/>
        <w:tabs>
          <w:tab w:leader="none" w:pos="19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In consideration for the exclusive right to provide the Advertising Services, with respect to each Fiscal Year, LLC shall pay AMC (1) an amount equal to the greater of (i) the Revenue Share, and (ii) the aggregate Annual Minimum Guarantee with respect to such Fiscal Year, plus (2) the (i) Platinum Spot Revenue Share, (ii) the Lobby</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 xml:space="preserve">Revenue Share, and (iii) Political Revenue Share. The Revenue Share payment for the 2025 Fiscal Year is addressed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2.05(b)(ii)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120" w:firstLine="1505"/>
        <w:spacing w:after="0" w:line="235" w:lineRule="auto"/>
        <w:tabs>
          <w:tab w:leader="none" w:pos="194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Revenue Share</w:t>
      </w:r>
      <w:r>
        <w:rPr>
          <w:rFonts w:ascii="Times New Roman" w:cs="Times New Roman" w:eastAsia="Times New Roman" w:hAnsi="Times New Roman"/>
          <w:sz w:val="22"/>
          <w:szCs w:val="22"/>
          <w:color w:val="auto"/>
        </w:rPr>
        <w:t>. The revenue share amount (excluding the Platinum Spot, Lobby Revenue, or Political Advertising) (the “</w:t>
      </w:r>
      <w:r>
        <w:rPr>
          <w:rFonts w:ascii="Times New Roman" w:cs="Times New Roman" w:eastAsia="Times New Roman" w:hAnsi="Times New Roman"/>
          <w:sz w:val="22"/>
          <w:szCs w:val="22"/>
          <w:b w:val="1"/>
          <w:bCs w:val="1"/>
          <w:color w:val="auto"/>
        </w:rPr>
        <w:t>Revenue Share</w:t>
      </w:r>
      <w:r>
        <w:rPr>
          <w:rFonts w:ascii="Times New Roman" w:cs="Times New Roman" w:eastAsia="Times New Roman" w:hAnsi="Times New Roman"/>
          <w:sz w:val="22"/>
          <w:szCs w:val="22"/>
          <w:color w:val="auto"/>
        </w:rPr>
        <w:t xml:space="preserve">”) to be paid for a specific AMC Revenue per Attendee Range pursuant to </w:t>
      </w:r>
      <w:r>
        <w:rPr>
          <w:rFonts w:ascii="Times New Roman" w:cs="Times New Roman" w:eastAsia="Times New Roman" w:hAnsi="Times New Roman"/>
          <w:sz w:val="22"/>
          <w:szCs w:val="22"/>
          <w:u w:val="single" w:color="auto"/>
          <w:color w:val="auto"/>
        </w:rPr>
        <w:t>Section 2.05(a)</w:t>
      </w:r>
      <w:r>
        <w:rPr>
          <w:rFonts w:ascii="Times New Roman" w:cs="Times New Roman" w:eastAsia="Times New Roman" w:hAnsi="Times New Roman"/>
          <w:sz w:val="22"/>
          <w:szCs w:val="22"/>
          <w:color w:val="auto"/>
        </w:rPr>
        <w:t xml:space="preserve"> will be determined by calculating the product of: (i) the AMC Attendance for the applicable period, multiplied by (ii) the sum of the product of AMC Revenue per Attendee multiplied by the Revenue Share Percentage for each applicable Level set forth in the grid below (the “</w:t>
      </w:r>
      <w:r>
        <w:rPr>
          <w:rFonts w:ascii="Times New Roman" w:cs="Times New Roman" w:eastAsia="Times New Roman" w:hAnsi="Times New Roman"/>
          <w:sz w:val="22"/>
          <w:szCs w:val="22"/>
          <w:b w:val="1"/>
          <w:bCs w:val="1"/>
          <w:color w:val="auto"/>
        </w:rPr>
        <w:t>AMC Revenue per Attendee Grid</w:t>
      </w:r>
      <w:r>
        <w:rPr>
          <w:rFonts w:ascii="Times New Roman" w:cs="Times New Roman" w:eastAsia="Times New Roman" w:hAnsi="Times New Roman"/>
          <w:sz w:val="22"/>
          <w:szCs w:val="22"/>
          <w:color w:val="auto"/>
        </w:rPr>
        <w:t>”). The Revenue Share for each level in the AMC Revenue per Attendee Grid shall only be calculated based upon the revenue included in each range and the amount of each grid level shall be added together to calculate the final Revenue Share amount.</w:t>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140" w:type="dxa"/>
            <w:vAlign w:val="bottom"/>
            <w:tcBorders>
              <w:top w:val="single" w:sz="8" w:color="auto"/>
              <w:left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color w:val="auto"/>
              </w:rPr>
              <w:t>Level</w:t>
            </w:r>
          </w:p>
        </w:tc>
        <w:tc>
          <w:tcPr>
            <w:tcW w:w="4480" w:type="dxa"/>
            <w:vAlign w:val="bottom"/>
            <w:tcBorders>
              <w:top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color w:val="auto"/>
              </w:rPr>
              <w:t>AMC Revenue per Attendee Range</w:t>
            </w:r>
          </w:p>
        </w:tc>
        <w:tc>
          <w:tcPr>
            <w:tcW w:w="2820" w:type="dxa"/>
            <w:vAlign w:val="bottom"/>
            <w:tcBorders>
              <w:top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color w:val="auto"/>
              </w:rPr>
              <w:t>Revenue Share Percentage</w:t>
            </w:r>
          </w:p>
        </w:tc>
        <w:tc>
          <w:tcPr>
            <w:tcW w:w="2800" w:type="dxa"/>
            <w:vAlign w:val="bottom"/>
            <w:tcBorders>
              <w:top w:val="single" w:sz="8" w:color="auto"/>
              <w:right w:val="single" w:sz="8" w:color="auto"/>
            </w:tcBorders>
          </w:tcPr>
          <w:p>
            <w:pPr>
              <w:ind w:left="120"/>
              <w:spacing w:after="0" w:line="232" w:lineRule="exact"/>
              <w:rPr>
                <w:sz w:val="20"/>
                <w:szCs w:val="20"/>
                <w:color w:val="auto"/>
              </w:rPr>
            </w:pPr>
            <w:r>
              <w:rPr>
                <w:rFonts w:ascii="Times New Roman" w:cs="Times New Roman" w:eastAsia="Times New Roman" w:hAnsi="Times New Roman"/>
                <w:sz w:val="22"/>
                <w:szCs w:val="22"/>
                <w:color w:val="auto"/>
              </w:rPr>
              <w:t>Maximum Fee per Attendee</w:t>
            </w:r>
          </w:p>
        </w:tc>
      </w:tr>
      <w:tr>
        <w:trPr>
          <w:trHeight w:val="287"/>
        </w:trPr>
        <w:tc>
          <w:tcPr>
            <w:tcW w:w="1140" w:type="dxa"/>
            <w:vAlign w:val="bottom"/>
            <w:tcBorders>
              <w:left w:val="single" w:sz="8" w:color="auto"/>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for the Level</w:t>
            </w:r>
          </w:p>
        </w:tc>
      </w:tr>
      <w:tr>
        <w:trPr>
          <w:trHeight w:val="220"/>
        </w:trPr>
        <w:tc>
          <w:tcPr>
            <w:tcW w:w="114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1</w:t>
            </w:r>
          </w:p>
        </w:tc>
        <w:tc>
          <w:tcPr>
            <w:tcW w:w="448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Up to $[***]</w:t>
            </w:r>
          </w:p>
        </w:tc>
        <w:tc>
          <w:tcPr>
            <w:tcW w:w="282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09"/>
        </w:trPr>
        <w:tc>
          <w:tcPr>
            <w:tcW w:w="114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2</w:t>
            </w:r>
          </w:p>
        </w:tc>
        <w:tc>
          <w:tcPr>
            <w:tcW w:w="448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Greater than $[***] and less than or equal to</w:t>
            </w:r>
          </w:p>
        </w:tc>
        <w:tc>
          <w:tcPr>
            <w:tcW w:w="282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w:t>
            </w:r>
          </w:p>
        </w:tc>
      </w:tr>
      <w:tr>
        <w:trPr>
          <w:trHeight w:val="270"/>
        </w:trPr>
        <w:tc>
          <w:tcPr>
            <w:tcW w:w="1140" w:type="dxa"/>
            <w:vAlign w:val="bottom"/>
            <w:tcBorders>
              <w:bottom w:val="single" w:sz="8" w:color="auto"/>
              <w:right w:val="single" w:sz="8" w:color="auto"/>
            </w:tcBorders>
          </w:tcPr>
          <w:p>
            <w:pPr>
              <w:spacing w:after="0"/>
              <w:rPr>
                <w:sz w:val="23"/>
                <w:szCs w:val="23"/>
                <w:color w:val="auto"/>
              </w:rPr>
            </w:pPr>
          </w:p>
        </w:tc>
        <w:tc>
          <w:tcPr>
            <w:tcW w:w="44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p>
        </w:tc>
        <w:tc>
          <w:tcPr>
            <w:tcW w:w="282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r>
      <w:tr>
        <w:trPr>
          <w:trHeight w:val="236"/>
        </w:trPr>
        <w:tc>
          <w:tcPr>
            <w:tcW w:w="114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3</w:t>
            </w:r>
          </w:p>
        </w:tc>
        <w:tc>
          <w:tcPr>
            <w:tcW w:w="448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Greater than $[***]</w:t>
            </w:r>
          </w:p>
        </w:tc>
        <w:tc>
          <w:tcPr>
            <w:tcW w:w="282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N/A</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are illustrative examples calculating the Revenue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2254"/>
        <w:spacing w:after="0" w:line="258" w:lineRule="auto"/>
        <w:tabs>
          <w:tab w:leader="none" w:pos="273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 Attributable Revenue</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 the following capitalized terms shall have the meanings specified below:</w:t>
      </w:r>
    </w:p>
    <w:p>
      <w:pPr>
        <w:spacing w:after="0" w:line="154" w:lineRule="exact"/>
        <w:rPr>
          <w:rFonts w:ascii="Times New Roman" w:cs="Times New Roman" w:eastAsia="Times New Roman" w:hAnsi="Times New Roman"/>
          <w:sz w:val="22"/>
          <w:szCs w:val="22"/>
          <w:color w:val="auto"/>
        </w:rPr>
      </w:pPr>
    </w:p>
    <w:p>
      <w:pPr>
        <w:jc w:val="both"/>
        <w:ind w:left="1500" w:right="120" w:firstLine="1503"/>
        <w:spacing w:after="0" w:line="241" w:lineRule="auto"/>
        <w:tabs>
          <w:tab w:leader="none" w:pos="34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Attributable Revenue</w:t>
      </w:r>
      <w:r>
        <w:rPr>
          <w:rFonts w:ascii="Times New Roman" w:cs="Times New Roman" w:eastAsia="Times New Roman" w:hAnsi="Times New Roman"/>
          <w:sz w:val="22"/>
          <w:szCs w:val="22"/>
          <w:color w:val="auto"/>
        </w:rPr>
        <w:t>” means the sum of the aggregate product of (A) LLC Net Revenue per Attendee (excluding the LLC Platinum Spot Attributable Revenue, AMC Attributable Lobby Revenues and the LLC Political Attributable Revenue), multiplied by (B) AMC Campaign Attendance for each advertising campaign displayed in the Theatres.</w:t>
      </w:r>
    </w:p>
    <w:p>
      <w:pPr>
        <w:spacing w:after="0" w:line="171" w:lineRule="exact"/>
        <w:rPr>
          <w:rFonts w:ascii="Times New Roman" w:cs="Times New Roman" w:eastAsia="Times New Roman" w:hAnsi="Times New Roman"/>
          <w:sz w:val="22"/>
          <w:szCs w:val="22"/>
          <w:color w:val="auto"/>
        </w:rPr>
      </w:pPr>
    </w:p>
    <w:p>
      <w:pPr>
        <w:ind w:left="1500" w:right="120" w:firstLine="1503"/>
        <w:spacing w:after="0" w:line="262" w:lineRule="auto"/>
        <w:tabs>
          <w:tab w:leader="none" w:pos="34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AMC Campaign Attendance</w:t>
      </w:r>
      <w:r>
        <w:rPr>
          <w:rFonts w:ascii="Times New Roman" w:cs="Times New Roman" w:eastAsia="Times New Roman" w:hAnsi="Times New Roman"/>
          <w:sz w:val="22"/>
          <w:szCs w:val="22"/>
          <w:color w:val="auto"/>
        </w:rPr>
        <w:t>” means, for each advertising or promotional content campaign, the aggregate AMC Attendance delivered for such campaign.</w:t>
      </w:r>
    </w:p>
    <w:p>
      <w:pPr>
        <w:spacing w:after="0" w:line="149" w:lineRule="exact"/>
        <w:rPr>
          <w:rFonts w:ascii="Times New Roman" w:cs="Times New Roman" w:eastAsia="Times New Roman" w:hAnsi="Times New Roman"/>
          <w:sz w:val="22"/>
          <w:szCs w:val="22"/>
          <w:color w:val="auto"/>
        </w:rPr>
      </w:pPr>
    </w:p>
    <w:p>
      <w:pPr>
        <w:jc w:val="both"/>
        <w:ind w:left="1500" w:right="120" w:firstLine="1503"/>
        <w:spacing w:after="0" w:line="241" w:lineRule="auto"/>
        <w:tabs>
          <w:tab w:leader="none" w:pos="34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LLC Net Revenue per Attendee</w:t>
      </w:r>
      <w:r>
        <w:rPr>
          <w:rFonts w:ascii="Times New Roman" w:cs="Times New Roman" w:eastAsia="Times New Roman" w:hAnsi="Times New Roman"/>
          <w:sz w:val="22"/>
          <w:szCs w:val="22"/>
          <w:color w:val="auto"/>
        </w:rPr>
        <w:t xml:space="preserve">” means, for each advertising or promotional content campaign, the quotient of (i) (a) Net Revenue for such campaign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any Net Revenue directly related to the Platinum Spot, Lobby Promotions, Lobby Entertainment Program or Political Advertising, divided by (B) Total Campaign Attendance.</w:t>
      </w:r>
    </w:p>
    <w:p>
      <w:pPr>
        <w:spacing w:after="0" w:line="171" w:lineRule="exact"/>
        <w:rPr>
          <w:rFonts w:ascii="Times New Roman" w:cs="Times New Roman" w:eastAsia="Times New Roman" w:hAnsi="Times New Roman"/>
          <w:sz w:val="22"/>
          <w:szCs w:val="22"/>
          <w:color w:val="auto"/>
        </w:rPr>
      </w:pPr>
    </w:p>
    <w:p>
      <w:pPr>
        <w:jc w:val="both"/>
        <w:ind w:left="1500" w:right="120" w:firstLine="1503"/>
        <w:spacing w:after="0" w:line="246" w:lineRule="auto"/>
        <w:tabs>
          <w:tab w:leader="none" w:pos="34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Total Campaign Attendance</w:t>
      </w:r>
      <w:r>
        <w:rPr>
          <w:rFonts w:ascii="Times New Roman" w:cs="Times New Roman" w:eastAsia="Times New Roman" w:hAnsi="Times New Roman"/>
          <w:sz w:val="22"/>
          <w:szCs w:val="22"/>
          <w:color w:val="auto"/>
        </w:rPr>
        <w:t>” means, for each advertising or promotional content campaign, the aggregate admissions from LLC’s network delivered for such campaign, including, for the avoidance of doubt, the AMC Attendance.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5" w:lineRule="exact"/>
        <w:rPr>
          <w:sz w:val="20"/>
          <w:szCs w:val="20"/>
          <w:color w:val="auto"/>
        </w:rPr>
      </w:pPr>
    </w:p>
    <w:p>
      <w:pPr>
        <w:jc w:val="both"/>
        <w:ind w:firstLine="2254"/>
        <w:spacing w:after="0" w:line="235" w:lineRule="auto"/>
        <w:tabs>
          <w:tab w:leader="none" w:pos="267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2025 Fiscal Year</w:t>
      </w:r>
      <w:r>
        <w:rPr>
          <w:rFonts w:ascii="Times New Roman" w:cs="Times New Roman" w:eastAsia="Times New Roman" w:hAnsi="Times New Roman"/>
          <w:sz w:val="22"/>
          <w:szCs w:val="22"/>
          <w:color w:val="auto"/>
        </w:rPr>
        <w:t xml:space="preserve">. For the 2025 Fiscal Year, AMC will only be paid a Revenue Share related to the time period beginning on the Effective Date and ending at the end of the 2025 Fiscal Year. The AMC Revenue per Attendee for the 2025 Fiscal Year will be calculated based on the AMC Attributable Revenue and AMC Attendance for the entire 2025 Fiscal Year, but AMC will only be paid a Revenue Share for the AMC Attendance beginning on the Effective Date. AMC has no right to a Revenue Share associated with any AMC Attendance or advertising prior to the Effective Date. LLC will deliver the reporting required by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for the time period beginning on the first day of the 2025 Fiscal Year and ending on June 30, 2025 with the reporting for the 3rd fiscal quarter of 2025. The following are illustrative examples calculating the Revenue Share for the 2025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7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Platinum Spot Revenue Share</w:t>
      </w:r>
      <w:r>
        <w:rPr>
          <w:rFonts w:ascii="Times New Roman" w:cs="Times New Roman" w:eastAsia="Times New Roman" w:hAnsi="Times New Roman"/>
          <w:sz w:val="22"/>
          <w:szCs w:val="22"/>
          <w:color w:val="auto"/>
        </w:rPr>
        <w:t>. The revenue share amount associated with the AMC Platinum Spot Attributable Revenue (the “</w:t>
      </w:r>
      <w:r>
        <w:rPr>
          <w:rFonts w:ascii="Times New Roman" w:cs="Times New Roman" w:eastAsia="Times New Roman" w:hAnsi="Times New Roman"/>
          <w:sz w:val="22"/>
          <w:szCs w:val="22"/>
          <w:b w:val="1"/>
          <w:bCs w:val="1"/>
          <w:color w:val="auto"/>
        </w:rPr>
        <w:t>Platinum Spot Revenue Share</w:t>
      </w:r>
      <w:r>
        <w:rPr>
          <w:rFonts w:ascii="Times New Roman" w:cs="Times New Roman" w:eastAsia="Times New Roman" w:hAnsi="Times New Roman"/>
          <w:sz w:val="22"/>
          <w:szCs w:val="22"/>
          <w:color w:val="auto"/>
        </w:rPr>
        <w:t xml:space="preserve">”) will be determined by calculating the product of: (i) the AMC Attendance that views the Platinum Spot for the applicable period, multiplied by (ii) the product of AMC Platinum Spot Revenue per Attendee multiplied by [***]. The Platinum Spot Revenue Share will be payable quarterly within 30 days following the delivery of the reporting described in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firstLine="2254"/>
        <w:spacing w:after="0" w:line="258" w:lineRule="auto"/>
        <w:tabs>
          <w:tab w:leader="none" w:pos="26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 Platinum Spot Attributable Revenue</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2.05(b)</w:t>
      </w:r>
      <w:r>
        <w:rPr>
          <w:rFonts w:ascii="Times New Roman" w:cs="Times New Roman" w:eastAsia="Times New Roman" w:hAnsi="Times New Roman"/>
          <w:sz w:val="22"/>
          <w:szCs w:val="22"/>
          <w:color w:val="auto"/>
        </w:rPr>
        <w:t>, the following capitalized terms shall have the meanings specified below:</w:t>
      </w:r>
    </w:p>
    <w:p>
      <w:pPr>
        <w:spacing w:after="0" w:line="154" w:lineRule="exact"/>
        <w:rPr>
          <w:rFonts w:ascii="Times New Roman" w:cs="Times New Roman" w:eastAsia="Times New Roman" w:hAnsi="Times New Roman"/>
          <w:sz w:val="22"/>
          <w:szCs w:val="22"/>
          <w:color w:val="auto"/>
        </w:rPr>
      </w:pPr>
    </w:p>
    <w:p>
      <w:pPr>
        <w:jc w:val="both"/>
        <w:ind w:left="1500" w:firstLine="1503"/>
        <w:spacing w:after="0" w:line="246" w:lineRule="auto"/>
        <w:tabs>
          <w:tab w:leader="none" w:pos="34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AMC Platinum Spot Attributable Revenue</w:t>
      </w:r>
      <w:r>
        <w:rPr>
          <w:rFonts w:ascii="Times New Roman" w:cs="Times New Roman" w:eastAsia="Times New Roman" w:hAnsi="Times New Roman"/>
          <w:sz w:val="22"/>
          <w:szCs w:val="22"/>
          <w:color w:val="auto"/>
        </w:rPr>
        <w:t>” means the sum of the aggregate product of (A) LLC Platinum Spot Net Revenue per Attendee, multiplied by (B) AMC Campaign Attendance for each advertising campaign that displayed a Platinum Spot in the Theatres.</w:t>
      </w:r>
    </w:p>
    <w:p>
      <w:pPr>
        <w:spacing w:after="0" w:line="167" w:lineRule="exact"/>
        <w:rPr>
          <w:rFonts w:ascii="Times New Roman" w:cs="Times New Roman" w:eastAsia="Times New Roman" w:hAnsi="Times New Roman"/>
          <w:sz w:val="22"/>
          <w:szCs w:val="22"/>
          <w:color w:val="auto"/>
        </w:rPr>
      </w:pPr>
    </w:p>
    <w:p>
      <w:pPr>
        <w:jc w:val="both"/>
        <w:ind w:left="1500" w:firstLine="1503"/>
        <w:spacing w:after="0" w:line="246" w:lineRule="auto"/>
        <w:tabs>
          <w:tab w:leader="none" w:pos="342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LLC Platinum Spot Net Revenue per Attendee</w:t>
      </w:r>
      <w:r>
        <w:rPr>
          <w:rFonts w:ascii="Times New Roman" w:cs="Times New Roman" w:eastAsia="Times New Roman" w:hAnsi="Times New Roman"/>
          <w:sz w:val="22"/>
          <w:szCs w:val="22"/>
          <w:color w:val="auto"/>
        </w:rPr>
        <w:t>” means, for each advertising or promotional content campaign, the quotient of (i) (a) Net Revenue directly related to the Platinum Spot in an advertising campaign, divided by (B) Total Campaign Attendance.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an illustrative example calculating the Platinum Spot Revenue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4" w:lineRule="auto"/>
        <w:tabs>
          <w:tab w:leader="none" w:pos="19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Revenue Share Reporting</w:t>
      </w:r>
      <w:r>
        <w:rPr>
          <w:rFonts w:ascii="Times New Roman" w:cs="Times New Roman" w:eastAsia="Times New Roman" w:hAnsi="Times New Roman"/>
          <w:sz w:val="22"/>
          <w:szCs w:val="22"/>
          <w:color w:val="auto"/>
        </w:rPr>
        <w:t>. Beginning with LLC’s first fiscal quarter following the Effective Date, within 15 days following each quarterly Securities and Exchange Commission filing by LLC or its Affiliates, or if LLC and its Affiliates are not a publicly reporting entity, 45 days following the end of each fiscal quarter in an applicable Fiscal Year, LLC shall deliver to AMC (i) a report summarizing the AMC Attributable Revenue, AMC Platinum Attributable Revenue, AMC Attributable Lobby Revenue, and AMC Political Attributable Revenue, and (ii) a report comparing the AMC Attributable Revenue, AMC Platinum Attributable Revenue, AMC Attributable Lobby Revenue, and AMC Political Attributable Revenue to LLC’s aggregate Net Revenues (including as may be reported in any such quarterly Securities and Exchange Commission filing, if applicable). The Parties agree that the form of revenue share reporting provided by NCM is acceptable as of the date hereof. If the form of revenue share reporting does not provide sufficient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6" w:name="page57"/>
    <w:bookmarkEnd w:id="56"/>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information to AMC to satisfy its financial reporting requirements, then the Parties will reasonably cooperate on any revisions to the format and content of such reports.</w:t>
      </w:r>
    </w:p>
    <w:p>
      <w:pPr>
        <w:spacing w:after="0" w:line="158" w:lineRule="exact"/>
        <w:rPr>
          <w:sz w:val="20"/>
          <w:szCs w:val="20"/>
          <w:color w:val="auto"/>
        </w:rPr>
      </w:pPr>
    </w:p>
    <w:p>
      <w:pPr>
        <w:jc w:val="both"/>
        <w:ind w:right="120" w:firstLine="1505"/>
        <w:spacing w:after="0" w:line="244" w:lineRule="auto"/>
        <w:tabs>
          <w:tab w:leader="none" w:pos="19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Minimum Guarantee</w:t>
      </w:r>
      <w:r>
        <w:rPr>
          <w:rFonts w:ascii="Times New Roman" w:cs="Times New Roman" w:eastAsia="Times New Roman" w:hAnsi="Times New Roman"/>
          <w:sz w:val="22"/>
          <w:szCs w:val="22"/>
          <w:color w:val="auto"/>
        </w:rPr>
        <w:t>. The minimum guaranteed amount to be paid for the Advertising Services (the “</w:t>
      </w:r>
      <w:r>
        <w:rPr>
          <w:rFonts w:ascii="Times New Roman" w:cs="Times New Roman" w:eastAsia="Times New Roman" w:hAnsi="Times New Roman"/>
          <w:sz w:val="22"/>
          <w:szCs w:val="22"/>
          <w:b w:val="1"/>
          <w:bCs w:val="1"/>
          <w:color w:val="auto"/>
        </w:rPr>
        <w:t>Annual Minimum Guarantee</w:t>
      </w:r>
      <w:r>
        <w:rPr>
          <w:rFonts w:ascii="Times New Roman" w:cs="Times New Roman" w:eastAsia="Times New Roman" w:hAnsi="Times New Roman"/>
          <w:sz w:val="22"/>
          <w:szCs w:val="22"/>
          <w:color w:val="auto"/>
        </w:rPr>
        <w:t>”) shall be (i) $[***] per [***], which amounts shall increase [***] on each anniversary of the Effective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an illustrative example calculating the Annual Minimum Guarantee: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20" w:firstLine="1505"/>
        <w:spacing w:after="0" w:line="233" w:lineRule="auto"/>
        <w:tabs>
          <w:tab w:leader="none" w:pos="195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Revenue Share True-up</w:t>
      </w:r>
      <w:r>
        <w:rPr>
          <w:rFonts w:ascii="Times New Roman" w:cs="Times New Roman" w:eastAsia="Times New Roman" w:hAnsi="Times New Roman"/>
          <w:sz w:val="22"/>
          <w:szCs w:val="22"/>
          <w:color w:val="auto"/>
        </w:rPr>
        <w:t xml:space="preserve">. LLC shall provide AMC with details of the Net Revenue earned by AMC in respect of each Fiscal Year and details of the calculations of the Revenue Share in respect of each such Fiscal Year within 60 days from the end of such Fiscal Year; provided that LLC will use commercially reasonable efforts to provide an estimate of the Net Revenue earned by AMC within 30 days from the end of such Fiscal Year. AMC shall notify LLC of any dispute it has with the applicable Revenue Share calculation no later than 30 days after receipt of the final report. If the sum of the Revenue Share for any Fiscal Year exceeds the Annual Minimum Guarantee payments actually paid by LLC to AMC in respect of such Fiscal Year, then LLC shall (a) pay AMC, by ACH or wire transfer of immediately available funds to a bank account designated by AMC, the difference between the Annual Minimum Guarantee payments actually paid in respect of such Fiscal Year and the applicable Revenue Share and (b) provide AMC confirmation of the initiation of such undisputed payment within 30 days after the confirmation by AMC to LLC that there is no known dispute with the applicable Revenue Share calculation provided by LLC. For purposes of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upon the termination of this Agreement, any annual Revenue Share payment shall be calculated pro-rata for the applicable period of time that has accrued prior to the termination of this Agreement.</w:t>
      </w:r>
    </w:p>
    <w:p>
      <w:pPr>
        <w:spacing w:after="0" w:line="182" w:lineRule="exact"/>
        <w:rPr>
          <w:rFonts w:ascii="Times New Roman" w:cs="Times New Roman" w:eastAsia="Times New Roman" w:hAnsi="Times New Roman"/>
          <w:sz w:val="22"/>
          <w:szCs w:val="22"/>
          <w:color w:val="auto"/>
        </w:rPr>
      </w:pPr>
    </w:p>
    <w:p>
      <w:pPr>
        <w:jc w:val="both"/>
        <w:ind w:right="120" w:firstLine="1505"/>
        <w:spacing w:after="0" w:line="248" w:lineRule="auto"/>
        <w:tabs>
          <w:tab w:leader="none" w:pos="197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Invoicing and Payment Terms of Monthly Totals</w:t>
      </w:r>
      <w:r>
        <w:rPr>
          <w:rFonts w:ascii="Times New Roman" w:cs="Times New Roman" w:eastAsia="Times New Roman" w:hAnsi="Times New Roman"/>
          <w:sz w:val="21"/>
          <w:szCs w:val="21"/>
          <w:color w:val="auto"/>
        </w:rPr>
        <w:t>. AMC will provide LLC with details of the total monthly AMC Attendance [***] per Theatre so that they are actually received by LLC within 5 business days of each of LLC’s month-end during the Term or otherwise as reasonably practical after LLC’s month-end (“</w:t>
      </w:r>
      <w:r>
        <w:rPr>
          <w:rFonts w:ascii="Times New Roman" w:cs="Times New Roman" w:eastAsia="Times New Roman" w:hAnsi="Times New Roman"/>
          <w:sz w:val="21"/>
          <w:szCs w:val="21"/>
          <w:b w:val="1"/>
          <w:bCs w:val="1"/>
          <w:color w:val="auto"/>
        </w:rPr>
        <w:t>Monthly Total</w:t>
      </w:r>
      <w:r>
        <w:rPr>
          <w:rFonts w:ascii="Times New Roman" w:cs="Times New Roman" w:eastAsia="Times New Roman" w:hAnsi="Times New Roman"/>
          <w:sz w:val="21"/>
          <w:szCs w:val="21"/>
          <w:color w:val="auto"/>
        </w:rPr>
        <w:t>”), and the LLC shall calculate the amount owed by it to AMC for such month in respect of the Annual Minimum Guarantee on the basis of such Monthly Total (“</w:t>
      </w:r>
      <w:r>
        <w:rPr>
          <w:rFonts w:ascii="Times New Roman" w:cs="Times New Roman" w:eastAsia="Times New Roman" w:hAnsi="Times New Roman"/>
          <w:sz w:val="21"/>
          <w:szCs w:val="21"/>
          <w:b w:val="1"/>
          <w:bCs w:val="1"/>
          <w:color w:val="auto"/>
        </w:rPr>
        <w:t>Monthly Total Payment</w:t>
      </w:r>
      <w:r>
        <w:rPr>
          <w:rFonts w:ascii="Times New Roman" w:cs="Times New Roman" w:eastAsia="Times New Roman" w:hAnsi="Times New Roman"/>
          <w:sz w:val="21"/>
          <w:szCs w:val="21"/>
          <w:color w:val="auto"/>
        </w:rPr>
        <w:t>”). LLC shall pay AMC the Monthly Total Payment by ACH or wire transfer of immediately available funds to a bank account designated by AMC on the later of the date that is (i) 30 days after receipt of the Monthly Total and (ii) the last day of LLC’s month-end following the month in which AMC provided the Advertising Services.</w:t>
      </w:r>
    </w:p>
    <w:p>
      <w:pPr>
        <w:spacing w:after="0" w:line="170" w:lineRule="exact"/>
        <w:rPr>
          <w:rFonts w:ascii="Times New Roman" w:cs="Times New Roman" w:eastAsia="Times New Roman" w:hAnsi="Times New Roman"/>
          <w:sz w:val="21"/>
          <w:szCs w:val="21"/>
          <w:color w:val="auto"/>
        </w:rPr>
      </w:pPr>
    </w:p>
    <w:p>
      <w:pPr>
        <w:jc w:val="both"/>
        <w:ind w:right="120" w:firstLine="1505"/>
        <w:spacing w:after="0" w:line="239" w:lineRule="auto"/>
        <w:tabs>
          <w:tab w:leader="none" w:pos="195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Theatre Maintenance Fee per Digital Cinema Screen</w:t>
      </w:r>
      <w:r>
        <w:rPr>
          <w:rFonts w:ascii="Times New Roman" w:cs="Times New Roman" w:eastAsia="Times New Roman" w:hAnsi="Times New Roman"/>
          <w:sz w:val="22"/>
          <w:szCs w:val="22"/>
          <w:color w:val="auto"/>
        </w:rPr>
        <w:t xml:space="preserve">. If applicable, LLC shall pay AMC the Theatre Maintenance Fee per Digital Cinema Screen, as set forth in </w:t>
      </w:r>
      <w:r>
        <w:rPr>
          <w:rFonts w:ascii="Times New Roman" w:cs="Times New Roman" w:eastAsia="Times New Roman" w:hAnsi="Times New Roman"/>
          <w:sz w:val="22"/>
          <w:szCs w:val="22"/>
          <w:u w:val="single" w:color="auto"/>
          <w:color w:val="auto"/>
        </w:rPr>
        <w:t>Schedule 2.05(h)</w:t>
      </w:r>
      <w:r>
        <w:rPr>
          <w:rFonts w:ascii="Times New Roman" w:cs="Times New Roman" w:eastAsia="Times New Roman" w:hAnsi="Times New Roman"/>
          <w:sz w:val="22"/>
          <w:szCs w:val="22"/>
          <w:color w:val="auto"/>
        </w:rPr>
        <w:t xml:space="preserve">, along with and at the same time as the Monthly Total Payment; provided that AMC reports the necessary information regarding the status of the [***] opening status at the same time as the AMC Attendance under </w:t>
      </w:r>
      <w:r>
        <w:rPr>
          <w:rFonts w:ascii="Times New Roman" w:cs="Times New Roman" w:eastAsia="Times New Roman" w:hAnsi="Times New Roman"/>
          <w:sz w:val="22"/>
          <w:szCs w:val="22"/>
          <w:u w:val="single" w:color="auto"/>
          <w:color w:val="auto"/>
        </w:rPr>
        <w:t>Section 2.05(g)</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2.06 </w:t>
      </w:r>
      <w:r>
        <w:rPr>
          <w:rFonts w:ascii="Times New Roman" w:cs="Times New Roman" w:eastAsia="Times New Roman" w:hAnsi="Times New Roman"/>
          <w:sz w:val="21"/>
          <w:szCs w:val="21"/>
          <w:b w:val="1"/>
          <w:bCs w:val="1"/>
          <w:u w:val="single" w:color="auto"/>
          <w:color w:val="auto"/>
        </w:rPr>
        <w:t>Non-Cash Consideration</w:t>
      </w:r>
      <w:r>
        <w:rPr>
          <w:rFonts w:ascii="Times New Roman" w:cs="Times New Roman" w:eastAsia="Times New Roman" w:hAnsi="Times New Roman"/>
          <w:sz w:val="21"/>
          <w:szCs w:val="21"/>
          <w:color w:val="auto"/>
        </w:rPr>
        <w:t>. Any Net Revenue that LLC receives in the form of non-cash consideration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valued as revenue in accordance with GAAP. If LLC’s value of non-cash consideration received under any arrangement related to AMC annually exceeds $500,000 but is not greater than $5 million from any party in a single transaction or</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AMC at the published group sale price in exchange for advertising at LLC’s rate card rate.</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EQUIPMENT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3.01 </w:t>
      </w:r>
      <w:r>
        <w:rPr>
          <w:rFonts w:ascii="Times New Roman" w:cs="Times New Roman" w:eastAsia="Times New Roman" w:hAnsi="Times New Roman"/>
          <w:sz w:val="22"/>
          <w:szCs w:val="22"/>
          <w:b w:val="1"/>
          <w:bCs w:val="1"/>
          <w:u w:val="single" w:color="auto"/>
          <w:color w:val="auto"/>
        </w:rPr>
        <w:t>Procurement; Cost; Specifications</w:t>
      </w:r>
      <w:r>
        <w:rPr>
          <w:rFonts w:ascii="Times New Roman" w:cs="Times New Roman" w:eastAsia="Times New Roman" w:hAnsi="Times New Roman"/>
          <w:sz w:val="22"/>
          <w:szCs w:val="22"/>
          <w:color w:val="auto"/>
        </w:rPr>
        <w:t>. The Parties agree that all Theatre- level Equipment required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and otherwise participate in the Advertising Services on the terms and conditions set forth herein has been installed in all Theatres as of the Execution Date, except for Theatres identified by mutual agreement of the Parties that continue to be upgraded. With respect to all Additional Theatres and Theatres which are converted from Non-Digitized Theatres to Digitized Theatres (collectively, the “</w:t>
      </w:r>
      <w:r>
        <w:rPr>
          <w:rFonts w:ascii="Times New Roman" w:cs="Times New Roman" w:eastAsia="Times New Roman" w:hAnsi="Times New Roman"/>
          <w:sz w:val="22"/>
          <w:szCs w:val="22"/>
          <w:b w:val="1"/>
          <w:bCs w:val="1"/>
          <w:color w:val="auto"/>
        </w:rPr>
        <w:t>Future Theatres</w:t>
      </w:r>
      <w:r>
        <w:rPr>
          <w:rFonts w:ascii="Times New Roman" w:cs="Times New Roman" w:eastAsia="Times New Roman" w:hAnsi="Times New Roman"/>
          <w:sz w:val="22"/>
          <w:szCs w:val="22"/>
          <w:color w:val="auto"/>
        </w:rPr>
        <w:t xml:space="preserve">”), LLC shall, except as provided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and the Software. AMC shall reimburse LLC, at LLC’s cost, for all other Equipment to be installed at or within any Future Theatres (a description of such AMC Equipment is included in the Specification Documentation) within thirty (30) days after (i) the installation of such Equipment by AMC or LLC in accordance with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and (ii) the delivery of invoices by LLC to AMC supporting the expenses for which reimbursement is sought. All Theatre-level operational costs associated with AMC’s use of Equipment located in the Theatres, such as the cost of electricity and direct connection, shall be borne exclusively by AMC. LLC shall assure that the Equipment purchased by LLC satisfies AMC’s specifications for such equipment, including the communication interface between LLC Equipment and AMC Equipment. The Lobby Equipment will be addressed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3.02 </w:t>
      </w:r>
      <w:r>
        <w:rPr>
          <w:rFonts w:ascii="Times New Roman" w:cs="Times New Roman" w:eastAsia="Times New Roman" w:hAnsi="Times New Roman"/>
          <w:sz w:val="22"/>
          <w:szCs w:val="22"/>
          <w:b w:val="1"/>
          <w:bCs w:val="1"/>
          <w:u w:val="single" w:color="auto"/>
          <w:color w:val="auto"/>
        </w:rPr>
        <w:t>Ownership of Equipment</w:t>
      </w:r>
      <w:r>
        <w:rPr>
          <w:rFonts w:ascii="Times New Roman" w:cs="Times New Roman" w:eastAsia="Times New Roman" w:hAnsi="Times New Roman"/>
          <w:sz w:val="22"/>
          <w:szCs w:val="22"/>
          <w:color w:val="auto"/>
        </w:rPr>
        <w:t>. As between the Parties, each Party will own the Equipment it pays for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reimburses the other Party for, whether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To the extent possible, LLC agrees to assign to AMC any manufacturer warranties applicable to AMC Equipment procured by LLC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If for any reason the aforementioned warranties are not assignable, upon written request of AMC, LLC shall use commercially reasonable efforts to enforce the warranties on behalf of AMC.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 The Lobby Equipment will be addressed in Addendum A.</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3.03 </w:t>
      </w:r>
      <w:r>
        <w:rPr>
          <w:rFonts w:ascii="Times New Roman" w:cs="Times New Roman" w:eastAsia="Times New Roman" w:hAnsi="Times New Roman"/>
          <w:sz w:val="22"/>
          <w:szCs w:val="22"/>
          <w:b w:val="1"/>
          <w:bCs w:val="1"/>
          <w:u w:val="single" w:color="auto"/>
          <w:color w:val="auto"/>
        </w:rPr>
        <w:t>AMC Equipment</w:t>
      </w:r>
      <w:r>
        <w:rPr>
          <w:rFonts w:ascii="Times New Roman" w:cs="Times New Roman" w:eastAsia="Times New Roman" w:hAnsi="Times New Roman"/>
          <w:sz w:val="22"/>
          <w:szCs w:val="22"/>
          <w:color w:val="auto"/>
        </w:rPr>
        <w:t>. AMC shall be permitted to furnish any of the Equipment, at its sole cost and expense,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consultation with LLC, and provided such Equipment satisfies LLC’s specifications for such Equipment (including compatibility with the Digital Content Network). LLC agrees to cooperate with AMC in good faith to permit the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procurement by AMC of Equipment in lieu of procurement of such Equipment by LLC and reimbursement by AMC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3.04</w:t>
      </w:r>
      <w:r>
        <w:rPr>
          <w:sz w:val="20"/>
          <w:szCs w:val="20"/>
          <w:color w:val="auto"/>
        </w:rPr>
        <w:tab/>
      </w:r>
      <w:r>
        <w:rPr>
          <w:rFonts w:ascii="Times New Roman" w:cs="Times New Roman" w:eastAsia="Times New Roman" w:hAnsi="Times New Roman"/>
          <w:sz w:val="21"/>
          <w:szCs w:val="21"/>
          <w:b w:val="1"/>
          <w:bCs w:val="1"/>
          <w:u w:val="single" w:color="auto"/>
          <w:color w:val="auto"/>
        </w:rPr>
        <w:t>Installation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4" w:lineRule="auto"/>
        <w:tabs>
          <w:tab w:leader="none" w:pos="198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xml:space="preserve">. AMC and/or its subcontractors shall be solely responsible for the installation of all Equipment purchased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as well as for ancillary services such as reporting, software integration and system cutover; provided, however, that AMC may elect to have LLC perform such services, and LLC shall then assume the responsibility for installation of all Equipment. If AMC elects for LLC to assume the responsibility for installation of all Equipment, (i) AMC shall reimburse LLC for the cost of installing AMC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spacing w:after="0" w:line="183" w:lineRule="exact"/>
        <w:rPr>
          <w:rFonts w:ascii="Times New Roman" w:cs="Times New Roman" w:eastAsia="Times New Roman" w:hAnsi="Times New Roman"/>
          <w:sz w:val="22"/>
          <w:szCs w:val="22"/>
          <w:color w:val="auto"/>
        </w:rPr>
      </w:pPr>
    </w:p>
    <w:p>
      <w:pPr>
        <w:jc w:val="both"/>
        <w:ind w:right="120" w:firstLine="1505"/>
        <w:spacing w:after="0" w:line="246" w:lineRule="auto"/>
        <w:tabs>
          <w:tab w:leader="none" w:pos="199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Consultation; Direct Connect</w:t>
      </w:r>
      <w:r>
        <w:rPr>
          <w:rFonts w:ascii="Times New Roman" w:cs="Times New Roman" w:eastAsia="Times New Roman" w:hAnsi="Times New Roman"/>
          <w:sz w:val="21"/>
          <w:szCs w:val="21"/>
          <w:color w:val="auto"/>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AMC shall be solely responsible for obtaining any consents required for the installation or use of any Equipment at any Theatre, including without limitation governmental and landlord consents, provided LLC reasonably cooperates with AMC at AMC’s request in obtaining such consents. If AMC cannot obtain consent to installation of a satellite dish at a Theatre because of technical, landlord or legal restrictions, AMC and LLC shall work together in good faith to establish a direct connect connection to such location for the Digital Content Network. All costs of the direct connect connection, which shall be maintained with sufficient bandwidth for delivery of the Digital Content Service, shall be borne by LLC with respect to delivery of content from LLC to AMC’s wide area network and by AMC with respect to delivery of content from AMC’s wide area network to the applicable Theatres.</w:t>
      </w:r>
    </w:p>
    <w:p>
      <w:pPr>
        <w:spacing w:after="0" w:line="170" w:lineRule="exact"/>
        <w:rPr>
          <w:rFonts w:ascii="Times New Roman" w:cs="Times New Roman" w:eastAsia="Times New Roman" w:hAnsi="Times New Roman"/>
          <w:sz w:val="21"/>
          <w:szCs w:val="21"/>
          <w:color w:val="auto"/>
        </w:rPr>
      </w:pPr>
    </w:p>
    <w:p>
      <w:pPr>
        <w:jc w:val="both"/>
        <w:ind w:right="120" w:firstLine="1505"/>
        <w:spacing w:after="0" w:line="246" w:lineRule="auto"/>
        <w:tabs>
          <w:tab w:leader="none" w:pos="192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Coordination</w:t>
      </w:r>
      <w:r>
        <w:rPr>
          <w:rFonts w:ascii="Times New Roman" w:cs="Times New Roman" w:eastAsia="Times New Roman" w:hAnsi="Times New Roman"/>
          <w:sz w:val="21"/>
          <w:szCs w:val="21"/>
          <w:color w:val="auto"/>
        </w:rPr>
        <w:t>. All installation, maintenance and other services provided by LLC to the Theatres hereunder shall be performed in a manner reasonably expected not to disrupt AMC’s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newly built Additional Theatres only, LLC agrees (i) to cooperate with AMC in coordinating the installation of Equipment with the construction schedule for such Additional Theatres, and (ii) to consult with AMC prior to subcontracting the performance of Equipment installation so as to permit a determination of whether AMC might itself perform such Equipment installation.</w:t>
      </w:r>
    </w:p>
    <w:p>
      <w:pPr>
        <w:spacing w:after="0" w:line="16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3.05 </w:t>
      </w:r>
      <w:r>
        <w:rPr>
          <w:rFonts w:ascii="Times New Roman" w:cs="Times New Roman" w:eastAsia="Times New Roman" w:hAnsi="Times New Roman"/>
          <w:sz w:val="22"/>
          <w:szCs w:val="22"/>
          <w:b w:val="1"/>
          <w:bCs w:val="1"/>
          <w:u w:val="single" w:color="auto"/>
          <w:color w:val="auto"/>
        </w:rPr>
        <w:t>Upgrades and Modifications</w:t>
      </w:r>
      <w:r>
        <w:rPr>
          <w:rFonts w:ascii="Times New Roman" w:cs="Times New Roman" w:eastAsia="Times New Roman" w:hAnsi="Times New Roman"/>
          <w:sz w:val="22"/>
          <w:szCs w:val="22"/>
          <w:color w:val="auto"/>
        </w:rPr>
        <w:t>. In order to ensure compatibility with, and optimum performance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robustness of, the Digital Content Network and the LLC</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Equipment (including hardware and software), LLC reserves the right to request of AMC the replacement, upgrade or modification of any AMC Equipment installed at any Theatre or the assistance with an upgrade to Software on AMC Equipment (the “</w:t>
      </w:r>
      <w:r>
        <w:rPr>
          <w:rFonts w:ascii="Times New Roman" w:cs="Times New Roman" w:eastAsia="Times New Roman" w:hAnsi="Times New Roman"/>
          <w:sz w:val="22"/>
          <w:szCs w:val="22"/>
          <w:b w:val="1"/>
          <w:bCs w:val="1"/>
          <w:color w:val="auto"/>
        </w:rPr>
        <w:t>Upgrade Request</w:t>
      </w:r>
      <w:r>
        <w:rPr>
          <w:rFonts w:ascii="Times New Roman" w:cs="Times New Roman" w:eastAsia="Times New Roman" w:hAnsi="Times New Roman"/>
          <w:sz w:val="22"/>
          <w:szCs w:val="22"/>
          <w:color w:val="auto"/>
        </w:rPr>
        <w:t>”). In the event of an Upgrade Request, LLC shall provide AMC as much written notice as is reasonably practicable under the circumstances, but in no event less than ten (10) business days written notice. LLC and AMC will negotiate with each other in good faith on the terms of any Upgrade Requests, including cost sharing terms, if any. If LLC and AMC are not able to come to agreement about an Upgrade Request, LLC may elect to pay for the replacements, upgrades or modifications contained in the Upgrade Request including all reasonable incidental and incremental costs to AMC, and AMC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AMC’s theatre operations and does not include any replacement, upgrade or modification of AMC software without AMC’s express prior written consent. LLC agrees that, to the extent practicable, it will develop a system that seeks to minimize the need to enter the Theatres in order to update the Software.</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3.06</w:t>
      </w:r>
      <w:r>
        <w:rPr>
          <w:sz w:val="20"/>
          <w:szCs w:val="20"/>
          <w:color w:val="auto"/>
        </w:rPr>
        <w:tab/>
      </w:r>
      <w:r>
        <w:rPr>
          <w:rFonts w:ascii="Times New Roman" w:cs="Times New Roman" w:eastAsia="Times New Roman" w:hAnsi="Times New Roman"/>
          <w:sz w:val="21"/>
          <w:szCs w:val="21"/>
          <w:b w:val="1"/>
          <w:bCs w:val="1"/>
          <w:u w:val="single" w:color="auto"/>
          <w:color w:val="auto"/>
        </w:rPr>
        <w:t>Conversion of Theatres to Digital Cinema Equipment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2" w:lineRule="auto"/>
        <w:tabs>
          <w:tab w:leader="none" w:pos="197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Digital Cinema Equipment</w:t>
      </w:r>
      <w:r>
        <w:rPr>
          <w:rFonts w:ascii="Times New Roman" w:cs="Times New Roman" w:eastAsia="Times New Roman" w:hAnsi="Times New Roman"/>
          <w:sz w:val="22"/>
          <w:szCs w:val="22"/>
          <w:color w:val="auto"/>
        </w:rPr>
        <w:t>. As between AMC and LLC, AMC will be responsible for purchasing, installing and maintaining the Projection Systems selected by AMC for any Additional Theatres. After the installation of a Projection System in an auditorium in an Additional Theatre, AMC, at its sole option, may elect to determine the manner in which the Advertising Services are exhibited in such auditorium through either a Dual Interface Architecture or the ACE Solution, and such Projection Systems shall constitute AMC Equipment under this Agreement (the “</w:t>
      </w:r>
      <w:r>
        <w:rPr>
          <w:rFonts w:ascii="Times New Roman" w:cs="Times New Roman" w:eastAsia="Times New Roman" w:hAnsi="Times New Roman"/>
          <w:sz w:val="22"/>
          <w:szCs w:val="22"/>
          <w:b w:val="1"/>
          <w:bCs w:val="1"/>
          <w:color w:val="auto"/>
        </w:rPr>
        <w:t>Digital Cinema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Equipment</w:t>
      </w:r>
      <w:r>
        <w:rPr>
          <w:rFonts w:ascii="Times New Roman" w:cs="Times New Roman" w:eastAsia="Times New Roman" w:hAnsi="Times New Roman"/>
          <w:sz w:val="22"/>
          <w:szCs w:val="22"/>
          <w:color w:val="auto"/>
        </w:rPr>
        <w:t>”) AMC shall be responsible for connecting the Equipment, including LLC Equipment, to the AMC Equipment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functional manner as mutually agreed by AMC and LLC. LLC shall be responsible for providing specifications and process instructions to AMC for such connectivity in advance of the installation; provided that such specifications and process instructions shall not require AMC to acquire any additional equipment or software in order to effectuate such connectivity that would render such Digital Cinema Equipment to no longer be compliant with industry standard specifications. Once LLC receives notice from AMC that a Projection System has been installed in a given auditorium, LLC and AMC shall have the responsibility to jointly test such conversion to ensure that the Digital Cinema Equipment is operational to provide the Advertising Services. Once the Digital Cinema Equipment is operational to provide the Advertising Services, LLC shall notify AMC in writing (the “</w:t>
      </w:r>
      <w:r>
        <w:rPr>
          <w:rFonts w:ascii="Times New Roman" w:cs="Times New Roman" w:eastAsia="Times New Roman" w:hAnsi="Times New Roman"/>
          <w:sz w:val="22"/>
          <w:szCs w:val="22"/>
          <w:b w:val="1"/>
          <w:bCs w:val="1"/>
          <w:color w:val="auto"/>
        </w:rPr>
        <w:t>LLC Confirmation</w:t>
      </w:r>
      <w:r>
        <w:rPr>
          <w:rFonts w:ascii="Times New Roman" w:cs="Times New Roman" w:eastAsia="Times New Roman" w:hAnsi="Times New Roman"/>
          <w:sz w:val="22"/>
          <w:szCs w:val="22"/>
          <w:color w:val="auto"/>
        </w:rPr>
        <w:t>”). If the Digital Cinema Equipment is not operational to provide the Advertising Services, LLC and AMC shall cooperate to make the system operational to provide the Advertising Services. The Parties agree that they will mutually agree on an installation schedule and each Party will use commercially reasonable efforts to comply with the schedule. If a Low Resolution Projection System is needed in an auditorium to deliver the Advertising Services, then, AMC shall not be permitted to remove the Low Resolution Projection System from such auditorium until the Parties agree an alternative system is in place. If AMC elects to replace the Digital Cinema Equipment with 35mm projection or other non-digital projection system, then AMC shall reinstall Low Resolution Projection Systems in order to deliver the Advertising Services in such auditoriums unless such non-digital system is installed for a limited engagement. In the event of a limited engagement, AMC and LLC will use commercially reasonable efforts to enable the auditorium to display the Advertising Services, and if the Advertising Services are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able to be displayed, then any attendees of the limited engagement will be excluded AMC Attendance.</w:t>
      </w:r>
    </w:p>
    <w:p>
      <w:pPr>
        <w:spacing w:after="0" w:line="206" w:lineRule="exact"/>
        <w:rPr>
          <w:sz w:val="20"/>
          <w:szCs w:val="20"/>
          <w:color w:val="auto"/>
        </w:rPr>
      </w:pPr>
    </w:p>
    <w:p>
      <w:pPr>
        <w:jc w:val="both"/>
        <w:ind w:right="120" w:firstLine="1505"/>
        <w:spacing w:after="0" w:line="236" w:lineRule="auto"/>
        <w:tabs>
          <w:tab w:leader="none" w:pos="197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Obligations</w:t>
      </w:r>
      <w:r>
        <w:rPr>
          <w:rFonts w:ascii="Times New Roman" w:cs="Times New Roman" w:eastAsia="Times New Roman" w:hAnsi="Times New Roman"/>
          <w:sz w:val="22"/>
          <w:szCs w:val="22"/>
          <w:color w:val="auto"/>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actually in use at a Theatre. AMC shall continue to be responsible for maintaining all AMC Equipment, including the Digital Cinema Equipment.</w:t>
      </w:r>
    </w:p>
    <w:p>
      <w:pPr>
        <w:spacing w:after="0" w:line="181" w:lineRule="exact"/>
        <w:rPr>
          <w:rFonts w:ascii="Times New Roman" w:cs="Times New Roman" w:eastAsia="Times New Roman" w:hAnsi="Times New Roman"/>
          <w:sz w:val="22"/>
          <w:szCs w:val="22"/>
          <w:color w:val="auto"/>
        </w:rPr>
      </w:pPr>
    </w:p>
    <w:p>
      <w:pPr>
        <w:jc w:val="both"/>
        <w:ind w:right="120" w:firstLine="1505"/>
        <w:spacing w:after="0" w:line="233" w:lineRule="auto"/>
        <w:tabs>
          <w:tab w:leader="none" w:pos="195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Dual Interface Architecture or ACE Solution</w:t>
      </w:r>
      <w:r>
        <w:rPr>
          <w:rFonts w:ascii="Times New Roman" w:cs="Times New Roman" w:eastAsia="Times New Roman" w:hAnsi="Times New Roman"/>
          <w:sz w:val="22"/>
          <w:szCs w:val="22"/>
          <w:color w:val="auto"/>
        </w:rPr>
        <w:t xml:space="preserve">. Subject to the requirements and procedures set forth in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shall prohibit AMC from implementing either a Dual Interface Architecture or the ACE Solution or from switching from a Dual Interface Architecture to the ACE Solution or vice-versa; provided that AMC reimburses LLC for any costs incurred with such conversion that is not planned as of the Execution Date and will provide at least 180 days’ notice prior to a conversion from Dual Interface Architecture to the ACE Solution. In addition, in certain limited circumstances, AMC may replace the Digital Cinema Equipment with 35mm projection in specific auditoriums and, in such circumstances unless such replacement is for a limited engagement, AMC shall install Low Resolution Projection Systems in order to deliver the Advertising Services in such auditoriums on the same terms and conditions as existed prior to the installation of the 35mm projection system. In the event of a limited engagement, AMC and LLC will use commercially reasonable efforts to enable the auditorium to display the Advertising Services, and if the Advertising Services are not able to be displayed, then any attendees of the limited engagement will be excluded AMC Attendance. For any auditorium converted to the ACE Solution, LLC shall be responsible for all costs necessary to provide the Advertising Services for each Play List in an appropriate format, and AMC will be responsible for all costs necessary to receive the Advertising Services content into AMC’s TMS and append the digital cinema playlist to provide LLC substantially the same functionality that existed before the conversion to the ACE Solution.</w:t>
      </w:r>
    </w:p>
    <w:p>
      <w:pPr>
        <w:spacing w:after="0" w:line="177" w:lineRule="exact"/>
        <w:rPr>
          <w:rFonts w:ascii="Times New Roman" w:cs="Times New Roman" w:eastAsia="Times New Roman" w:hAnsi="Times New Roman"/>
          <w:sz w:val="22"/>
          <w:szCs w:val="22"/>
          <w:color w:val="auto"/>
        </w:rPr>
      </w:pPr>
    </w:p>
    <w:p>
      <w:pPr>
        <w:ind w:right="120" w:firstLine="1505"/>
        <w:spacing w:after="0" w:line="258" w:lineRule="auto"/>
        <w:tabs>
          <w:tab w:leader="none" w:pos="195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Update</w:t>
      </w:r>
      <w:r>
        <w:rPr>
          <w:rFonts w:ascii="Times New Roman" w:cs="Times New Roman" w:eastAsia="Times New Roman" w:hAnsi="Times New Roman"/>
          <w:sz w:val="22"/>
          <w:szCs w:val="22"/>
          <w:color w:val="auto"/>
        </w:rPr>
        <w:t>. AMC will provide regular updates to LLC regarding the conversion of Dual Interface Architecture to ACE and Non-Digitized Theatres to Digitized Theatres.</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3.07 </w:t>
      </w:r>
      <w:r>
        <w:rPr>
          <w:rFonts w:ascii="Times New Roman" w:cs="Times New Roman" w:eastAsia="Times New Roman" w:hAnsi="Times New Roman"/>
          <w:sz w:val="22"/>
          <w:szCs w:val="22"/>
          <w:b w:val="1"/>
          <w:bCs w:val="1"/>
          <w:u w:val="single" w:color="auto"/>
          <w:color w:val="auto"/>
        </w:rPr>
        <w:t>Training</w:t>
      </w:r>
      <w:r>
        <w:rPr>
          <w:rFonts w:ascii="Times New Roman" w:cs="Times New Roman" w:eastAsia="Times New Roman" w:hAnsi="Times New Roman"/>
          <w:sz w:val="22"/>
          <w:szCs w:val="22"/>
          <w:color w:val="auto"/>
        </w:rPr>
        <w:t>. To the extent necessary, LLC and AMC, respectively, will provide training services to AMC’s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support staff and customer service and other employees and agents on terms as mutually agreed by the Parties in their reasonable discretion. LLC agrees that it will pay for these training services and they will be adequate to permit AMC to train its own employees and agents as required to perform under this Agreement. AMC agrees to provide training services according to any reasonable standards as may be promulgated by LLC in consultation with AMC. LLC agrees to provide training services, at its cost, to AMC’s support staff and other employees with respect to any Equipment or Software upgrades or modifications prior to implementation.</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3.08</w:t>
      </w:r>
      <w:r>
        <w:rPr>
          <w:sz w:val="20"/>
          <w:szCs w:val="20"/>
          <w:color w:val="auto"/>
        </w:rPr>
        <w:tab/>
      </w:r>
      <w:r>
        <w:rPr>
          <w:rFonts w:ascii="Times New Roman" w:cs="Times New Roman" w:eastAsia="Times New Roman" w:hAnsi="Times New Roman"/>
          <w:sz w:val="21"/>
          <w:szCs w:val="21"/>
          <w:b w:val="1"/>
          <w:bCs w:val="1"/>
          <w:u w:val="single" w:color="auto"/>
          <w:color w:val="auto"/>
        </w:rPr>
        <w:t>Equipment Maintenance Standard</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ind w:left="1940" w:hanging="435"/>
        <w:spacing w:after="0"/>
        <w:tabs>
          <w:tab w:leader="none" w:pos="194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Standard; Replacement</w:t>
      </w:r>
      <w:r>
        <w:rPr>
          <w:rFonts w:ascii="Times New Roman" w:cs="Times New Roman" w:eastAsia="Times New Roman" w:hAnsi="Times New Roman"/>
          <w:sz w:val="21"/>
          <w:szCs w:val="21"/>
          <w:color w:val="auto"/>
        </w:rPr>
        <w:t>. During the Term, the Parties shall each use their commercially reasonable efforts</w:t>
      </w:r>
    </w:p>
    <w:p>
      <w:pPr>
        <w:spacing w:after="0" w:line="25" w:lineRule="exact"/>
        <w:rPr>
          <w:rFonts w:ascii="Times New Roman" w:cs="Times New Roman" w:eastAsia="Times New Roman" w:hAnsi="Times New Roman"/>
          <w:sz w:val="21"/>
          <w:szCs w:val="21"/>
          <w:color w:val="auto"/>
        </w:rPr>
      </w:pPr>
    </w:p>
    <w:p>
      <w:pPr>
        <w:jc w:val="both"/>
        <w:ind w:firstLine="8"/>
        <w:spacing w:after="0" w:line="232" w:lineRule="auto"/>
        <w:tabs>
          <w:tab w:leader="none" w:pos="27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ensure there is no unauthorized access, loss or damage to or theft of Equipment hereunder, and (ii) to prevent piracy or other theft of Inventory exhibited through the use of such Equipment or otherwise in its possession or control. AMC further agrees to keep all AMC Equipment, including without limitation Lobby Screens, clean, and to promptly notify LLC if any AMC Equipment is not functioning properly. AMC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3.08(b)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5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Repair and Replacement</w:t>
      </w:r>
      <w:r>
        <w:rPr>
          <w:rFonts w:ascii="Times New Roman" w:cs="Times New Roman" w:eastAsia="Times New Roman" w:hAnsi="Times New Roman"/>
          <w:sz w:val="22"/>
          <w:szCs w:val="22"/>
          <w:color w:val="auto"/>
        </w:rPr>
        <w:t xml:space="preserve">. Subject to the terms of this </w:t>
      </w:r>
      <w:r>
        <w:rPr>
          <w:rFonts w:ascii="Times New Roman" w:cs="Times New Roman" w:eastAsia="Times New Roman" w:hAnsi="Times New Roman"/>
          <w:sz w:val="22"/>
          <w:szCs w:val="22"/>
          <w:u w:val="single" w:color="auto"/>
          <w:color w:val="auto"/>
        </w:rPr>
        <w:t>Section 3.08(b)</w:t>
      </w:r>
      <w:r>
        <w:rPr>
          <w:rFonts w:ascii="Times New Roman" w:cs="Times New Roman" w:eastAsia="Times New Roman" w:hAnsi="Times New Roman"/>
          <w:sz w:val="22"/>
          <w:szCs w:val="22"/>
          <w:color w:val="auto"/>
        </w:rPr>
        <w:t xml:space="preserve"> and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3.08(c)</w:t>
      </w:r>
      <w:r>
        <w:rPr>
          <w:rFonts w:ascii="Times New Roman" w:cs="Times New Roman" w:eastAsia="Times New Roman" w:hAnsi="Times New Roman"/>
          <w:sz w:val="22"/>
          <w:szCs w:val="22"/>
          <w:color w:val="auto"/>
        </w:rPr>
        <w:t xml:space="preserve"> below regarding cost, the repair and replacement of Equipment shall be performed by LLC until such time as AMC elects to assume this responsibility by giving written notice to LLC. If AMC assumes this responsibility to perform replacement or repair but fails to maintain the AMC Equipment at a performance level substantially similar to the LLC Equipment, then LLC shall promptly provide AMC written notice of such failure and if such failure is not cured within 30 days, LLC shall be entitled to repair, or if repair is not reasonably possible, replace such LLC Equipment not so maintained and deduct the cost of such replacement from AMC’s Minimum Guarantee.</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4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Repair Costs</w:t>
      </w:r>
      <w:r>
        <w:rPr>
          <w:rFonts w:ascii="Times New Roman" w:cs="Times New Roman" w:eastAsia="Times New Roman" w:hAnsi="Times New Roman"/>
          <w:sz w:val="22"/>
          <w:szCs w:val="22"/>
          <w:color w:val="auto"/>
        </w:rPr>
        <w:t xml:space="preserve">. So long as LLC is performing repair and replacement of Equipment, LLC shall pay the costs of repair (but not replacement, which is the responsibility of AMC). Notwithstanding anything to the contrary in this </w:t>
      </w:r>
      <w:r>
        <w:rPr>
          <w:rFonts w:ascii="Times New Roman" w:cs="Times New Roman" w:eastAsia="Times New Roman" w:hAnsi="Times New Roman"/>
          <w:sz w:val="22"/>
          <w:szCs w:val="22"/>
          <w:u w:val="single" w:color="auto"/>
          <w:color w:val="auto"/>
        </w:rPr>
        <w:t>Section 3.08</w:t>
      </w:r>
      <w:r>
        <w:rPr>
          <w:rFonts w:ascii="Times New Roman" w:cs="Times New Roman" w:eastAsia="Times New Roman" w:hAnsi="Times New Roman"/>
          <w:sz w:val="22"/>
          <w:szCs w:val="22"/>
          <w:color w:val="auto"/>
        </w:rPr>
        <w:t>, LLC shall not be required or requested to make any expenditures that (i) would constitute a capital expenditure for LLC under GAAP or (ii) would have otherwise been payable by AMC’s insurance provider; provided, however, LLC shall be responsible for all costs to repair or replace Equipment to the extent damaged as a result of the negligence or misconduct of LLC and/or its subcontractors.</w:t>
      </w:r>
    </w:p>
    <w:p>
      <w:pPr>
        <w:spacing w:after="0" w:line="181"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w:t>
      </w:r>
      <w:r>
        <w:rPr>
          <w:rFonts w:ascii="Times New Roman" w:cs="Times New Roman" w:eastAsia="Times New Roman" w:hAnsi="Times New Roman"/>
          <w:sz w:val="21"/>
          <w:szCs w:val="21"/>
          <w:color w:val="auto"/>
        </w:rPr>
        <w:t>. Subject to the foregoing, for purposes of ongoing maintenance, LLC shall keep and maintain Equipment installed in the Theatres in good condition and repair at its sole expense (with the exception of projector bulb replacement and equipment replacement, the cost of which shall be borne by AMC), and in a manner consistent with the Service Level Agreement set forth in the Specification Documentation and as may be reasonably amended by mutual agreement of LLC and AMC from time to time. The Parties agree to consult with each other on a regular basis during the Term in an attempt to reduce maintenance costs arising from redundancies in the Parties’ respective service fleets. Upon advance notice to AMC, AMC shall provide LLC and/or its subcontractors reasonable access to the Equipment and such other support services as LLC and/or its subcontractors reasonably require to provide maintenance and repair services as required hereunder.</w:t>
      </w:r>
    </w:p>
    <w:p>
      <w:pPr>
        <w:spacing w:after="0" w:line="1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ind w:left="760" w:right="3140" w:firstLine="2509"/>
        <w:spacing w:after="0" w:line="458"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DELIVERY OF THE ADVERTISING SERVICES </w:t>
      </w:r>
      <w:r>
        <w:rPr>
          <w:rFonts w:ascii="Times New Roman" w:cs="Times New Roman" w:eastAsia="Times New Roman" w:hAnsi="Times New Roman"/>
          <w:sz w:val="21"/>
          <w:szCs w:val="21"/>
          <w:b w:val="1"/>
          <w:bCs w:val="1"/>
          <w:color w:val="auto"/>
        </w:rPr>
        <w:t xml:space="preserve">Section 4.01 </w:t>
      </w:r>
      <w:r>
        <w:rPr>
          <w:rFonts w:ascii="Times New Roman" w:cs="Times New Roman" w:eastAsia="Times New Roman" w:hAnsi="Times New Roman"/>
          <w:sz w:val="21"/>
          <w:szCs w:val="21"/>
          <w:b w:val="1"/>
          <w:bCs w:val="1"/>
          <w:u w:val="single" w:color="auto"/>
          <w:color w:val="auto"/>
        </w:rPr>
        <w:t>Content and Distribution of the Digital Content Service</w:t>
      </w:r>
      <w:r>
        <w:rPr>
          <w:rFonts w:ascii="Times New Roman" w:cs="Times New Roman" w:eastAsia="Times New Roman" w:hAnsi="Times New Roman"/>
          <w:sz w:val="21"/>
          <w:szCs w:val="21"/>
          <w:color w:val="auto"/>
        </w:rPr>
        <w:t>.</w:t>
      </w:r>
    </w:p>
    <w:p>
      <w:pPr>
        <w:ind w:firstLine="1505"/>
        <w:spacing w:after="0" w:line="258" w:lineRule="auto"/>
        <w:tabs>
          <w:tab w:leader="none" w:pos="19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 Quality</w:t>
      </w:r>
      <w:r>
        <w:rPr>
          <w:rFonts w:ascii="Times New Roman" w:cs="Times New Roman" w:eastAsia="Times New Roman" w:hAnsi="Times New Roman"/>
          <w:sz w:val="22"/>
          <w:szCs w:val="22"/>
          <w:color w:val="auto"/>
        </w:rPr>
        <w:t>. On the Execution Date, LLC will commence distribution of the Digital Carousel, and the Digital Content Service to the Digitized Theatres,</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2" w:name="page63"/>
    <w:bookmarkEnd w:id="62"/>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all as set forth above in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Content shall be distributed through the Digital Content Network, via either LLC’s satellite network or by LLC’s or AMC’s direct connect network. The Pre-Feature Program and the Lobby Entertainment Program shall consist of Inventory comprising a single play list (“</w:t>
      </w:r>
      <w:r>
        <w:rPr>
          <w:rFonts w:ascii="Times New Roman" w:cs="Times New Roman" w:eastAsia="Times New Roman" w:hAnsi="Times New Roman"/>
          <w:sz w:val="22"/>
          <w:szCs w:val="22"/>
          <w:b w:val="1"/>
          <w:bCs w:val="1"/>
          <w:color w:val="auto"/>
        </w:rPr>
        <w:t>Play List</w:t>
      </w:r>
      <w:r>
        <w:rPr>
          <w:rFonts w:ascii="Times New Roman" w:cs="Times New Roman" w:eastAsia="Times New Roman" w:hAnsi="Times New Roman"/>
          <w:sz w:val="22"/>
          <w:szCs w:val="22"/>
          <w:color w:val="auto"/>
        </w:rPr>
        <w:t>”). The Play List will be refreshed during the Term when and as determined by LLC but not less frequently than 12 times per year (each a “</w:t>
      </w:r>
      <w:r>
        <w:rPr>
          <w:rFonts w:ascii="Times New Roman" w:cs="Times New Roman" w:eastAsia="Times New Roman" w:hAnsi="Times New Roman"/>
          <w:sz w:val="22"/>
          <w:szCs w:val="22"/>
          <w:b w:val="1"/>
          <w:bCs w:val="1"/>
          <w:color w:val="auto"/>
        </w:rPr>
        <w:t>Flight</w:t>
      </w:r>
      <w:r>
        <w:rPr>
          <w:rFonts w:ascii="Times New Roman" w:cs="Times New Roman" w:eastAsia="Times New Roman" w:hAnsi="Times New Roman"/>
          <w:sz w:val="22"/>
          <w:szCs w:val="22"/>
          <w:color w:val="auto"/>
        </w:rPr>
        <w:t>”). The Digital Carousel and the Digital Content Service (including the Pre-Feature Programming Schedule) will be substantially similar in nature, quality, and scope to the corresponding advertising, promotional and other content, as received by the Theatres immediately prior to the Execution Date. In addition, LLC agrees that the quality of the Advertising Services delivered to AMC will be consistent throughout the Term. If AMC elects to use the ACE Solution to deliver the Advertising Services which use Digital Cinema Equipment, LLC shall ensure that such Advertising Services are provided to AMC as previously specified by LLC.</w:t>
      </w:r>
    </w:p>
    <w:p>
      <w:pPr>
        <w:spacing w:after="0" w:line="183" w:lineRule="exact"/>
        <w:rPr>
          <w:sz w:val="20"/>
          <w:szCs w:val="20"/>
          <w:color w:val="auto"/>
        </w:rPr>
      </w:pPr>
    </w:p>
    <w:p>
      <w:pPr>
        <w:ind w:left="1940" w:hanging="435"/>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Pre-Feature Programs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Pre-Feature Program</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440" w:hanging="437"/>
        <w:spacing w:after="0"/>
        <w:tabs>
          <w:tab w:leader="none" w:pos="344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The Pre-Feature Program shall consist of four (4) or more elements,</w:t>
      </w:r>
    </w:p>
    <w:p>
      <w:pPr>
        <w:spacing w:after="0" w:line="14" w:lineRule="exact"/>
        <w:rPr>
          <w:rFonts w:ascii="Times New Roman" w:cs="Times New Roman" w:eastAsia="Times New Roman" w:hAnsi="Times New Roman"/>
          <w:sz w:val="22"/>
          <w:szCs w:val="22"/>
          <w:color w:val="auto"/>
        </w:rPr>
      </w:pPr>
    </w:p>
    <w:p>
      <w:pPr>
        <w:jc w:val="both"/>
        <w:ind w:left="150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including: (i) commercial advertising; (ii) promotions for the AMC brand (including the Brand and Branded Slots), Concessions sold and services used by AMC and other products and services in accordance with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(iii) interstitial content; and (iv) other entertainment programming content which, while promotional of businesses or products, shall be primarily entertaining, educational or informational in nature, rather than commercially inspired.</w:t>
      </w:r>
    </w:p>
    <w:p>
      <w:pPr>
        <w:spacing w:after="0" w:line="179" w:lineRule="exact"/>
        <w:rPr>
          <w:rFonts w:ascii="Times New Roman" w:cs="Times New Roman" w:eastAsia="Times New Roman" w:hAnsi="Times New Roman"/>
          <w:sz w:val="22"/>
          <w:szCs w:val="22"/>
          <w:color w:val="auto"/>
        </w:rPr>
      </w:pPr>
    </w:p>
    <w:p>
      <w:pPr>
        <w:jc w:val="both"/>
        <w:ind w:left="1500" w:firstLine="1503"/>
        <w:spacing w:after="0" w:line="235" w:lineRule="auto"/>
        <w:tabs>
          <w:tab w:leader="none" w:pos="3443"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w:t>
      </w:r>
      <w:r>
        <w:rPr>
          <w:rFonts w:ascii="Times New Roman" w:cs="Times New Roman" w:eastAsia="Times New Roman" w:hAnsi="Times New Roman"/>
          <w:sz w:val="22"/>
          <w:szCs w:val="22"/>
          <w:color w:val="auto"/>
        </w:rPr>
        <w:t>. The Pre-Feature Program will begin 15 to 20 minutes prior to Showtime and will end 5 minutes immediately following Showtime; provided that if the Event Trailer or the Policy Trailer is displayed at Showtime, then the Pre-Feature Program will end 5 minutes plus the length of the Event Trailer and the Policy Trailer after Showtime. The Pre-Feature Program will also include the Platinum Spot, which will be displayed in the Second Trailer Position. The Parties will cooperate to mutually determine an implementation schedule for the changes in the structure and timing of the Pre-Feature Program as contemplated in this Agreement to be completed promptly following the Execution Date.</w:t>
      </w:r>
    </w:p>
    <w:p>
      <w:pPr>
        <w:spacing w:after="0" w:line="183" w:lineRule="exact"/>
        <w:rPr>
          <w:rFonts w:ascii="Times New Roman" w:cs="Times New Roman" w:eastAsia="Times New Roman" w:hAnsi="Times New Roman"/>
          <w:sz w:val="22"/>
          <w:szCs w:val="22"/>
          <w:color w:val="auto"/>
        </w:rPr>
      </w:pPr>
    </w:p>
    <w:p>
      <w:pPr>
        <w:jc w:val="both"/>
        <w:ind w:left="1500" w:firstLine="1503"/>
        <w:spacing w:after="0" w:line="255" w:lineRule="auto"/>
        <w:tabs>
          <w:tab w:leader="none" w:pos="3456"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Platinum Spot</w:t>
      </w:r>
      <w:r>
        <w:rPr>
          <w:rFonts w:ascii="Times New Roman" w:cs="Times New Roman" w:eastAsia="Times New Roman" w:hAnsi="Times New Roman"/>
          <w:sz w:val="21"/>
          <w:szCs w:val="21"/>
          <w:color w:val="auto"/>
        </w:rPr>
        <w:t>. LLC will be entitled to display up to 60 second of advertising in the Second Trailer Position, i.e. directly prior to the last 2 trailers preceding the feature film or Digital Programming Event (the “</w:t>
      </w:r>
      <w:r>
        <w:rPr>
          <w:rFonts w:ascii="Times New Roman" w:cs="Times New Roman" w:eastAsia="Times New Roman" w:hAnsi="Times New Roman"/>
          <w:sz w:val="21"/>
          <w:szCs w:val="21"/>
          <w:b w:val="1"/>
          <w:bCs w:val="1"/>
          <w:color w:val="auto"/>
        </w:rPr>
        <w:t>Platinum Spot</w:t>
      </w:r>
      <w:r>
        <w:rPr>
          <w:rFonts w:ascii="Times New Roman" w:cs="Times New Roman" w:eastAsia="Times New Roman" w:hAnsi="Times New Roman"/>
          <w:sz w:val="21"/>
          <w:szCs w:val="21"/>
          <w:color w:val="auto"/>
        </w:rPr>
        <w:t xml:space="preserve">”). LLC may display two-30 second advertisements or one 60 second advertisement in the Platinum Spot. The Platinum Spot will be subject to the content standards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left="1500" w:right="100" w:firstLine="1503"/>
        <w:spacing w:after="0" w:line="244" w:lineRule="auto"/>
        <w:tabs>
          <w:tab w:leader="none" w:pos="3429"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Premium Large Format Screens</w:t>
      </w:r>
      <w:r>
        <w:rPr>
          <w:rFonts w:ascii="Times New Roman" w:cs="Times New Roman" w:eastAsia="Times New Roman" w:hAnsi="Times New Roman"/>
          <w:sz w:val="22"/>
          <w:szCs w:val="22"/>
          <w:color w:val="auto"/>
        </w:rPr>
        <w:t>. Upon request from LLC and provision of files by LLC in a format that is able to be displayed in the premium format, AMC will take actions necessary to allow LLC to display advertising in the premium format of any Premium Large Format Screens. [***]</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3" w:name="page64"/>
    <w:bookmarkEnd w:id="63"/>
    <w:p>
      <w:pPr>
        <w:spacing w:after="0" w:line="185" w:lineRule="exact"/>
        <w:rPr>
          <w:sz w:val="20"/>
          <w:szCs w:val="20"/>
          <w:color w:val="auto"/>
        </w:rPr>
      </w:pPr>
    </w:p>
    <w:p>
      <w:pPr>
        <w:jc w:val="both"/>
        <w:ind w:right="120" w:firstLine="2254"/>
        <w:spacing w:after="0" w:line="233" w:lineRule="auto"/>
        <w:tabs>
          <w:tab w:leader="none" w:pos="267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Digital Programming Event Pre-Feature Program</w:t>
      </w:r>
      <w:r>
        <w:rPr>
          <w:rFonts w:ascii="Times New Roman" w:cs="Times New Roman" w:eastAsia="Times New Roman" w:hAnsi="Times New Roman"/>
          <w:sz w:val="22"/>
          <w:szCs w:val="22"/>
          <w:color w:val="auto"/>
        </w:rPr>
        <w:t xml:space="preserve">. AMC will use commercially reasonable efforts to permit LLC to display the Pre-Feature Program before all Digital Programming Events and LLC has no obligation to adjust or provide a custom Pre-Feature Program for any Digital Programming Event. In the event that LLC is unable to display the Pre-Feature Program before any Digital Programming Event for any reason, including restrictions on AMC in its agreement to exhibit the Digital Programming Event or due to technical restrictions, including an inability to display advertising after the posted-Showtime, then the attendance at the impacted Digital Programming Event will not be considered AMC Attendance. Provided, however, that if LLC elects to display a Pre-Feature Program only prior to the posted-Showtime due to limitations on the Digital Programming Event, then attendance at the impacted Digital Programming Event will not be considered AMC Attendance but any revenue generated through the display will be counted towards the Revenue Share. In the event that LLC declines to display a Digital Programming Event for any other reason other than an inability to display the Pre-Feature Program, then the exclusivity and mandatory participation restrictions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will not apply to the declined Digital Programming Event.</w:t>
      </w:r>
    </w:p>
    <w:p>
      <w:pPr>
        <w:spacing w:after="0" w:line="184" w:lineRule="exact"/>
        <w:rPr>
          <w:rFonts w:ascii="Times New Roman" w:cs="Times New Roman" w:eastAsia="Times New Roman" w:hAnsi="Times New Roman"/>
          <w:sz w:val="22"/>
          <w:szCs w:val="22"/>
          <w:color w:val="auto"/>
        </w:rPr>
      </w:pPr>
    </w:p>
    <w:p>
      <w:pPr>
        <w:ind w:right="140" w:firstLine="2254"/>
        <w:spacing w:after="0" w:line="258" w:lineRule="auto"/>
        <w:tabs>
          <w:tab w:leader="none" w:pos="267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shall have no liability of any kind under this Agreement for any content provided by any third-party related to any Digital Programming Event.</w:t>
      </w:r>
    </w:p>
    <w:p>
      <w:pPr>
        <w:spacing w:after="0" w:line="158" w:lineRule="exact"/>
        <w:rPr>
          <w:rFonts w:ascii="Times New Roman" w:cs="Times New Roman" w:eastAsia="Times New Roman" w:hAnsi="Times New Roman"/>
          <w:sz w:val="22"/>
          <w:szCs w:val="22"/>
          <w:color w:val="auto"/>
        </w:rPr>
      </w:pPr>
    </w:p>
    <w:p>
      <w:pPr>
        <w:ind w:right="120" w:firstLine="1506"/>
        <w:spacing w:after="0" w:line="258" w:lineRule="auto"/>
        <w:tabs>
          <w:tab w:leader="none" w:pos="197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Lobby Entertainment Program</w:t>
      </w:r>
      <w:r>
        <w:rPr>
          <w:rFonts w:ascii="Times New Roman" w:cs="Times New Roman" w:eastAsia="Times New Roman" w:hAnsi="Times New Roman"/>
          <w:sz w:val="22"/>
          <w:szCs w:val="22"/>
          <w:color w:val="auto"/>
        </w:rPr>
        <w:t xml:space="preserve">. The elements of the Lobby Entertainment Program are set forth on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Lobby Entertainment Program and Lobby Promotions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Section 4.02 </w:t>
      </w:r>
      <w:r>
        <w:rPr>
          <w:rFonts w:ascii="Times New Roman" w:cs="Times New Roman" w:eastAsia="Times New Roman" w:hAnsi="Times New Roman"/>
          <w:sz w:val="21"/>
          <w:szCs w:val="21"/>
          <w:b w:val="1"/>
          <w:bCs w:val="1"/>
          <w:u w:val="single" w:color="auto"/>
          <w:color w:val="auto"/>
        </w:rPr>
        <w:t>Content Standards</w:t>
      </w:r>
      <w:r>
        <w:rPr>
          <w:rFonts w:ascii="Times New Roman" w:cs="Times New Roman" w:eastAsia="Times New Roman" w:hAnsi="Times New Roman"/>
          <w:sz w:val="21"/>
          <w:szCs w:val="21"/>
          <w:color w:val="auto"/>
        </w:rPr>
        <w:t>. The Parties agree that (unless mutually agreed by the Parties) all content within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Advertising Services, will comply with the restrictions identified on </w:t>
      </w:r>
      <w:r>
        <w:rPr>
          <w:rFonts w:ascii="Times New Roman" w:cs="Times New Roman" w:eastAsia="Times New Roman" w:hAnsi="Times New Roman"/>
          <w:sz w:val="21"/>
          <w:szCs w:val="21"/>
          <w:u w:val="single" w:color="auto"/>
          <w:color w:val="auto"/>
        </w:rPr>
        <w:t>Schedule 4.02</w:t>
      </w:r>
      <w:r>
        <w:rPr>
          <w:rFonts w:ascii="Times New Roman" w:cs="Times New Roman" w:eastAsia="Times New Roman" w:hAnsi="Times New Roman"/>
          <w:sz w:val="21"/>
          <w:szCs w:val="21"/>
          <w:color w:val="auto"/>
        </w:rPr>
        <w:t xml:space="preserve">. Neither Party will take any action to circumvent the restrictions set forth in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including providing the other Party with additional content standards that are in addition to or intended as limitation on those identified in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without the mutual agreement of both Parties.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4.03 </w:t>
      </w:r>
      <w:r>
        <w:rPr>
          <w:rFonts w:ascii="Times New Roman" w:cs="Times New Roman" w:eastAsia="Times New Roman" w:hAnsi="Times New Roman"/>
          <w:sz w:val="21"/>
          <w:szCs w:val="21"/>
          <w:b w:val="1"/>
          <w:bCs w:val="1"/>
          <w:u w:val="single" w:color="auto"/>
          <w:color w:val="auto"/>
        </w:rPr>
        <w:t>Development of the Advertising Services</w:t>
      </w:r>
      <w:r>
        <w:rPr>
          <w:rFonts w:ascii="Times New Roman" w:cs="Times New Roman" w:eastAsia="Times New Roman" w:hAnsi="Times New Roman"/>
          <w:sz w:val="21"/>
          <w:szCs w:val="21"/>
          <w:color w:val="auto"/>
        </w:rPr>
        <w:t>. All operational costs associated with LLC’s procurement,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preparation and delivery of the Advertising Services (including Inventory and other promotional materials as provided herein) to the Theatres shall be borne exclusively by LLC. Except as provided herein, all in-Theatre operational costs associated with AMC’s receipt and exhibition of the Advertising Services within the Theatres shall be borne exclusively by AMC; provided that, upon prior written notice to and consultation with LLC, LLC shall reimburse AMC for its reasonable incremental out-of-pocket third party costs incurred in connection with receipt and exhibition of the Advertising Services within the Theatres. Any excess on-screen Inventory which may be made available to AMC in LLC’s discretion pursuant to </w:t>
      </w:r>
      <w:r>
        <w:rPr>
          <w:rFonts w:ascii="Times New Roman" w:cs="Times New Roman" w:eastAsia="Times New Roman" w:hAnsi="Times New Roman"/>
          <w:sz w:val="21"/>
          <w:szCs w:val="21"/>
          <w:u w:val="single" w:color="auto"/>
          <w:color w:val="auto"/>
        </w:rPr>
        <w:t>Section 5.03</w:t>
      </w:r>
      <w:r>
        <w:rPr>
          <w:rFonts w:ascii="Times New Roman" w:cs="Times New Roman" w:eastAsia="Times New Roman" w:hAnsi="Times New Roman"/>
          <w:sz w:val="21"/>
          <w:szCs w:val="21"/>
          <w:color w:val="auto"/>
        </w:rPr>
        <w:t xml:space="preserve"> or otherwise, and any other on-screen Inventory provided by AMC pursuant to </w:t>
      </w:r>
      <w:r>
        <w:rPr>
          <w:rFonts w:ascii="Times New Roman" w:cs="Times New Roman" w:eastAsia="Times New Roman" w:hAnsi="Times New Roman"/>
          <w:sz w:val="21"/>
          <w:szCs w:val="21"/>
          <w:u w:val="single" w:color="auto"/>
          <w:color w:val="auto"/>
        </w:rPr>
        <w:t>Section 4.04</w:t>
      </w:r>
      <w:r>
        <w:rPr>
          <w:rFonts w:ascii="Times New Roman" w:cs="Times New Roman" w:eastAsia="Times New Roman" w:hAnsi="Times New Roman"/>
          <w:sz w:val="21"/>
          <w:szCs w:val="21"/>
          <w:color w:val="auto"/>
        </w:rPr>
        <w:t xml:space="preserve">,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AMC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4.02</w:t>
      </w:r>
      <w:r>
        <w:rPr>
          <w:rFonts w:ascii="Times New Roman" w:cs="Times New Roman" w:eastAsia="Times New Roman" w:hAnsi="Times New Roman"/>
          <w:sz w:val="21"/>
          <w:szCs w:val="21"/>
          <w:color w:val="auto"/>
        </w:rPr>
        <w:t>, and (iii) be fully produced in accordance with LLC’s technical specifications as promulgated by LLC</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from time to time (all as provided in written or electronic form to AMC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AMC within five (5) business days. Any such Inventory provided by AMC and not rejected within such time frame shall be deemed approved and incorporated into the Advertising Services. Any Inventory provided by AMC for review and approval by LLC need not, once approved by LLC, be resubmitted by AMC for approval in connection with any future use. During the Term, the Parties will use commercially reasonable efforts to collaborate on a more modern and engaging approach to the Advertising Services and other content displayed prior to feature films and Digital Programming Events with any changes focused on increased revenue and audience engagement.</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4.04</w:t>
      </w:r>
      <w:r>
        <w:rPr>
          <w:sz w:val="20"/>
          <w:szCs w:val="20"/>
          <w:color w:val="auto"/>
        </w:rPr>
        <w:tab/>
      </w:r>
      <w:r>
        <w:rPr>
          <w:rFonts w:ascii="Times New Roman" w:cs="Times New Roman" w:eastAsia="Times New Roman" w:hAnsi="Times New Roman"/>
          <w:sz w:val="21"/>
          <w:szCs w:val="21"/>
          <w:b w:val="1"/>
          <w:bCs w:val="1"/>
          <w:u w:val="single" w:color="auto"/>
          <w:color w:val="auto"/>
        </w:rPr>
        <w:t>Policy Trailer; Branded Slots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4" w:lineRule="auto"/>
        <w:tabs>
          <w:tab w:leader="none" w:pos="197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At AMC’s request, LLC agrees to create, in conjunction with and subject to AMC’s prior approval, an AMC brand identity (the “</w:t>
      </w:r>
      <w:r>
        <w:rPr>
          <w:rFonts w:ascii="Times New Roman" w:cs="Times New Roman" w:eastAsia="Times New Roman" w:hAnsi="Times New Roman"/>
          <w:sz w:val="22"/>
          <w:szCs w:val="22"/>
          <w:b w:val="1"/>
          <w:bCs w:val="1"/>
          <w:color w:val="auto"/>
        </w:rPr>
        <w:t>Brand</w:t>
      </w:r>
      <w:r>
        <w:rPr>
          <w:rFonts w:ascii="Times New Roman" w:cs="Times New Roman" w:eastAsia="Times New Roman" w:hAnsi="Times New Roman"/>
          <w:sz w:val="22"/>
          <w:szCs w:val="22"/>
          <w:color w:val="auto"/>
        </w:rPr>
        <w:t>”) that will surround, or “house,” the Digital Content Service and include interstitial messaging (“bridges and bumps”), throughout the Play List and in the Policy Trailer, to reinforce the Brand. Except as permitted in Theatre Advertising, the Brand and the Branded Slots shall not contain the display of any advertising on behalf of a third-party, including any trademark, service mark, or logo. In addition to the interstitial messaging, the Digital Content Service will feature (i) up to [***] minutes for the promotion of AMC’s internal business and/or promotional materials for Digital Programming Events (the “</w:t>
      </w:r>
      <w:r>
        <w:rPr>
          <w:rFonts w:ascii="Times New Roman" w:cs="Times New Roman" w:eastAsia="Times New Roman" w:hAnsi="Times New Roman"/>
          <w:sz w:val="22"/>
          <w:szCs w:val="22"/>
          <w:b w:val="1"/>
          <w:bCs w:val="1"/>
          <w:color w:val="auto"/>
        </w:rPr>
        <w:t>Branded Slots</w:t>
      </w:r>
      <w:r>
        <w:rPr>
          <w:rFonts w:ascii="Times New Roman" w:cs="Times New Roman" w:eastAsia="Times New Roman" w:hAnsi="Times New Roman"/>
          <w:sz w:val="22"/>
          <w:szCs w:val="22"/>
          <w:color w:val="auto"/>
        </w:rPr>
        <w:t>”) in each Play List, (ii) the Policy Trailer, and (iii) any other content as may be agreed between AMC and LLC. The Parties hereby acknowledge that AMC has the right to exhibit the PSA Trailer after Showtime.</w:t>
      </w:r>
    </w:p>
    <w:p>
      <w:pPr>
        <w:spacing w:after="0" w:line="183" w:lineRule="exact"/>
        <w:rPr>
          <w:rFonts w:ascii="Times New Roman" w:cs="Times New Roman" w:eastAsia="Times New Roman" w:hAnsi="Times New Roman"/>
          <w:sz w:val="22"/>
          <w:szCs w:val="22"/>
          <w:color w:val="auto"/>
        </w:rPr>
      </w:pPr>
    </w:p>
    <w:p>
      <w:pPr>
        <w:jc w:val="both"/>
        <w:ind w:right="120" w:firstLine="1505"/>
        <w:spacing w:after="0" w:line="241" w:lineRule="auto"/>
        <w:tabs>
          <w:tab w:leader="none" w:pos="195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Trailer</w:t>
      </w:r>
      <w:r>
        <w:rPr>
          <w:rFonts w:ascii="Times New Roman" w:cs="Times New Roman" w:eastAsia="Times New Roman" w:hAnsi="Times New Roman"/>
          <w:sz w:val="22"/>
          <w:szCs w:val="22"/>
          <w:color w:val="auto"/>
        </w:rPr>
        <w:t>. The policy trailer will be (i) up to [***] seconds, (ii) exhibited in the Theatres after Showtime and after the Postshow, and (iii) used to feature content relating to Theatre policy and operations, and may include</w:t>
      </w:r>
    </w:p>
    <w:p>
      <w:pPr>
        <w:spacing w:after="0" w:line="1" w:lineRule="exact"/>
        <w:rPr>
          <w:rFonts w:ascii="Times New Roman" w:cs="Times New Roman" w:eastAsia="Times New Roman" w:hAnsi="Times New Roman"/>
          <w:sz w:val="22"/>
          <w:szCs w:val="22"/>
          <w:color w:val="auto"/>
        </w:rPr>
      </w:pPr>
    </w:p>
    <w:p>
      <w:pPr>
        <w:jc w:val="both"/>
        <w:ind w:right="120" w:firstLine="8"/>
        <w:spacing w:after="0" w:line="234" w:lineRule="auto"/>
        <w:tabs>
          <w:tab w:leader="none" w:pos="37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policy service announcement that promotes appropriate theatre behavior, (x) promotions of AMC Concessions, (y) the display of any trademark, service mark, logo or other branding of a film studio(s), distributor(s), or production company(ies) and (z) upon prior written approval of AMC, other promotional materials of third- party products for which LLC sells advertising and is paid a fee (the “</w:t>
      </w:r>
      <w:r>
        <w:rPr>
          <w:rFonts w:ascii="Times New Roman" w:cs="Times New Roman" w:eastAsia="Times New Roman" w:hAnsi="Times New Roman"/>
          <w:sz w:val="22"/>
          <w:szCs w:val="22"/>
          <w:b w:val="1"/>
          <w:bCs w:val="1"/>
          <w:color w:val="auto"/>
        </w:rPr>
        <w:t>Policy Trailer</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right="120" w:firstLine="1505"/>
        <w:spacing w:after="0" w:line="235" w:lineRule="auto"/>
        <w:tabs>
          <w:tab w:leader="none" w:pos="195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Branded Slot</w:t>
      </w:r>
      <w:r>
        <w:rPr>
          <w:rFonts w:ascii="Times New Roman" w:cs="Times New Roman" w:eastAsia="Times New Roman" w:hAnsi="Times New Roman"/>
          <w:sz w:val="22"/>
          <w:szCs w:val="22"/>
          <w:color w:val="auto"/>
        </w:rPr>
        <w:t>. Each Branded Slot may only exhibit Theatre Advertising and/or Sponsor Messages in connection with Event Sponsorships. LLC is required to include no less than [***] seconds of Branded Slots within the final [***] minutes of the Play List during the Preshow, [***] seconds of which shall be included within the final [***] minutes of the Play List during the Preshow; provided, that LLC may begin these Branded Slots up to one minute earlier when LLC expands the amount of advertising units that follow these Branded Slots through the sale of additional advertising to third parties. AMC may display Theatre Advertising after the Pre-Feature Program and prior to any feature film or Digital Programming Event, provided, however, that the time after the Pre-Feature Program will remain substantially consistent with AMC’s past practice prior to the Execution Date.</w:t>
      </w:r>
    </w:p>
    <w:p>
      <w:pPr>
        <w:spacing w:after="0" w:line="178" w:lineRule="exact"/>
        <w:rPr>
          <w:rFonts w:ascii="Times New Roman" w:cs="Times New Roman" w:eastAsia="Times New Roman" w:hAnsi="Times New Roman"/>
          <w:sz w:val="22"/>
          <w:szCs w:val="22"/>
          <w:color w:val="auto"/>
        </w:rPr>
      </w:pPr>
    </w:p>
    <w:p>
      <w:pPr>
        <w:ind w:right="120" w:firstLine="1505"/>
        <w:spacing w:after="0" w:line="258" w:lineRule="auto"/>
        <w:tabs>
          <w:tab w:leader="none" w:pos="192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xml:space="preserve">. Other than as permitted in </w:t>
      </w:r>
      <w:r>
        <w:rPr>
          <w:rFonts w:ascii="Times New Roman" w:cs="Times New Roman" w:eastAsia="Times New Roman" w:hAnsi="Times New Roman"/>
          <w:sz w:val="22"/>
          <w:szCs w:val="22"/>
          <w:u w:val="single" w:color="auto"/>
          <w:color w:val="auto"/>
        </w:rPr>
        <w:t>Sections 4.04(a)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 none of the Brand, the Policy Trailer, or the Branded Slots will include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third-party advertising and/or third-party mentions for products and services, without LLC’s prior written approval; provided that a Branded Slot promoting a Digital Programming Event may include a Sponsor Message.</w:t>
      </w:r>
    </w:p>
    <w:p>
      <w:pPr>
        <w:spacing w:after="0" w:line="15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4.05</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Beverage </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2" w:lineRule="auto"/>
        <w:tabs>
          <w:tab w:leader="none" w:pos="197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Beverage Agreements</w:t>
      </w:r>
      <w:r>
        <w:rPr>
          <w:rFonts w:ascii="Times New Roman" w:cs="Times New Roman" w:eastAsia="Times New Roman" w:hAnsi="Times New Roman"/>
          <w:sz w:val="22"/>
          <w:szCs w:val="22"/>
          <w:color w:val="auto"/>
        </w:rPr>
        <w:t xml:space="preserve">. LLC shall, through the expiration or other termination of AMC’s Beverage Agreement in effect on the Execution Date, display or exhibit, as applicable, as part of the Advertising Services, advertising Inventory meeting any and all specifications and requirements prescribed by the Beverage Agreement, including format, length (not to be longer than ninety (90) seconds), and placement within or after the Play List, as mutually agreed by the Parties, with compliance by LLC to be within a reasonable time after such specifications are communicated from time-to-time by AMC to LLC in a written notice. In consideration for the advertising pursuant to the Beverage Agreement, AMC agrees to pay LLC at the advertising rates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Beverage Agreement Advertising Rate</w:t>
      </w:r>
      <w:r>
        <w:rPr>
          <w:rFonts w:ascii="Times New Roman" w:cs="Times New Roman" w:eastAsia="Times New Roman" w:hAnsi="Times New Roman"/>
          <w:sz w:val="22"/>
          <w:szCs w:val="22"/>
          <w:color w:val="auto"/>
        </w:rPr>
        <w:t xml:space="preserve">”) and the Parties agree to the other changes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Beverage Agreement Advertising Rate shall be paid on or before the last day of LLC’s fiscal month following LLC’s fiscal month in which the Advertising Services related to the Beverage Agreement were provided; provided that the Parties agree that as long as the payments from LLC for the Minimum Guarantee, Theatre Maintenance Fee per Digital Cinema Screen, Revenue Share, Platinum Revenue Share, or Political Revenue Share exceed the Beverage Agreement Advertising Rate, then LLC has the right to net the payment of the Beverage Agreement Advertising Rate by setting off the amount of the Beverage Agreement Advertising Rate against the amounts owed by LLC. Beginning after AMC’s Beverage Agreement in effect on the Execution Date expires or otherwise terminates through the end of the Term, AMC shall have the right to have included in the Advertising Services advertising Inventory for its beverage concessionaires at the then current Beverage Agreement Advertising Rate; provided that AMC (i) 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AMC and its beverage concessionaire agree on terms for a new Beverage Agreement. AMC shall be permitted to prescribe the length and placement within the Play List of on-screen Inventory based on the requirements of the Beverage Agreements which may then be in effect between AMC and such then-applicable beverage concessionaires; provided that such Inventory shall not exceed ninety (90) seconds in length for all such Beverage Agreements. AMC-redacted and/or AMC-selected (by disclosure or summary) contents of the Beverage Agreement shall only be disclosed as, and to the extent, required pursuant to this Agreement, provided such disclosure would not violate the terms of such Beverage Agreement.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4.06</w:t>
      </w:r>
      <w:r>
        <w:rPr>
          <w:sz w:val="20"/>
          <w:szCs w:val="20"/>
          <w:color w:val="auto"/>
        </w:rPr>
        <w:tab/>
      </w:r>
      <w:r>
        <w:rPr>
          <w:rFonts w:ascii="Times New Roman" w:cs="Times New Roman" w:eastAsia="Times New Roman" w:hAnsi="Times New Roman"/>
          <w:sz w:val="21"/>
          <w:szCs w:val="21"/>
          <w:b w:val="1"/>
          <w:bCs w:val="1"/>
          <w:u w:val="single" w:color="auto"/>
          <w:color w:val="auto"/>
        </w:rPr>
        <w:t>Other AMC Advertising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8" w:lineRule="auto"/>
        <w:tabs>
          <w:tab w:leader="none" w:pos="195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Theatre Advertising</w:t>
      </w:r>
      <w:r>
        <w:rPr>
          <w:rFonts w:ascii="Times New Roman" w:cs="Times New Roman" w:eastAsia="Times New Roman" w:hAnsi="Times New Roman"/>
          <w:sz w:val="22"/>
          <w:szCs w:val="22"/>
          <w:color w:val="auto"/>
        </w:rPr>
        <w:t xml:space="preserve">. In addition to advertising Inventory referenced above in </w:t>
      </w:r>
      <w:r>
        <w:rPr>
          <w:rFonts w:ascii="Times New Roman" w:cs="Times New Roman" w:eastAsia="Times New Roman" w:hAnsi="Times New Roman"/>
          <w:sz w:val="22"/>
          <w:szCs w:val="22"/>
          <w:u w:val="single" w:color="auto"/>
          <w:color w:val="auto"/>
        </w:rPr>
        <w:t>Sections 4.04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4.05</w:t>
      </w:r>
      <w:r>
        <w:rPr>
          <w:rFonts w:ascii="Times New Roman" w:cs="Times New Roman" w:eastAsia="Times New Roman" w:hAnsi="Times New Roman"/>
          <w:sz w:val="22"/>
          <w:szCs w:val="22"/>
          <w:color w:val="auto"/>
        </w:rPr>
        <w:t xml:space="preserve">, AMC may purchase, on an arm’s length basis and subject to availability, as part of the Advertising Services, advertising Inventory for Theatre Advertising and to promote Digital Programming Events. AMC shall pay for Advertising Services pursuant to this </w:t>
      </w:r>
      <w:r>
        <w:rPr>
          <w:rFonts w:ascii="Times New Roman" w:cs="Times New Roman" w:eastAsia="Times New Roman" w:hAnsi="Times New Roman"/>
          <w:sz w:val="22"/>
          <w:szCs w:val="22"/>
          <w:u w:val="single" w:color="auto"/>
          <w:color w:val="auto"/>
        </w:rPr>
        <w:t>Section 4.06(a)</w:t>
      </w:r>
      <w:r>
        <w:rPr>
          <w:rFonts w:ascii="Times New Roman" w:cs="Times New Roman" w:eastAsia="Times New Roman" w:hAnsi="Times New Roman"/>
          <w:sz w:val="22"/>
          <w:szCs w:val="22"/>
          <w:color w:val="auto"/>
        </w:rPr>
        <w:t xml:space="preserve"> on or before the last day of LLC’s fiscal month following LLC’s fiscal month in which the Advertising Services were provided.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6" w:name="page67"/>
    <w:bookmarkEnd w:id="66"/>
    <w:p>
      <w:pPr>
        <w:spacing w:after="0" w:line="185" w:lineRule="exact"/>
        <w:rPr>
          <w:sz w:val="20"/>
          <w:szCs w:val="20"/>
          <w:color w:val="auto"/>
        </w:rPr>
      </w:pPr>
    </w:p>
    <w:p>
      <w:pPr>
        <w:jc w:val="both"/>
        <w:ind w:left="-20" w:firstLine="1505"/>
        <w:spacing w:after="0" w:line="233" w:lineRule="auto"/>
        <w:tabs>
          <w:tab w:leader="none" w:pos="192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Non-Theatre Advertising</w:t>
      </w:r>
      <w:r>
        <w:rPr>
          <w:rFonts w:ascii="Times New Roman" w:cs="Times New Roman" w:eastAsia="Times New Roman" w:hAnsi="Times New Roman"/>
          <w:sz w:val="22"/>
          <w:szCs w:val="22"/>
          <w:color w:val="auto"/>
        </w:rPr>
        <w:t>. AMC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AMC (other than revenue from any Advertising Services) (the “</w:t>
      </w:r>
      <w:r>
        <w:rPr>
          <w:rFonts w:ascii="Times New Roman" w:cs="Times New Roman" w:eastAsia="Times New Roman" w:hAnsi="Times New Roman"/>
          <w:sz w:val="22"/>
          <w:szCs w:val="22"/>
          <w:b w:val="1"/>
          <w:bCs w:val="1"/>
          <w:color w:val="auto"/>
        </w:rPr>
        <w:t>Strategic Relationship</w:t>
      </w:r>
      <w:r>
        <w:rPr>
          <w:rFonts w:ascii="Times New Roman" w:cs="Times New Roman" w:eastAsia="Times New Roman" w:hAnsi="Times New Roman"/>
          <w:sz w:val="22"/>
          <w:szCs w:val="22"/>
          <w:color w:val="auto"/>
        </w:rPr>
        <w:t xml:space="preserve">”) with advertising of such products or services being presented in the Theatres (with advertising in the Lobby Entertainment Program and Lobby Promotions to be set forth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Strategic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Programs</w:t>
      </w:r>
      <w:r>
        <w:rPr>
          <w:rFonts w:ascii="Times New Roman" w:cs="Times New Roman" w:eastAsia="Times New Roman" w:hAnsi="Times New Roman"/>
          <w:sz w:val="22"/>
          <w:szCs w:val="22"/>
          <w:color w:val="auto"/>
        </w:rPr>
        <w:t>”), subject to the terms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 Strategic Programs may not be made on an exclusive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Strategic Programs entered into in connection with a Digital Programming Event shall not include any third-party advertising, trademarks, service marks, logos or other branding and/or third-party mentions for products and services except for a Sponsor Message. AMC covenants that it shall not re-sell any Advertising Services, including those received in connection with Strategic Programs. Strategic Programs shall be subject to the following limitations:</w:t>
      </w:r>
    </w:p>
    <w:p>
      <w:pPr>
        <w:spacing w:after="0" w:line="187" w:lineRule="exact"/>
        <w:rPr>
          <w:rFonts w:ascii="Times New Roman" w:cs="Times New Roman" w:eastAsia="Times New Roman" w:hAnsi="Times New Roman"/>
          <w:sz w:val="22"/>
          <w:szCs w:val="22"/>
          <w:color w:val="auto"/>
        </w:rPr>
      </w:pPr>
    </w:p>
    <w:p>
      <w:pPr>
        <w:jc w:val="both"/>
        <w:ind w:left="-20" w:firstLine="2254"/>
        <w:spacing w:after="0" w:line="229" w:lineRule="auto"/>
        <w:tabs>
          <w:tab w:leader="none" w:pos="268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Strategic Programs</w:t>
      </w:r>
      <w:r>
        <w:rPr>
          <w:rFonts w:ascii="Times New Roman" w:cs="Times New Roman" w:eastAsia="Times New Roman" w:hAnsi="Times New Roman"/>
          <w:sz w:val="22"/>
          <w:szCs w:val="22"/>
          <w:color w:val="auto"/>
        </w:rPr>
        <w:t xml:space="preserve">. AMC may conduct at no cost with respect to any Strategic Programs no more than (A) two (2) local or regional promotions per Flight per Theatre and (B) four (4) national promotions per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more than one national promotion may run at any time (the “</w:t>
      </w:r>
      <w:r>
        <w:rPr>
          <w:rFonts w:ascii="Times New Roman" w:cs="Times New Roman" w:eastAsia="Times New Roman" w:hAnsi="Times New Roman"/>
          <w:sz w:val="22"/>
          <w:szCs w:val="22"/>
          <w:b w:val="1"/>
          <w:bCs w:val="1"/>
          <w:color w:val="auto"/>
        </w:rPr>
        <w:t>Client Limitation</w:t>
      </w:r>
      <w:r>
        <w:rPr>
          <w:rFonts w:ascii="Times New Roman" w:cs="Times New Roman" w:eastAsia="Times New Roman" w:hAnsi="Times New Roman"/>
          <w:sz w:val="22"/>
          <w:szCs w:val="22"/>
          <w:color w:val="auto"/>
        </w:rPr>
        <w:t xml:space="preserve">”).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 xml:space="preserve">,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 a local or regional promotion is a promotion that is exhibited in Theatres located within one or two contiguous Designated Marketing Areas (as defined by the term DMA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a registered trademark of Nielsen Marketing Research, Inc.), and a national promotion is a promotion that is exhibited in Theatres located within two (other than two contiguous) or more Designated Marketing Areas.</w:t>
      </w:r>
    </w:p>
    <w:p>
      <w:pPr>
        <w:spacing w:after="0" w:line="180" w:lineRule="exact"/>
        <w:rPr>
          <w:rFonts w:ascii="Times New Roman" w:cs="Times New Roman" w:eastAsia="Times New Roman" w:hAnsi="Times New Roman"/>
          <w:sz w:val="22"/>
          <w:szCs w:val="22"/>
          <w:color w:val="auto"/>
        </w:rPr>
      </w:pPr>
    </w:p>
    <w:p>
      <w:pPr>
        <w:ind w:left="-20" w:firstLine="2254"/>
        <w:spacing w:after="0" w:line="262" w:lineRule="auto"/>
        <w:tabs>
          <w:tab w:leader="none" w:pos="265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Strategic LEN Promotions</w:t>
      </w:r>
      <w:r>
        <w:rPr>
          <w:rFonts w:ascii="Times New Roman" w:cs="Times New Roman" w:eastAsia="Times New Roman" w:hAnsi="Times New Roman"/>
          <w:sz w:val="22"/>
          <w:szCs w:val="22"/>
          <w:color w:val="auto"/>
        </w:rPr>
        <w:t>. Strategic Programs in the Lobby Entertainment Program (“</w:t>
      </w:r>
      <w:r>
        <w:rPr>
          <w:rFonts w:ascii="Times New Roman" w:cs="Times New Roman" w:eastAsia="Times New Roman" w:hAnsi="Times New Roman"/>
          <w:sz w:val="22"/>
          <w:szCs w:val="22"/>
          <w:b w:val="1"/>
          <w:bCs w:val="1"/>
          <w:color w:val="auto"/>
        </w:rPr>
        <w:t>Strategic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LEN Promotions</w:t>
      </w:r>
      <w:r>
        <w:rPr>
          <w:rFonts w:ascii="Times New Roman" w:cs="Times New Roman" w:eastAsia="Times New Roman" w:hAnsi="Times New Roman"/>
          <w:sz w:val="22"/>
          <w:szCs w:val="22"/>
          <w:color w:val="auto"/>
        </w:rPr>
        <w:t>”) are addressed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20" w:firstLine="2254"/>
        <w:spacing w:after="0" w:line="262" w:lineRule="auto"/>
        <w:tabs>
          <w:tab w:leader="none" w:pos="267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Strategic Lobby Promotions</w:t>
      </w:r>
      <w:r>
        <w:rPr>
          <w:rFonts w:ascii="Times New Roman" w:cs="Times New Roman" w:eastAsia="Times New Roman" w:hAnsi="Times New Roman"/>
          <w:sz w:val="22"/>
          <w:szCs w:val="22"/>
          <w:color w:val="auto"/>
        </w:rPr>
        <w:t>. Strategic Programs through Lobby Promotions (“</w:t>
      </w:r>
      <w:r>
        <w:rPr>
          <w:rFonts w:ascii="Times New Roman" w:cs="Times New Roman" w:eastAsia="Times New Roman" w:hAnsi="Times New Roman"/>
          <w:sz w:val="22"/>
          <w:szCs w:val="22"/>
          <w:b w:val="1"/>
          <w:bCs w:val="1"/>
          <w:color w:val="auto"/>
        </w:rPr>
        <w:t>Strategic Lobby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Promotions</w:t>
      </w:r>
      <w:r>
        <w:rPr>
          <w:rFonts w:ascii="Times New Roman" w:cs="Times New Roman" w:eastAsia="Times New Roman" w:hAnsi="Times New Roman"/>
          <w:sz w:val="22"/>
          <w:szCs w:val="22"/>
          <w:color w:val="auto"/>
        </w:rPr>
        <w:t>”) are addressed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4.07</w:t>
      </w:r>
      <w:r>
        <w:rPr>
          <w:sz w:val="20"/>
          <w:szCs w:val="20"/>
          <w:color w:val="auto"/>
        </w:rPr>
        <w:tab/>
      </w:r>
      <w:r>
        <w:rPr>
          <w:rFonts w:ascii="Times New Roman" w:cs="Times New Roman" w:eastAsia="Times New Roman" w:hAnsi="Times New Roman"/>
          <w:sz w:val="21"/>
          <w:szCs w:val="21"/>
          <w:b w:val="1"/>
          <w:bCs w:val="1"/>
          <w:u w:val="single" w:color="auto"/>
          <w:color w:val="auto"/>
        </w:rPr>
        <w:t>AMC Run-Out Obligations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 w:firstLine="1505"/>
        <w:spacing w:after="0" w:line="238" w:lineRule="auto"/>
        <w:tabs>
          <w:tab w:leader="none" w:pos="192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Encumbered Theatres</w:t>
      </w:r>
      <w:r>
        <w:rPr>
          <w:rFonts w:ascii="Times New Roman" w:cs="Times New Roman" w:eastAsia="Times New Roman" w:hAnsi="Times New Roman"/>
          <w:sz w:val="22"/>
          <w:szCs w:val="22"/>
          <w:color w:val="auto"/>
        </w:rPr>
        <w:t>. AMC agrees to provide LLC written notice as much in advance as is reasonably practicable under the circumstances of, and to furnish LLC true and correct copies (reasonably redacted by AMC and subject to confidentiality) of all documentation evidencing, all valid, pre-existing contractual obligations (the “</w:t>
      </w:r>
      <w:r>
        <w:rPr>
          <w:rFonts w:ascii="Times New Roman" w:cs="Times New Roman" w:eastAsia="Times New Roman" w:hAnsi="Times New Roman"/>
          <w:sz w:val="22"/>
          <w:szCs w:val="22"/>
          <w:b w:val="1"/>
          <w:bCs w:val="1"/>
          <w:color w:val="auto"/>
        </w:rPr>
        <w:t>Run-Out Obligations</w:t>
      </w:r>
      <w:r>
        <w:rPr>
          <w:rFonts w:ascii="Times New Roman" w:cs="Times New Roman" w:eastAsia="Times New Roman" w:hAnsi="Times New Roman"/>
          <w:sz w:val="22"/>
          <w:szCs w:val="22"/>
          <w:color w:val="auto"/>
        </w:rPr>
        <w:t>”) relating to any of the advertising, promotional and event activities and services in any Additional Theatres for which LLC would otherwise have consent rights to add to the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892175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67" w:name="page68"/>
    <w:bookmarkEnd w:id="67"/>
    <w:p>
      <w:pPr>
        <w:spacing w:after="0" w:line="1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2"/>
          <w:szCs w:val="22"/>
          <w:color w:val="auto"/>
        </w:rPr>
        <w:t>Digital Content Network (collectively, the “</w:t>
      </w:r>
      <w:r>
        <w:rPr>
          <w:rFonts w:ascii="Times New Roman" w:cs="Times New Roman" w:eastAsia="Times New Roman" w:hAnsi="Times New Roman"/>
          <w:sz w:val="22"/>
          <w:szCs w:val="22"/>
          <w:b w:val="1"/>
          <w:bCs w:val="1"/>
          <w:color w:val="auto"/>
        </w:rPr>
        <w:t>Encumbered Theatres</w:t>
      </w:r>
      <w:r>
        <w:rPr>
          <w:rFonts w:ascii="Times New Roman" w:cs="Times New Roman" w:eastAsia="Times New Roman" w:hAnsi="Times New Roman"/>
          <w:sz w:val="22"/>
          <w:szCs w:val="22"/>
          <w:color w:val="auto"/>
        </w:rPr>
        <w:t>”); provided such disclosure does not violate the terms of any such agreements.</w:t>
      </w:r>
    </w:p>
    <w:p>
      <w:pPr>
        <w:spacing w:after="0" w:line="154" w:lineRule="exact"/>
        <w:rPr>
          <w:sz w:val="20"/>
          <w:szCs w:val="20"/>
          <w:color w:val="auto"/>
        </w:rPr>
      </w:pPr>
    </w:p>
    <w:p>
      <w:pPr>
        <w:jc w:val="both"/>
        <w:ind w:right="120" w:firstLine="2254"/>
        <w:spacing w:after="0" w:line="244" w:lineRule="auto"/>
        <w:tabs>
          <w:tab w:leader="none" w:pos="270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Run-Out Obligations</w:t>
      </w:r>
      <w:r>
        <w:rPr>
          <w:rFonts w:ascii="Times New Roman" w:cs="Times New Roman" w:eastAsia="Times New Roman" w:hAnsi="Times New Roman"/>
          <w:sz w:val="22"/>
          <w:szCs w:val="22"/>
          <w:color w:val="auto"/>
        </w:rPr>
        <w:t>. AMC shall, effective upon acquisition of the Encumbered Theatre, terminate any agreements between AMC and an Affiliate relating to advertising, promotional and event activities and services in any Encumbered Theatre, so that any such agreements do not create Run-Out Obligations.</w:t>
      </w:r>
    </w:p>
    <w:p>
      <w:pPr>
        <w:spacing w:after="0" w:line="173" w:lineRule="exact"/>
        <w:rPr>
          <w:rFonts w:ascii="Times New Roman" w:cs="Times New Roman" w:eastAsia="Times New Roman" w:hAnsi="Times New Roman"/>
          <w:sz w:val="22"/>
          <w:szCs w:val="22"/>
          <w:color w:val="auto"/>
        </w:rPr>
      </w:pPr>
    </w:p>
    <w:p>
      <w:pPr>
        <w:jc w:val="both"/>
        <w:ind w:right="120" w:firstLine="2254"/>
        <w:spacing w:after="0" w:line="233" w:lineRule="auto"/>
        <w:tabs>
          <w:tab w:leader="none" w:pos="26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Run-Out Obligations</w:t>
      </w:r>
      <w:r>
        <w:rPr>
          <w:rFonts w:ascii="Times New Roman" w:cs="Times New Roman" w:eastAsia="Times New Roman" w:hAnsi="Times New Roman"/>
          <w:sz w:val="22"/>
          <w:szCs w:val="22"/>
          <w:color w:val="auto"/>
        </w:rPr>
        <w:t>. AMC and/or its Affiliates (as applicable) shall be permitted to abide by the terms of the Run-Out Obligations; however, AMC agrees, subject to legal constraints (if any), to use commercially reasonable efforts to obtain the termination of such Run-Out Obligations, including without limitation neither extending nor renewing such Run-Out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AMC shall have no obligation to make any payment in connection with obtaining the termination of such Run-Out Obligations). AMC further agrees not to enter into any new agreement with any third party with respect to any Encumbered Theatre, or amend or modify any Run-Out Obligation, to the extent such agreement, amendment or modification would be inconsistent with the rights of LLC under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or have the effect of any extension. Prior to the expiration of the Run-Out Obligations, each Encumbered Theatre may, upon the mutual agreement of LLC and AMC, become a Theatre with respect to some or all of the Advertising Services,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election does not create a default under any Run-Out Obligation. In any event, except in accordance with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(Excluded Theatres), if any, or as may be mutually agreed by the Parties in writing, each Encumbered Theatre shall automatically become a Theatre, for all purposes hereof, no later than the expiration of the Run-Out Obligations with respect to such Encumbered Theatre.</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4.08 </w:t>
      </w:r>
      <w:r>
        <w:rPr>
          <w:rFonts w:ascii="Times New Roman" w:cs="Times New Roman" w:eastAsia="Times New Roman" w:hAnsi="Times New Roman"/>
          <w:sz w:val="22"/>
          <w:szCs w:val="22"/>
          <w:b w:val="1"/>
          <w:bCs w:val="1"/>
          <w:u w:val="single" w:color="auto"/>
          <w:color w:val="auto"/>
        </w:rPr>
        <w:t>License</w:t>
      </w:r>
      <w:r>
        <w:rPr>
          <w:rFonts w:ascii="Times New Roman" w:cs="Times New Roman" w:eastAsia="Times New Roman" w:hAnsi="Times New Roman"/>
          <w:sz w:val="22"/>
          <w:szCs w:val="22"/>
          <w:color w:val="auto"/>
        </w:rPr>
        <w:t>. LLC hereby grants to AMC and its Affiliates a limited, non- exclusive, non-transferable, non-sublicenseable license in the Theatres only to receive, store, display and exhibit the Digital Content Service and the Digital Carousel, as applicable, on the LLC Equipment and the AMC Equipment solely in connection with its performance of and subject to all of the terms and conditions of this Agreement. AMC may not alter intentionally the Digital Content Service or the Digital Carousel or otherwise intentionally exhibit the Digital Content Service or the Digital Carousel in a manner resulting in a change to the Digital Content Service or Digital Carousel or any related on-screen Inventory, nor may AMC use or make the Digital Content Service or Digital Carousel available for any purpose, at any location, or in any manner not specifically authorized by this Agreement, including without limitation recording, copying or duplicating the Digital Content Service or Digital Carousel or any portion thereof. AMC shall at all times receive and exhibit the Digital Content Service and Digital Carousel in accordance with such policies and procedures of LLC that are provided in advance to AMC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spacing w:after="0" w:line="18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4.09 </w:t>
      </w:r>
      <w:r>
        <w:rPr>
          <w:rFonts w:ascii="Times New Roman" w:cs="Times New Roman" w:eastAsia="Times New Roman" w:hAnsi="Times New Roman"/>
          <w:sz w:val="22"/>
          <w:szCs w:val="22"/>
          <w:b w:val="1"/>
          <w:bCs w:val="1"/>
          <w:u w:val="single" w:color="auto"/>
          <w:color w:val="auto"/>
        </w:rPr>
        <w:t>Cooperation and Assistance</w:t>
      </w:r>
      <w:r>
        <w:rPr>
          <w:rFonts w:ascii="Times New Roman" w:cs="Times New Roman" w:eastAsia="Times New Roman" w:hAnsi="Times New Roman"/>
          <w:sz w:val="22"/>
          <w:szCs w:val="22"/>
          <w:color w:val="auto"/>
        </w:rPr>
        <w:t>. The Parties agree that the effectiveness and quality of the Advertising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as provided by LLC are dependent on the cooperation and operational support of both Parties.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ind w:firstLine="1505"/>
        <w:spacing w:after="0" w:line="258" w:lineRule="auto"/>
        <w:tabs>
          <w:tab w:leader="none" w:pos="194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w:t>
      </w:r>
      <w:r>
        <w:rPr>
          <w:rFonts w:ascii="Times New Roman" w:cs="Times New Roman" w:eastAsia="Times New Roman" w:hAnsi="Times New Roman"/>
          <w:sz w:val="22"/>
          <w:szCs w:val="22"/>
          <w:color w:val="auto"/>
        </w:rPr>
        <w:t>. AMC agrees that it (and each of the Theatres) shall at all times during the Term provide LLC, at AMC’s own cost except as otherwise provided in this Agreement, with the following:</w:t>
      </w:r>
    </w:p>
    <w:p>
      <w:pPr>
        <w:spacing w:after="0" w:line="158" w:lineRule="exact"/>
        <w:rPr>
          <w:rFonts w:ascii="Times New Roman" w:cs="Times New Roman" w:eastAsia="Times New Roman" w:hAnsi="Times New Roman"/>
          <w:sz w:val="22"/>
          <w:szCs w:val="22"/>
          <w:color w:val="auto"/>
        </w:rPr>
      </w:pPr>
    </w:p>
    <w:p>
      <w:pPr>
        <w:ind w:firstLine="2254"/>
        <w:spacing w:after="0" w:line="244" w:lineRule="auto"/>
        <w:tabs>
          <w:tab w:leader="none" w:pos="26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spacing w:after="0" w:line="173" w:lineRule="exact"/>
        <w:rPr>
          <w:rFonts w:ascii="Times New Roman" w:cs="Times New Roman" w:eastAsia="Times New Roman" w:hAnsi="Times New Roman"/>
          <w:sz w:val="22"/>
          <w:szCs w:val="22"/>
          <w:color w:val="auto"/>
        </w:rPr>
      </w:pPr>
    </w:p>
    <w:p>
      <w:pPr>
        <w:jc w:val="both"/>
        <w:ind w:firstLine="2254"/>
        <w:spacing w:after="0" w:line="235" w:lineRule="auto"/>
        <w:tabs>
          <w:tab w:leader="none" w:pos="26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unavailable, 24 (hour) by 7 (day) “real time” access via AMC’s network assets in conformity with AMC’s network use and security policies (provided in advance to LLC and consistently applied with respect to other AMC service providers) to the in-Theatre software and hardware components of the Digital Content Network, consistent with the Specification Documentation, so that LLC can monitor the distribution and playback, including immediate proof of playback, which LLC may use a third-party service to monitor), of the Advertising Services and the Parties will reasonably cooperate to ensure that corrections or changes are made as required to deliver the Advertising Services (LLC may engage a third-party to assist in LLC’s monitoring of the proof of playback);</w:t>
      </w:r>
    </w:p>
    <w:p>
      <w:pPr>
        <w:spacing w:after="0" w:line="183"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detailed playback information in a form, whether electronic or hard copy, and at such times as either AMC or LLC shall reasonably request;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 notification of reception, playback or other technical problems associated with receipt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Advertising Services;</w:t>
      </w:r>
    </w:p>
    <w:p>
      <w:pPr>
        <w:spacing w:after="0" w:line="182" w:lineRule="exact"/>
        <w:rPr>
          <w:rFonts w:ascii="Times New Roman" w:cs="Times New Roman" w:eastAsia="Times New Roman" w:hAnsi="Times New Roman"/>
          <w:sz w:val="21"/>
          <w:szCs w:val="21"/>
          <w:color w:val="auto"/>
        </w:rPr>
      </w:pPr>
    </w:p>
    <w:p>
      <w:pPr>
        <w:ind w:firstLine="2254"/>
        <w:spacing w:after="0" w:line="258" w:lineRule="auto"/>
        <w:tabs>
          <w:tab w:leader="none" w:pos="26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quality audits performed by AMC periodically during the Term upon LLC’s request and at its direction to confirm playback compliance;</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adequate opportunities to train AMC personnel, as provided in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attendance data film-by-film, rating-by-rating and Theatre-by-Theatre for all Theatres, in an electronic form and in a format agreed by the Parties, at such times as are consistent with AMC’s internal reporting systems but in any event at least weekly;</w:t>
      </w:r>
    </w:p>
    <w:p>
      <w:pPr>
        <w:spacing w:after="0" w:line="173" w:lineRule="exact"/>
        <w:rPr>
          <w:rFonts w:ascii="Times New Roman" w:cs="Times New Roman" w:eastAsia="Times New Roman" w:hAnsi="Times New Roman"/>
          <w:sz w:val="22"/>
          <w:szCs w:val="22"/>
          <w:color w:val="auto"/>
        </w:rPr>
      </w:pPr>
    </w:p>
    <w:p>
      <w:pPr>
        <w:jc w:val="both"/>
        <w:ind w:firstLine="2254"/>
        <w:spacing w:after="0" w:line="234" w:lineRule="auto"/>
        <w:tabs>
          <w:tab w:leader="none" w:pos="311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monthly, quarterly and annual basis as requested by LLC from time to time, a list of all Theatres, including (i) identification of which Theatres are Non-Digitized Theatres, (ii) the number of total screens and digital screens at each Theatre and for all Theatres at which Advertising Services are provided, (iii) identification of any Theatres that are not equipped with at least one Lobby Screen to display the Lobby Entertainment Program, (iv) identification of the Standard Format Screens and Premium Large Format Screens, (v) attendance for screens on which Advertising Services are provided (by Theatre and in total), including separate identification of attendance for [***], and screens on which Advertising Services under the Beverage Agreement is provided (if different); (vi) upon LLC’s request, identification of Theatres in which Advertising Services are not provided, and the attendance and number of screens at such theatres; (vii) estimated Theatre opening and closing dates; and (viii) such other information described reasonably requested by LLC, as such may be amended from time to time by mutual agreement of the Parties;</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69" w:name="page70"/>
    <w:bookmarkEnd w:id="69"/>
    <w:p>
      <w:pPr>
        <w:spacing w:after="0" w:line="185" w:lineRule="exact"/>
        <w:rPr>
          <w:sz w:val="20"/>
          <w:szCs w:val="20"/>
          <w:color w:val="auto"/>
        </w:rPr>
      </w:pPr>
    </w:p>
    <w:p>
      <w:pPr>
        <w:ind w:right="140" w:firstLine="2254"/>
        <w:spacing w:after="0" w:line="258" w:lineRule="auto"/>
        <w:tabs>
          <w:tab w:leader="none" w:pos="267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AMC’s budgeted attendance by theatre (and by month if AMC budgets on a monthly basis) for the next full fiscal year once approved by AMC’s board, and;</w:t>
      </w:r>
    </w:p>
    <w:p>
      <w:pPr>
        <w:spacing w:after="0" w:line="158" w:lineRule="exact"/>
        <w:rPr>
          <w:rFonts w:ascii="Times New Roman" w:cs="Times New Roman" w:eastAsia="Times New Roman" w:hAnsi="Times New Roman"/>
          <w:sz w:val="22"/>
          <w:szCs w:val="22"/>
          <w:color w:val="auto"/>
        </w:rPr>
      </w:pPr>
    </w:p>
    <w:p>
      <w:pPr>
        <w:ind w:right="120" w:firstLine="2254"/>
        <w:spacing w:after="0" w:line="258" w:lineRule="auto"/>
        <w:tabs>
          <w:tab w:leader="none" w:pos="2678"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the Advertising Services as LLC may reasonably request from time to time, as AMC agrees to provide in its sole discretion;</w:t>
      </w:r>
    </w:p>
    <w:p>
      <w:pPr>
        <w:spacing w:after="0" w:line="158" w:lineRule="exact"/>
        <w:rPr>
          <w:rFonts w:ascii="Times New Roman" w:cs="Times New Roman" w:eastAsia="Times New Roman" w:hAnsi="Times New Roman"/>
          <w:sz w:val="22"/>
          <w:szCs w:val="22"/>
          <w:color w:val="auto"/>
        </w:rPr>
      </w:pPr>
    </w:p>
    <w:p>
      <w:pPr>
        <w:ind w:right="120" w:firstLine="1505"/>
        <w:spacing w:after="0" w:line="258" w:lineRule="auto"/>
        <w:tabs>
          <w:tab w:leader="none" w:pos="194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LLC</w:t>
      </w:r>
      <w:r>
        <w:rPr>
          <w:rFonts w:ascii="Times New Roman" w:cs="Times New Roman" w:eastAsia="Times New Roman" w:hAnsi="Times New Roman"/>
          <w:sz w:val="22"/>
          <w:szCs w:val="22"/>
          <w:color w:val="auto"/>
        </w:rPr>
        <w:t>. LLC agrees that it shall at all times during the Term provide AMC, at LLC’s own cost except as otherwise provided in this Agreement, with the following:</w:t>
      </w:r>
    </w:p>
    <w:p>
      <w:pPr>
        <w:spacing w:after="0" w:line="158" w:lineRule="exact"/>
        <w:rPr>
          <w:rFonts w:ascii="Times New Roman" w:cs="Times New Roman" w:eastAsia="Times New Roman" w:hAnsi="Times New Roman"/>
          <w:sz w:val="22"/>
          <w:szCs w:val="22"/>
          <w:color w:val="auto"/>
        </w:rPr>
      </w:pPr>
    </w:p>
    <w:p>
      <w:pPr>
        <w:ind w:right="120" w:firstLine="2254"/>
        <w:spacing w:after="0" w:line="244" w:lineRule="auto"/>
        <w:tabs>
          <w:tab w:leader="none" w:pos="267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weekly basis, a report of compliance by each Theatre with on-screen advertising requirements and reasons for any noncompliance, including a report of compliance relating to the Beverage Agreement (the “</w:t>
      </w:r>
      <w:r>
        <w:rPr>
          <w:rFonts w:ascii="Times New Roman" w:cs="Times New Roman" w:eastAsia="Times New Roman" w:hAnsi="Times New Roman"/>
          <w:sz w:val="22"/>
          <w:szCs w:val="22"/>
          <w:b w:val="1"/>
          <w:bCs w:val="1"/>
          <w:color w:val="auto"/>
        </w:rPr>
        <w:t>Beverage Compliance Report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160" w:firstLine="2254"/>
        <w:spacing w:after="0" w:line="258" w:lineRule="auto"/>
        <w:tabs>
          <w:tab w:leader="none" w:pos="2678"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weekly basis, a representative Play List of national advertising, which LLC shall make available no later than two business days prior to the day on which the Play List be implemented;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monthly basis, a report regarding local advertising.</w:t>
      </w:r>
    </w:p>
    <w:p>
      <w:pPr>
        <w:spacing w:after="0" w:line="206" w:lineRule="exact"/>
        <w:rPr>
          <w:rFonts w:ascii="Times New Roman" w:cs="Times New Roman" w:eastAsia="Times New Roman" w:hAnsi="Times New Roman"/>
          <w:sz w:val="22"/>
          <w:szCs w:val="22"/>
          <w:color w:val="auto"/>
        </w:rPr>
      </w:pPr>
    </w:p>
    <w:p>
      <w:pPr>
        <w:jc w:val="both"/>
        <w:ind w:right="120" w:firstLine="1505"/>
        <w:spacing w:after="0" w:line="239" w:lineRule="auto"/>
        <w:tabs>
          <w:tab w:leader="none" w:pos="19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For the avoidance of doubt, information made available subject to this </w:t>
      </w:r>
      <w:r>
        <w:rPr>
          <w:rFonts w:ascii="Times New Roman" w:cs="Times New Roman" w:eastAsia="Times New Roman" w:hAnsi="Times New Roman"/>
          <w:sz w:val="22"/>
          <w:szCs w:val="22"/>
          <w:u w:val="single" w:color="auto"/>
          <w:color w:val="auto"/>
        </w:rPr>
        <w:t>Section 4.09</w:t>
      </w:r>
      <w:r>
        <w:rPr>
          <w:rFonts w:ascii="Times New Roman" w:cs="Times New Roman" w:eastAsia="Times New Roman" w:hAnsi="Times New Roman"/>
          <w:sz w:val="22"/>
          <w:szCs w:val="22"/>
          <w:color w:val="auto"/>
        </w:rPr>
        <w:t xml:space="preserve"> shall be subject to the provisions of </w:t>
      </w:r>
      <w:r>
        <w:rPr>
          <w:rFonts w:ascii="Times New Roman" w:cs="Times New Roman" w:eastAsia="Times New Roman" w:hAnsi="Times New Roman"/>
          <w:sz w:val="22"/>
          <w:szCs w:val="22"/>
          <w:u w:val="single" w:color="auto"/>
          <w:color w:val="auto"/>
        </w:rPr>
        <w:t>Section 14.01</w:t>
      </w:r>
      <w:r>
        <w:rPr>
          <w:rFonts w:ascii="Times New Roman" w:cs="Times New Roman" w:eastAsia="Times New Roman" w:hAnsi="Times New Roman"/>
          <w:sz w:val="22"/>
          <w:szCs w:val="22"/>
          <w:color w:val="auto"/>
        </w:rPr>
        <w:t xml:space="preserve"> (Confidential Treatment);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LLC agrees that AMC shall be permitted to provide the Beverage Compliance Report to its beverage concessionaire. AMC agrees to be included in any compliance reporting LLC provides to its advertisers and other content providers for proof of performance.</w:t>
      </w:r>
    </w:p>
    <w:p>
      <w:pPr>
        <w:spacing w:after="0" w:line="17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4.10</w:t>
      </w:r>
      <w:r>
        <w:rPr>
          <w:sz w:val="20"/>
          <w:szCs w:val="20"/>
          <w:color w:val="auto"/>
        </w:rPr>
        <w:tab/>
      </w:r>
      <w:r>
        <w:rPr>
          <w:rFonts w:ascii="Times New Roman" w:cs="Times New Roman" w:eastAsia="Times New Roman" w:hAnsi="Times New Roman"/>
          <w:sz w:val="21"/>
          <w:szCs w:val="21"/>
          <w:b w:val="1"/>
          <w:bCs w:val="1"/>
          <w:u w:val="single" w:color="auto"/>
          <w:color w:val="auto"/>
        </w:rPr>
        <w:t>Trailers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9" w:lineRule="auto"/>
        <w:tabs>
          <w:tab w:leader="none" w:pos="195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Trailers</w:t>
      </w:r>
      <w:r>
        <w:rPr>
          <w:rFonts w:ascii="Times New Roman" w:cs="Times New Roman" w:eastAsia="Times New Roman" w:hAnsi="Times New Roman"/>
          <w:sz w:val="22"/>
          <w:szCs w:val="22"/>
          <w:color w:val="auto"/>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spacing w:after="0" w:line="180" w:lineRule="exact"/>
        <w:rPr>
          <w:rFonts w:ascii="Times New Roman" w:cs="Times New Roman" w:eastAsia="Times New Roman" w:hAnsi="Times New Roman"/>
          <w:sz w:val="22"/>
          <w:szCs w:val="22"/>
          <w:color w:val="auto"/>
        </w:rPr>
      </w:pPr>
    </w:p>
    <w:p>
      <w:pPr>
        <w:jc w:val="both"/>
        <w:ind w:right="120" w:firstLine="1505"/>
        <w:spacing w:after="0" w:line="249" w:lineRule="auto"/>
        <w:tabs>
          <w:tab w:leader="none" w:pos="192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Event Trailers</w:t>
      </w:r>
      <w:r>
        <w:rPr>
          <w:rFonts w:ascii="Times New Roman" w:cs="Times New Roman" w:eastAsia="Times New Roman" w:hAnsi="Times New Roman"/>
          <w:sz w:val="21"/>
          <w:szCs w:val="21"/>
          <w:color w:val="auto"/>
        </w:rPr>
        <w:t>. Any Event Trailer shall be limited to a promotion for an applicable Digital Programming Event and shall not include the exhibition or display of any trademark, service mark, logo or other advertising or branding other than the distributor(s) or production company(ies) of the Digital Programming Event. Additionally, Event Trailers may include</w:t>
      </w:r>
    </w:p>
    <w:p>
      <w:pPr>
        <w:spacing w:after="0" w:line="1" w:lineRule="exact"/>
        <w:rPr>
          <w:rFonts w:ascii="Times New Roman" w:cs="Times New Roman" w:eastAsia="Times New Roman" w:hAnsi="Times New Roman"/>
          <w:sz w:val="21"/>
          <w:szCs w:val="21"/>
          <w:color w:val="auto"/>
        </w:rPr>
      </w:pPr>
    </w:p>
    <w:p>
      <w:pPr>
        <w:ind w:right="120" w:firstLine="8"/>
        <w:spacing w:after="0" w:line="237" w:lineRule="auto"/>
        <w:tabs>
          <w:tab w:leader="none" w:pos="26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incidental images of products or services which appear in the Digital Programming Event (e.g. product placements), and (ii) Sponsor Message(s) in connection with Event Sponsorships.</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4.11 </w:t>
      </w:r>
      <w:r>
        <w:rPr>
          <w:rFonts w:ascii="Times New Roman" w:cs="Times New Roman" w:eastAsia="Times New Roman" w:hAnsi="Times New Roman"/>
          <w:sz w:val="22"/>
          <w:szCs w:val="22"/>
          <w:b w:val="1"/>
          <w:bCs w:val="1"/>
          <w:u w:val="single" w:color="auto"/>
          <w:color w:val="auto"/>
        </w:rPr>
        <w:t>Customer Access to Pre-Feature Program</w:t>
      </w:r>
      <w:r>
        <w:rPr>
          <w:rFonts w:ascii="Times New Roman" w:cs="Times New Roman" w:eastAsia="Times New Roman" w:hAnsi="Times New Roman"/>
          <w:sz w:val="22"/>
          <w:szCs w:val="22"/>
          <w:color w:val="auto"/>
        </w:rPr>
        <w:t>. AMC shall use commercially reasonable efforts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audiences access to the Theatre auditorium for the Pre-Feature Program not less than 20 minutes prior to Showtime.</w:t>
      </w:r>
    </w:p>
    <w:p>
      <w:pPr>
        <w:spacing w:after="0" w:line="150" w:lineRule="exact"/>
        <w:rPr>
          <w:sz w:val="20"/>
          <w:szCs w:val="20"/>
          <w:color w:val="auto"/>
        </w:rPr>
      </w:pPr>
    </w:p>
    <w:p>
      <w:pPr>
        <w:jc w:val="both"/>
        <w:ind w:right="20" w:firstLine="749"/>
        <w:spacing w:after="0" w:line="267" w:lineRule="auto"/>
        <w:rPr>
          <w:sz w:val="20"/>
          <w:szCs w:val="20"/>
          <w:color w:val="auto"/>
        </w:rPr>
      </w:pPr>
      <w:r>
        <w:rPr>
          <w:rFonts w:ascii="Times New Roman" w:cs="Times New Roman" w:eastAsia="Times New Roman" w:hAnsi="Times New Roman"/>
          <w:sz w:val="22"/>
          <w:szCs w:val="22"/>
          <w:b w:val="1"/>
          <w:bCs w:val="1"/>
          <w:color w:val="auto"/>
        </w:rPr>
        <w:t xml:space="preserve">Section 4.12 </w:t>
      </w:r>
      <w:r>
        <w:rPr>
          <w:rFonts w:ascii="Times New Roman" w:cs="Times New Roman" w:eastAsia="Times New Roman" w:hAnsi="Times New Roman"/>
          <w:sz w:val="22"/>
          <w:szCs w:val="22"/>
          <w:b w:val="1"/>
          <w:bCs w:val="1"/>
          <w:u w:val="single" w:color="auto"/>
          <w:color w:val="auto"/>
        </w:rPr>
        <w:t>Excluded Theatres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Following the Execution Date, AMC shall not have the right to designate any Theatres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for purposes of this Agreement as “</w:t>
      </w:r>
      <w:r>
        <w:rPr>
          <w:rFonts w:ascii="Times New Roman" w:cs="Times New Roman" w:eastAsia="Times New Roman" w:hAnsi="Times New Roman"/>
          <w:sz w:val="20"/>
          <w:szCs w:val="20"/>
          <w:b w:val="1"/>
          <w:bCs w:val="1"/>
          <w:color w:val="auto"/>
        </w:rPr>
        <w:t>Excluded Theatres</w:t>
      </w:r>
      <w:r>
        <w:rPr>
          <w:rFonts w:ascii="Times New Roman" w:cs="Times New Roman" w:eastAsia="Times New Roman" w:hAnsi="Times New Roman"/>
          <w:sz w:val="20"/>
          <w:szCs w:val="20"/>
          <w:color w:val="auto"/>
        </w:rPr>
        <w:t>” without LLC’s prior written consent. AMC will provide a list of any Theatres that it considers Excluded</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Theatres via email prior to the Execution Date. Any Excluded Theatres may not receive any advertising services from any party.</w:t>
      </w:r>
    </w:p>
    <w:p>
      <w:pPr>
        <w:spacing w:after="0" w:line="20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4.13</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4.14</w:t>
      </w:r>
      <w:r>
        <w:rPr>
          <w:sz w:val="20"/>
          <w:szCs w:val="20"/>
          <w:color w:val="auto"/>
        </w:rPr>
        <w:tab/>
      </w:r>
      <w:r>
        <w:rPr>
          <w:rFonts w:ascii="Times New Roman" w:cs="Times New Roman" w:eastAsia="Times New Roman" w:hAnsi="Times New Roman"/>
          <w:sz w:val="21"/>
          <w:szCs w:val="21"/>
          <w:b w:val="1"/>
          <w:bCs w:val="1"/>
          <w:u w:val="single" w:color="auto"/>
          <w:color w:val="auto"/>
        </w:rPr>
        <w:t>Consultation regarding Certain Advertising Agreements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53" w:lineRule="auto"/>
        <w:tabs>
          <w:tab w:leader="none" w:pos="192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Theatre Advertising</w:t>
      </w:r>
      <w:r>
        <w:rPr>
          <w:rFonts w:ascii="Times New Roman" w:cs="Times New Roman" w:eastAsia="Times New Roman" w:hAnsi="Times New Roman"/>
          <w:sz w:val="21"/>
          <w:szCs w:val="21"/>
          <w:color w:val="auto"/>
        </w:rPr>
        <w:t>. Prior to either Party entering into an exclusive agreement for longer than one Flight with any third party for Theatre Advertising, the contracting Party will give the other Party written notice not less than twenty</w:t>
      </w:r>
    </w:p>
    <w:p>
      <w:pPr>
        <w:jc w:val="both"/>
        <w:ind w:firstLine="8"/>
        <w:spacing w:after="0" w:line="234" w:lineRule="auto"/>
        <w:tabs>
          <w:tab w:leader="none" w:pos="42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AMC. Any exclusive agreement in which AMC enters will not restrict LLC’s ability to sell advertising.</w:t>
      </w:r>
    </w:p>
    <w:p>
      <w:pPr>
        <w:spacing w:after="0" w:line="177"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7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Strategic Relationships</w:t>
      </w:r>
      <w:r>
        <w:rPr>
          <w:rFonts w:ascii="Times New Roman" w:cs="Times New Roman" w:eastAsia="Times New Roman" w:hAnsi="Times New Roman"/>
          <w:sz w:val="22"/>
          <w:szCs w:val="22"/>
          <w:color w:val="auto"/>
        </w:rPr>
        <w:t>. AMC shall not enter into any Strategic Relationship that conflicts with any existing or proposed exclusive advertising or promotional arrangement between LLC and a third party for which LLC has provided prior written notice, which may be by electronic mail, to AMC’s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AMC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 (60) days after such notice by LLC to AMC of such proposed exclusive arrangement, which notice may not be provided more than once in any twelve month period, then AMC shall have the right to enter into any such Strategic Relationship.</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4.15</w:t>
      </w:r>
      <w:r>
        <w:rPr>
          <w:sz w:val="20"/>
          <w:szCs w:val="20"/>
          <w:color w:val="auto"/>
        </w:rPr>
        <w:tab/>
      </w:r>
      <w:r>
        <w:rPr>
          <w:rFonts w:ascii="Times New Roman" w:cs="Times New Roman" w:eastAsia="Times New Roman" w:hAnsi="Times New Roman"/>
          <w:sz w:val="21"/>
          <w:szCs w:val="21"/>
          <w:b w:val="1"/>
          <w:bCs w:val="1"/>
          <w:u w:val="single" w:color="auto"/>
          <w:color w:val="auto"/>
        </w:rPr>
        <w:t>3D and 4D Services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4" w:lineRule="auto"/>
        <w:tabs>
          <w:tab w:leader="none" w:pos="192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Projection Systems for 3D or 4D Advertising Services</w:t>
      </w:r>
      <w:r>
        <w:rPr>
          <w:rFonts w:ascii="Times New Roman" w:cs="Times New Roman" w:eastAsia="Times New Roman" w:hAnsi="Times New Roman"/>
          <w:sz w:val="21"/>
          <w:szCs w:val="21"/>
          <w:color w:val="auto"/>
        </w:rPr>
        <w:t xml:space="preserve">. Subject to the terms and conditions of this Agreement, including, without limitation this </w:t>
      </w:r>
      <w:r>
        <w:rPr>
          <w:rFonts w:ascii="Times New Roman" w:cs="Times New Roman" w:eastAsia="Times New Roman" w:hAnsi="Times New Roman"/>
          <w:sz w:val="21"/>
          <w:szCs w:val="21"/>
          <w:u w:val="single" w:color="auto"/>
          <w:color w:val="auto"/>
        </w:rPr>
        <w:t>Section 4.15</w:t>
      </w:r>
      <w:r>
        <w:rPr>
          <w:rFonts w:ascii="Times New Roman" w:cs="Times New Roman" w:eastAsia="Times New Roman" w:hAnsi="Times New Roman"/>
          <w:sz w:val="21"/>
          <w:szCs w:val="21"/>
          <w:color w:val="auto"/>
        </w:rPr>
        <w:t xml:space="preserve">, if and to the extent that AMC has the capability to exhibit full-length motion pictures using a Projection System in 3D or 4D in one or more auditoriums in any Theatre, LLC shall have the right to exhibit 3D or 4D Advertising Services using such Projection System in such auditoriums, in the following instances (i) after the Advertising Services have been converted to such Projection System in accordance with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or (ii) prior to the presentation of a 3D or 4D motion picture or other 3D or 4D content (“</w:t>
      </w:r>
      <w:r>
        <w:rPr>
          <w:rFonts w:ascii="Times New Roman" w:cs="Times New Roman" w:eastAsia="Times New Roman" w:hAnsi="Times New Roman"/>
          <w:sz w:val="21"/>
          <w:szCs w:val="21"/>
          <w:b w:val="1"/>
          <w:bCs w:val="1"/>
          <w:color w:val="auto"/>
        </w:rPr>
        <w:t>3D or 4D Content</w:t>
      </w:r>
      <w:r>
        <w:rPr>
          <w:rFonts w:ascii="Times New Roman" w:cs="Times New Roman" w:eastAsia="Times New Roman" w:hAnsi="Times New Roman"/>
          <w:sz w:val="21"/>
          <w:szCs w:val="21"/>
          <w:color w:val="auto"/>
        </w:rPr>
        <w:t>”); in either case, such 3D or 4D Advertising Services, (x) will be properly conditioned to meet the specifications of AMC 3D or 4D equipment providers, and</w:t>
      </w:r>
    </w:p>
    <w:p>
      <w:pPr>
        <w:spacing w:after="0" w:line="6" w:lineRule="exact"/>
        <w:rPr>
          <w:rFonts w:ascii="Times New Roman" w:cs="Times New Roman" w:eastAsia="Times New Roman" w:hAnsi="Times New Roman"/>
          <w:sz w:val="21"/>
          <w:szCs w:val="21"/>
          <w:color w:val="auto"/>
        </w:rPr>
      </w:pPr>
    </w:p>
    <w:p>
      <w:pPr>
        <w:jc w:val="both"/>
        <w:ind w:firstLine="8"/>
        <w:spacing w:after="0" w:line="244" w:lineRule="auto"/>
        <w:tabs>
          <w:tab w:leader="none" w:pos="31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LLC shall pay or reimburse AMC for any and all third party licensing fees incurred by AMC related to use of the 3D or 4D equipment in conjunction with 3D or 4D Advertising Services. Notwithstanding the foregoing, to the extent such Projection System has not become Digital Cinema Equipment in accordance with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LLC shall be responsible for providing such 3D or 4D Advertising Services in a form and format to be reasonably requested by AMC. In the event that LLC requests AMC to ingest and play 3D or 4D Advertising on AMC’s player, if there are incremental costs that are going to be incurred beyond AMC’s normal operating procedures then AMC and LLC must meet and agree on the appropriate reimbursement to be</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1" w:name="page72"/>
    <w:bookmarkEnd w:id="7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paid by LLC to AMC to offset such AMC incremental costs necessary to accommodate LLC’s request.</w:t>
      </w:r>
    </w:p>
    <w:p>
      <w:pPr>
        <w:spacing w:after="0" w:line="206" w:lineRule="exact"/>
        <w:rPr>
          <w:sz w:val="20"/>
          <w:szCs w:val="20"/>
          <w:color w:val="auto"/>
        </w:rPr>
      </w:pPr>
    </w:p>
    <w:p>
      <w:pPr>
        <w:jc w:val="both"/>
        <w:ind w:firstLine="1505"/>
        <w:spacing w:after="0" w:line="245" w:lineRule="auto"/>
        <w:tabs>
          <w:tab w:leader="none" w:pos="1943"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3D Glasses</w:t>
      </w:r>
      <w:r>
        <w:rPr>
          <w:rFonts w:ascii="Times New Roman" w:cs="Times New Roman" w:eastAsia="Times New Roman" w:hAnsi="Times New Roman"/>
          <w:sz w:val="21"/>
          <w:szCs w:val="21"/>
          <w:color w:val="auto"/>
        </w:rPr>
        <w:t>. LLC agrees that AMC will bear no expense with respect to 3D Glasses provided to theatre patrons to view 3D or 4D Advertising Services. In the case of 3D or 4D Advertising Services distributed prior to the presentation of 3D or 4D Content, LLC shall obtain any and all necessary consents to allow theatre patrons to use the 3D Glasses delivered to AMC by the provider of such 3D or 4D Content; provided that LLC shall be liable for, and, if necessary, reimburse AMC for, any and all costs imposed by such provider on either LLC or AMC for the use of 3D Glasses to view the 3D or 4D Advertising Services; provided, further, that if AMC agrees with such provider to purchase 3D Glasses in order to provide them to theatre patrons to view such 3D or 4D Content, then the Parties will negotiate in good faith a reasonable allocation of such costs between AMC and LLC, which costs shall include additional payroll or general and administrative costs incurred by AMC for inventory and storing such 3D Glasses for LLC. LLC will not interfere with the rights of AMC’s 3D or 4D service provider to advertise its business, products or services on storage bins for 3D Glasses, as set in the current agreement(s) between AMC and any 3D or 4D service provider, or between such 3D or 4D service provider and any distributor.</w:t>
      </w:r>
    </w:p>
    <w:p>
      <w:pPr>
        <w:spacing w:after="0" w:line="177" w:lineRule="exact"/>
        <w:rPr>
          <w:rFonts w:ascii="Times New Roman" w:cs="Times New Roman" w:eastAsia="Times New Roman" w:hAnsi="Times New Roman"/>
          <w:sz w:val="21"/>
          <w:szCs w:val="21"/>
          <w:color w:val="auto"/>
        </w:rPr>
      </w:pPr>
    </w:p>
    <w:p>
      <w:pPr>
        <w:jc w:val="both"/>
        <w:ind w:firstLine="1505"/>
        <w:spacing w:after="0" w:line="238" w:lineRule="auto"/>
        <w:tabs>
          <w:tab w:leader="none" w:pos="194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ESA Provisions</w:t>
      </w:r>
      <w:r>
        <w:rPr>
          <w:rFonts w:ascii="Times New Roman" w:cs="Times New Roman" w:eastAsia="Times New Roman" w:hAnsi="Times New Roman"/>
          <w:sz w:val="22"/>
          <w:szCs w:val="22"/>
          <w:color w:val="auto"/>
        </w:rPr>
        <w:t xml:space="preserve">. All provisions of this Agreement, including the revenue provisions of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and the content standards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will apply to any advertising on 3D Glasses, packaging for 3D Glasses and 3D Glasses recycling bins used by LLC in connection with the distribution of 3D or 4D Advertising Services. Advertising on 3D Glasses and packaging for 3D Glasses will be permitted only as approved by AMC in its sole and absolute discretion.</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4.16</w:t>
      </w:r>
      <w:r>
        <w:rPr>
          <w:sz w:val="20"/>
          <w:szCs w:val="20"/>
          <w:color w:val="auto"/>
        </w:rPr>
        <w:tab/>
      </w:r>
      <w:r>
        <w:rPr>
          <w:rFonts w:ascii="Times New Roman" w:cs="Times New Roman" w:eastAsia="Times New Roman" w:hAnsi="Times New Roman"/>
          <w:sz w:val="21"/>
          <w:szCs w:val="21"/>
          <w:b w:val="1"/>
          <w:bCs w:val="1"/>
          <w:u w:val="single" w:color="auto"/>
          <w:color w:val="auto"/>
        </w:rPr>
        <w:t>Digital Programming Event Simulcast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8" w:lineRule="auto"/>
        <w:tabs>
          <w:tab w:leader="none" w:pos="195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If AMC exhibits a Digital Programming Event that is a simulcast of a live event across a broadcast (or cable, including pay-per-view) network or the Internet (the “</w:t>
      </w:r>
      <w:r>
        <w:rPr>
          <w:rFonts w:ascii="Times New Roman" w:cs="Times New Roman" w:eastAsia="Times New Roman" w:hAnsi="Times New Roman"/>
          <w:sz w:val="22"/>
          <w:szCs w:val="22"/>
          <w:b w:val="1"/>
          <w:bCs w:val="1"/>
          <w:color w:val="auto"/>
        </w:rPr>
        <w:t>Digital Programming Event Simulcast</w:t>
      </w:r>
      <w:r>
        <w:rPr>
          <w:rFonts w:ascii="Times New Roman" w:cs="Times New Roman" w:eastAsia="Times New Roman" w:hAnsi="Times New Roman"/>
          <w:sz w:val="22"/>
          <w:szCs w:val="22"/>
          <w:color w:val="auto"/>
        </w:rPr>
        <w:t>”), then LLC acknowledges that Digital Programming Event Simulcasts may contain third- party advertising that is provided by the provider of such Digital Programming Event Simulcast as part of such simulcast. Any event that is delayed or previous recorded shall not be a Digital Programming Event Simulcast for purposes of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4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Advertising</w:t>
      </w:r>
      <w:r>
        <w:rPr>
          <w:rFonts w:ascii="Times New Roman" w:cs="Times New Roman" w:eastAsia="Times New Roman" w:hAnsi="Times New Roman"/>
          <w:sz w:val="22"/>
          <w:szCs w:val="22"/>
          <w:color w:val="auto"/>
        </w:rPr>
        <w:t xml:space="preserve">. For clarification, to the extent that the content provider allows any third-party advertising, trademarks, service marks, logos or other branding and/or third-party mentions for products and services to be included in a Digital Programming Event Simulcast, other than that provided by an Event Distributor (as defined below), as between, AMC, Event Distributor and LLC, LLC shall have the exclusive right to provide Event Simulcast Advertising Services. LLC acknowledges that AMC shall require that any third-party advertising to be exhibited during a Digital Programming Event Simulcast be subject to content standards substantially similar to those contained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this Agreement. If AMC grants the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to the same extent for sole purposes of providing Event Simulcast Advertising Services for the Digital Programming Event Simulcast to which the waiver applies. If AMC or any of its Affiliates receives any compensation specifically for the</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2" w:name="page73"/>
    <w:bookmarkEnd w:id="72"/>
    <w:p>
      <w:pPr>
        <w:spacing w:after="0" w:line="185"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1"/>
          <w:szCs w:val="21"/>
          <w:color w:val="auto"/>
        </w:rPr>
        <w:t xml:space="preserve">broadcast of third-party advertising during a Digital Programming Event Simulcast, AMC or such Affiliate will pay LLC one hundred percent (100%)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AMC at the direction of an Event Distributor of any third-party advertising during a Digital Programming Event Simulcast shall be expressly permitted by LLC hereunder notwithstanding the provisions of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hereof.</w:t>
      </w:r>
    </w:p>
    <w:p>
      <w:pPr>
        <w:spacing w:after="0" w:line="171" w:lineRule="exact"/>
        <w:rPr>
          <w:sz w:val="20"/>
          <w:szCs w:val="20"/>
          <w:color w:val="auto"/>
        </w:rPr>
      </w:pPr>
    </w:p>
    <w:p>
      <w:pPr>
        <w:ind w:right="120" w:firstLine="1505"/>
        <w:spacing w:after="0" w:line="282" w:lineRule="auto"/>
        <w:tabs>
          <w:tab w:leader="none" w:pos="194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Liability</w:t>
      </w:r>
      <w:r>
        <w:rPr>
          <w:rFonts w:ascii="Times New Roman" w:cs="Times New Roman" w:eastAsia="Times New Roman" w:hAnsi="Times New Roman"/>
          <w:sz w:val="21"/>
          <w:szCs w:val="21"/>
          <w:color w:val="auto"/>
        </w:rPr>
        <w:t>. LLC will have no liability of any kind under this Agreement for any content included in a Digital Programming Event Simulcast, unless, and only to the extent that, LLC provides Event Simulcast Advertising Services.</w:t>
      </w:r>
    </w:p>
    <w:p>
      <w:pPr>
        <w:spacing w:after="0" w:line="13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4.17</w:t>
      </w:r>
      <w:r>
        <w:rPr>
          <w:sz w:val="20"/>
          <w:szCs w:val="20"/>
          <w:color w:val="auto"/>
        </w:rPr>
        <w:tab/>
      </w:r>
      <w:r>
        <w:rPr>
          <w:rFonts w:ascii="Times New Roman" w:cs="Times New Roman" w:eastAsia="Times New Roman" w:hAnsi="Times New Roman"/>
          <w:sz w:val="21"/>
          <w:szCs w:val="21"/>
          <w:b w:val="1"/>
          <w:bCs w:val="1"/>
          <w:u w:val="single" w:color="auto"/>
          <w:color w:val="auto"/>
        </w:rPr>
        <w:t>Event Sponsorships; Sponsor Message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33" w:lineRule="auto"/>
        <w:tabs>
          <w:tab w:leader="none" w:pos="19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 Sponsorships</w:t>
      </w:r>
      <w:r>
        <w:rPr>
          <w:rFonts w:ascii="Times New Roman" w:cs="Times New Roman" w:eastAsia="Times New Roman" w:hAnsi="Times New Roman"/>
          <w:sz w:val="22"/>
          <w:szCs w:val="22"/>
          <w:color w:val="auto"/>
        </w:rPr>
        <w:t xml:space="preserve">. LLC and AMC will work together in good faith to develop and sell Event Sponsorships for Digital Programming Events. No Sponsor for an Event Sponsorship may be a theatre or theatre circuit which is a competitor of AMC. Any Event Sponsorship provided by LLC shall be subject to the content standards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this Agreement. LLC acknowledges that AMC shall require any Event Sponsorship provided by any third-party distributor of a Digital Programming Event (the “</w:t>
      </w:r>
      <w:r>
        <w:rPr>
          <w:rFonts w:ascii="Times New Roman" w:cs="Times New Roman" w:eastAsia="Times New Roman" w:hAnsi="Times New Roman"/>
          <w:sz w:val="22"/>
          <w:szCs w:val="22"/>
          <w:b w:val="1"/>
          <w:bCs w:val="1"/>
          <w:color w:val="auto"/>
        </w:rPr>
        <w:t>Event Distributor</w:t>
      </w:r>
      <w:r>
        <w:rPr>
          <w:rFonts w:ascii="Times New Roman" w:cs="Times New Roman" w:eastAsia="Times New Roman" w:hAnsi="Times New Roman"/>
          <w:sz w:val="22"/>
          <w:szCs w:val="22"/>
          <w:color w:val="auto"/>
        </w:rPr>
        <w:t xml:space="preserve">”) to be subject to content standards substantially similar to those contained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this Agreement. If AMC grants an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to the same extent for purposes of the sale of advertising by LLC for such Event Sponsorship to which the waiver applies. The exhibition of third-party advertising relating to an Event Sponsorship by AMC at the direction of the Event Distributor shall be expressly permitted by LLC hereunder notwithstanding the provisions of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hereof; provided however, that LLC shall have no liability of any kind under this Agreement for any content provided by the Event Distributor.</w:t>
      </w:r>
    </w:p>
    <w:p>
      <w:pPr>
        <w:spacing w:after="0" w:line="184" w:lineRule="exact"/>
        <w:rPr>
          <w:rFonts w:ascii="Times New Roman" w:cs="Times New Roman" w:eastAsia="Times New Roman" w:hAnsi="Times New Roman"/>
          <w:sz w:val="22"/>
          <w:szCs w:val="22"/>
          <w:color w:val="auto"/>
        </w:rPr>
      </w:pPr>
    </w:p>
    <w:p>
      <w:pPr>
        <w:jc w:val="both"/>
        <w:ind w:right="120" w:firstLine="1505"/>
        <w:spacing w:after="0" w:line="234" w:lineRule="auto"/>
        <w:tabs>
          <w:tab w:leader="none" w:pos="194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Sponsor Message</w:t>
      </w:r>
      <w:r>
        <w:rPr>
          <w:rFonts w:ascii="Times New Roman" w:cs="Times New Roman" w:eastAsia="Times New Roman" w:hAnsi="Times New Roman"/>
          <w:sz w:val="22"/>
          <w:szCs w:val="22"/>
          <w:color w:val="auto"/>
        </w:rPr>
        <w:t xml:space="preserve">. If LLC or an Event Distributor sell an Event Sponsorship for a Digital Programming Event, no third-party advertising, trademark, service mark, logo or other advertising or branding, including any third-party mentions for products and services, may be displayed, except a Sponsor Message may be included in the Event Trailer, Branded Slot, Lobby Entertainment Program, Lobby Promotion or as part of a Strategic Program, subject to the limits of </w:t>
      </w:r>
      <w:r>
        <w:rPr>
          <w:rFonts w:ascii="Times New Roman" w:cs="Times New Roman" w:eastAsia="Times New Roman" w:hAnsi="Times New Roman"/>
          <w:sz w:val="22"/>
          <w:szCs w:val="22"/>
          <w:u w:val="single" w:color="auto"/>
          <w:color w:val="auto"/>
        </w:rPr>
        <w:t>Section 4.06(b)</w:t>
      </w:r>
      <w:r>
        <w:rPr>
          <w:rFonts w:ascii="Times New Roman" w:cs="Times New Roman" w:eastAsia="Times New Roman" w:hAnsi="Times New Roman"/>
          <w:sz w:val="22"/>
          <w:szCs w:val="22"/>
          <w:color w:val="auto"/>
        </w:rPr>
        <w:t>.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4.18 </w:t>
      </w:r>
      <w:r>
        <w:rPr>
          <w:rFonts w:ascii="Times New Roman" w:cs="Times New Roman" w:eastAsia="Times New Roman" w:hAnsi="Times New Roman"/>
          <w:sz w:val="22"/>
          <w:szCs w:val="22"/>
          <w:b w:val="1"/>
          <w:bCs w:val="1"/>
          <w:u w:val="single" w:color="auto"/>
          <w:color w:val="auto"/>
        </w:rPr>
        <w:t>Bar/Lounge Video Screens</w:t>
      </w:r>
      <w:r>
        <w:rPr>
          <w:rFonts w:ascii="Times New Roman" w:cs="Times New Roman" w:eastAsia="Times New Roman" w:hAnsi="Times New Roman"/>
          <w:sz w:val="22"/>
          <w:szCs w:val="22"/>
          <w:color w:val="auto"/>
        </w:rPr>
        <w:t>. Notwithstanding anything herein to the contrary, AMC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prohibited from placing video screens in its bar and/or lounge areas where alcoholic beverages are sold and such screens may display live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broadcast/cable/streaming programming including such advertising as included with such live broadcast/cable/streaming programming (such screens, the “</w:t>
      </w:r>
      <w:r>
        <w:rPr>
          <w:rFonts w:ascii="Times New Roman" w:cs="Times New Roman" w:eastAsia="Times New Roman" w:hAnsi="Times New Roman"/>
          <w:sz w:val="22"/>
          <w:szCs w:val="22"/>
          <w:b w:val="1"/>
          <w:bCs w:val="1"/>
          <w:color w:val="auto"/>
        </w:rPr>
        <w:t>Bar/Lounge Video Screens</w:t>
      </w:r>
      <w:r>
        <w:rPr>
          <w:rFonts w:ascii="Times New Roman" w:cs="Times New Roman" w:eastAsia="Times New Roman" w:hAnsi="Times New Roman"/>
          <w:sz w:val="22"/>
          <w:szCs w:val="22"/>
          <w:color w:val="auto"/>
        </w:rPr>
        <w:t>”). When not being used for the aforementioned programming, the Bar/Lounge Video Screens may, but are not required to, display the Lobby Entertainment Program where technically feasible, but AMC will not display any other content on the Bar/Lounge Video Screens.</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SUPPORT; MAKE GOODS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5.01 </w:t>
      </w:r>
      <w:r>
        <w:rPr>
          <w:rFonts w:ascii="Times New Roman" w:cs="Times New Roman" w:eastAsia="Times New Roman" w:hAnsi="Times New Roman"/>
          <w:sz w:val="22"/>
          <w:szCs w:val="22"/>
          <w:b w:val="1"/>
          <w:bCs w:val="1"/>
          <w:u w:val="single" w:color="auto"/>
          <w:color w:val="auto"/>
        </w:rPr>
        <w:t>Software Support</w:t>
      </w:r>
      <w:r>
        <w:rPr>
          <w:rFonts w:ascii="Times New Roman" w:cs="Times New Roman" w:eastAsia="Times New Roman" w:hAnsi="Times New Roman"/>
          <w:sz w:val="22"/>
          <w:szCs w:val="22"/>
          <w:color w:val="auto"/>
        </w:rPr>
        <w:t>. LLC reserves the right to request of AMC and agrees to consult with AMC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on any proposed material changes or updates to the Software. LLC shall make available to AMC pursuant to the terms of the license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below all such updates or modifications to the Software. Unless otherwise agreed to in writing by LLC, AMC shall not permit any third party to perform or provide any maintenance or support services with respect to the LLC Equipment or the Software.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5.02 </w:t>
      </w: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AMC agrees to take all actions during the Term that are within its control and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permit the delivery, exhibition and viewing of the Advertising Services in the Theatres on the terms and conditions set forth herein.</w:t>
      </w:r>
    </w:p>
    <w:p>
      <w:pPr>
        <w:spacing w:after="0" w:line="16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Section 5.03 </w:t>
      </w:r>
      <w:r>
        <w:rPr>
          <w:rFonts w:ascii="Times New Roman" w:cs="Times New Roman" w:eastAsia="Times New Roman" w:hAnsi="Times New Roman"/>
          <w:sz w:val="22"/>
          <w:szCs w:val="22"/>
          <w:b w:val="1"/>
          <w:bCs w:val="1"/>
          <w:u w:val="single" w:color="auto"/>
          <w:color w:val="auto"/>
        </w:rPr>
        <w:t>Make Goods</w:t>
      </w:r>
      <w:r>
        <w:rPr>
          <w:rFonts w:ascii="Times New Roman" w:cs="Times New Roman" w:eastAsia="Times New Roman" w:hAnsi="Times New Roman"/>
          <w:sz w:val="22"/>
          <w:szCs w:val="22"/>
          <w:color w:val="auto"/>
        </w:rPr>
        <w:t>. In the event that any Inventory scheduled for exhibition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4.05(a)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4.06</w:t>
      </w:r>
      <w:r>
        <w:rPr>
          <w:rFonts w:ascii="Times New Roman" w:cs="Times New Roman" w:eastAsia="Times New Roman" w:hAnsi="Times New Roman"/>
          <w:sz w:val="22"/>
          <w:szCs w:val="22"/>
          <w:color w:val="auto"/>
        </w:rPr>
        <w:t xml:space="preserve"> is not exhibited as scheduled, LLC shall take such action or provide such remedy as is required pursuant to the applicable AMC advertising agreement, including the exhibition of “make good” Inventory sufficient to achieve the level of Inventory content impressions necessary to satisfy any contractual obligations governing the exhibition of such Inventory. AMC acknowledges and agrees that such contractual obligations must have been timely disclosed to LLC in writing as a condition to the exercise of the foregoing exclusive right and remedy; such obligations as of the Execution Date have been provided by AMC to LLC in a separate letter. To the extent such third-party agreement prescribed a “make good” remedy, AMC agrees to make its Theatres (including screens and Lobby Screens, if applicable) available for the exhibition of such “make goods,” and LLC agrees to exhibit such “make goods” consistent with any contractual obligations of AMC concerning the exhibition of such “make goods.” LLC reserves the right to use excess or unsold Inventory as “make goods,” remnant advertising, other revenue generating advertising, public service announcements, and the like. Notwithstanding the foregoing, LLC shall only be required 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spacing w:after="0" w:line="1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OTHER AGREEMENTS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6.01 </w:t>
      </w:r>
      <w:r>
        <w:rPr>
          <w:rFonts w:ascii="Times New Roman" w:cs="Times New Roman" w:eastAsia="Times New Roman" w:hAnsi="Times New Roman"/>
          <w:sz w:val="22"/>
          <w:szCs w:val="22"/>
          <w:b w:val="1"/>
          <w:bCs w:val="1"/>
          <w:u w:val="single" w:color="auto"/>
          <w:color w:val="auto"/>
        </w:rPr>
        <w:t>Joint Venture Termination and Settlement Agreement</w:t>
      </w:r>
      <w:r>
        <w:rPr>
          <w:rFonts w:ascii="Times New Roman" w:cs="Times New Roman" w:eastAsia="Times New Roman" w:hAnsi="Times New Roman"/>
          <w:sz w:val="22"/>
          <w:szCs w:val="22"/>
          <w:color w:val="auto"/>
        </w:rPr>
        <w:t>. On the Execution Date, LLC and AMC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enter into the Joint Venture Termination and Settlement and Release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Joint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Venture Termination and</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 AMC will promptly take all action needed to cause any actions identified in the Settlement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to be dismissed with prejudice.</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6.02 </w:t>
      </w:r>
      <w:r>
        <w:rPr>
          <w:rFonts w:ascii="Times New Roman" w:cs="Times New Roman" w:eastAsia="Times New Roman" w:hAnsi="Times New Roman"/>
          <w:sz w:val="22"/>
          <w:szCs w:val="22"/>
          <w:b w:val="1"/>
          <w:bCs w:val="1"/>
          <w:u w:val="single" w:color="auto"/>
          <w:color w:val="auto"/>
        </w:rPr>
        <w:t>Digital Advertising Agreement</w:t>
      </w:r>
      <w:r>
        <w:rPr>
          <w:rFonts w:ascii="Times New Roman" w:cs="Times New Roman" w:eastAsia="Times New Roman" w:hAnsi="Times New Roman"/>
          <w:sz w:val="22"/>
          <w:szCs w:val="22"/>
          <w:color w:val="auto"/>
        </w:rPr>
        <w:t>. LLC and AMC will use commercially reasonable efforts to negotiate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Digital Advertising Agreement covering AMC’s digital touchpoints with consumers on commercially reasonable terms in light of the Parties larger relationship (the “</w:t>
      </w:r>
      <w:r>
        <w:rPr>
          <w:rFonts w:ascii="Times New Roman" w:cs="Times New Roman" w:eastAsia="Times New Roman" w:hAnsi="Times New Roman"/>
          <w:sz w:val="22"/>
          <w:szCs w:val="22"/>
          <w:b w:val="1"/>
          <w:bCs w:val="1"/>
          <w:color w:val="auto"/>
        </w:rPr>
        <w:t>Digital Advertising Agreement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INTELLECTUAL PROPERTY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7.01 </w:t>
      </w:r>
      <w:r>
        <w:rPr>
          <w:rFonts w:ascii="Times New Roman" w:cs="Times New Roman" w:eastAsia="Times New Roman" w:hAnsi="Times New Roman"/>
          <w:sz w:val="22"/>
          <w:szCs w:val="22"/>
          <w:b w:val="1"/>
          <w:bCs w:val="1"/>
          <w:u w:val="single" w:color="auto"/>
          <w:color w:val="auto"/>
        </w:rPr>
        <w:t>Software License</w:t>
      </w:r>
      <w:r>
        <w:rPr>
          <w:rFonts w:ascii="Times New Roman" w:cs="Times New Roman" w:eastAsia="Times New Roman" w:hAnsi="Times New Roman"/>
          <w:sz w:val="22"/>
          <w:szCs w:val="22"/>
          <w:color w:val="auto"/>
        </w:rPr>
        <w:t>. Subject to the terms and conditions of this Agreement and the License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LLC hereby grants to AMC, and AMC hereby accepts, a non- exclusive, non-transferable, non-sublicenseable, limited license to install and execute the object code version of the Software solely for the limited purpose to receive, store, display and exhibit the Digital Content Service and the Digital Carousel, as applicable, on the LLC Equipment and the AMC Equipment solely in connection with its performance of and subject to all of the terms and conditions of this Agreement and only to the extent such Software is utilized by AMC.</w:t>
      </w:r>
    </w:p>
    <w:p>
      <w:pPr>
        <w:spacing w:after="0" w:line="17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7.02</w:t>
      </w:r>
      <w:r>
        <w:rPr>
          <w:sz w:val="20"/>
          <w:szCs w:val="20"/>
          <w:color w:val="auto"/>
        </w:rPr>
        <w:tab/>
      </w:r>
      <w:r>
        <w:rPr>
          <w:rFonts w:ascii="Times New Roman" w:cs="Times New Roman" w:eastAsia="Times New Roman" w:hAnsi="Times New Roman"/>
          <w:sz w:val="21"/>
          <w:szCs w:val="21"/>
          <w:b w:val="1"/>
          <w:bCs w:val="1"/>
          <w:u w:val="single" w:color="auto"/>
          <w:color w:val="auto"/>
        </w:rPr>
        <w:t>License of the LLC Marks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46" w:lineRule="auto"/>
        <w:tabs>
          <w:tab w:leader="none" w:pos="192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Subject to the terms and conditions of this Agreement and any guidelines or requirements provided in writing from time-to-time by LLC to AMC, LLC hereby grants at no additional cost to AMC, and AMC hereby accepts, a non-exclusive, non-transferable (except in connection with an assignment of this Agreement in accordance with </w:t>
      </w:r>
      <w:r>
        <w:rPr>
          <w:rFonts w:ascii="Times New Roman" w:cs="Times New Roman" w:eastAsia="Times New Roman" w:hAnsi="Times New Roman"/>
          <w:sz w:val="21"/>
          <w:szCs w:val="21"/>
          <w:u w:val="single" w:color="auto"/>
          <w:color w:val="auto"/>
        </w:rPr>
        <w:t>Section 15.08</w:t>
      </w:r>
      <w:r>
        <w:rPr>
          <w:rFonts w:ascii="Times New Roman" w:cs="Times New Roman" w:eastAsia="Times New Roman" w:hAnsi="Times New Roman"/>
          <w:sz w:val="21"/>
          <w:szCs w:val="21"/>
          <w:color w:val="auto"/>
        </w:rPr>
        <w:t xml:space="preserve"> hereof), nonsublicenseable, limited license (i) to use the LLC Marks solely in connection with its participation in the Advertising Services, as approved by LLC in writing in advance (which shall not be unreasonably or untimely withheld), and</w:t>
      </w:r>
    </w:p>
    <w:p>
      <w:pPr>
        <w:spacing w:after="0" w:line="1" w:lineRule="exact"/>
        <w:rPr>
          <w:rFonts w:ascii="Times New Roman" w:cs="Times New Roman" w:eastAsia="Times New Roman" w:hAnsi="Times New Roman"/>
          <w:sz w:val="21"/>
          <w:szCs w:val="21"/>
          <w:color w:val="auto"/>
        </w:rPr>
      </w:pPr>
    </w:p>
    <w:p>
      <w:pPr>
        <w:jc w:val="both"/>
        <w:ind w:right="120" w:firstLine="8"/>
        <w:spacing w:after="0" w:line="232" w:lineRule="auto"/>
        <w:tabs>
          <w:tab w:leader="none" w:pos="32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use the LLC Marks in marketing or advertising materials (“</w:t>
      </w:r>
      <w:r>
        <w:rPr>
          <w:rFonts w:ascii="Times New Roman" w:cs="Times New Roman" w:eastAsia="Times New Roman" w:hAnsi="Times New Roman"/>
          <w:sz w:val="22"/>
          <w:szCs w:val="22"/>
          <w:b w:val="1"/>
          <w:bCs w:val="1"/>
          <w:color w:val="auto"/>
        </w:rPr>
        <w:t>Marketing Materials</w:t>
      </w:r>
      <w:r>
        <w:rPr>
          <w:rFonts w:ascii="Times New Roman" w:cs="Times New Roman" w:eastAsia="Times New Roman" w:hAnsi="Times New Roman"/>
          <w:sz w:val="22"/>
          <w:szCs w:val="22"/>
          <w:color w:val="auto"/>
        </w:rPr>
        <w:t>”) that have been approved (which shall not be unreasonably or untimely withheld) by LLC pursuant to the terms hereof, provided and to the extent LLC shall have authorized AMC to promote the Advertising Services. AMC acknowledges that LLC is and shall remain the sole owner of the LLC Marks, including the goodwill of the business symbolized thereby. AMC recognizes the value of the goodwill associated with the LLC Marks and acknowledges and agrees that any goodwill arising out of the use of the LLC Marks or any of them by AMC shall inure to the sole benefit of LLC for all purposes hereof.</w:t>
      </w:r>
    </w:p>
    <w:p>
      <w:pPr>
        <w:spacing w:after="0" w:line="182" w:lineRule="exact"/>
        <w:rPr>
          <w:rFonts w:ascii="Times New Roman" w:cs="Times New Roman" w:eastAsia="Times New Roman" w:hAnsi="Times New Roman"/>
          <w:sz w:val="22"/>
          <w:szCs w:val="22"/>
          <w:color w:val="auto"/>
        </w:rPr>
      </w:pPr>
    </w:p>
    <w:p>
      <w:pPr>
        <w:jc w:val="both"/>
        <w:ind w:right="120" w:firstLine="1505"/>
        <w:spacing w:after="0" w:line="235" w:lineRule="auto"/>
        <w:tabs>
          <w:tab w:leader="none" w:pos="192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Use</w:t>
      </w:r>
      <w:r>
        <w:rPr>
          <w:rFonts w:ascii="Times New Roman" w:cs="Times New Roman" w:eastAsia="Times New Roman" w:hAnsi="Times New Roman"/>
          <w:sz w:val="22"/>
          <w:szCs w:val="22"/>
          <w:color w:val="auto"/>
        </w:rPr>
        <w:t>. Prior to using any Marketing Material or depicting or presenting any LLC Mark in or on any marketing or advertising material or otherwise, AMC shall submit a sample of such Marketing Material or other material to LLC for approval. LLC shall exercise commercially reasonable efforts to approve (which shall not be unreasonably withheld) or reject any such Marketing Material or other material submitted to it for review within five (5) business days from the date of receipt by LLC. AMC shall not use, publish, or distribute any Marketing Material or other material unless and until LLC has so approved it in writing. Upon receipt of such approval from LLC for a particular Marketing Material or other material, AMC shall not be obligated to submit to LLC substantially similar material for approval; provided, however, AMC shall timely furnish samples of all such material to LLC.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5" w:lineRule="exact"/>
        <w:rPr>
          <w:sz w:val="20"/>
          <w:szCs w:val="20"/>
          <w:color w:val="auto"/>
        </w:rPr>
      </w:pPr>
    </w:p>
    <w:p>
      <w:pPr>
        <w:jc w:val="both"/>
        <w:ind w:left="-20" w:firstLine="1505"/>
        <w:spacing w:after="0" w:line="236" w:lineRule="auto"/>
        <w:tabs>
          <w:tab w:leader="none" w:pos="192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Standards</w:t>
      </w:r>
      <w:r>
        <w:rPr>
          <w:rFonts w:ascii="Times New Roman" w:cs="Times New Roman" w:eastAsia="Times New Roman" w:hAnsi="Times New Roman"/>
          <w:sz w:val="22"/>
          <w:szCs w:val="22"/>
          <w:color w:val="auto"/>
        </w:rPr>
        <w:t>. Any and all use or exercise of rights by AMC with respect to the LLC Marks or any other trademark, tradename, service mark or service name provided by LLC to AMC for use in connection with the Advertising Services shall be in accordance with standards of quality and specifications prescribed by LLC from time to time (the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Quality Standards</w:t>
      </w:r>
      <w:r>
        <w:rPr>
          <w:rFonts w:ascii="Times New Roman" w:cs="Times New Roman" w:eastAsia="Times New Roman" w:hAnsi="Times New Roman"/>
          <w:sz w:val="22"/>
          <w:szCs w:val="22"/>
          <w:color w:val="auto"/>
        </w:rPr>
        <w:t>”) and which have been delivered to AMC. LLC shall have the right to change the LLC Quality Standards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upon written notice to AMC, provided such modified LLC Quality Standards are equally and timely applied to any and all other exhibitors of the Advertising Services.</w:t>
      </w:r>
    </w:p>
    <w:p>
      <w:pPr>
        <w:spacing w:after="0" w:line="181" w:lineRule="exact"/>
        <w:rPr>
          <w:rFonts w:ascii="Times New Roman" w:cs="Times New Roman" w:eastAsia="Times New Roman" w:hAnsi="Times New Roman"/>
          <w:sz w:val="22"/>
          <w:szCs w:val="22"/>
          <w:color w:val="auto"/>
        </w:rPr>
      </w:pPr>
    </w:p>
    <w:p>
      <w:pPr>
        <w:jc w:val="both"/>
        <w:ind w:left="-20" w:firstLine="1505"/>
        <w:spacing w:after="0" w:line="239" w:lineRule="auto"/>
        <w:tabs>
          <w:tab w:leader="none" w:pos="192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w:t>
      </w:r>
      <w:r>
        <w:rPr>
          <w:rFonts w:ascii="Times New Roman" w:cs="Times New Roman" w:eastAsia="Times New Roman" w:hAnsi="Times New Roman"/>
          <w:sz w:val="22"/>
          <w:szCs w:val="22"/>
          <w:color w:val="auto"/>
        </w:rPr>
        <w:t>. AMC shall cause the appropriate designation “(TM)” or “(SM)” or the registration symbol “(R)” to be placed adjacent to the LLC Marks in connection with the use thereof and to indicate such additional or alternative information as LLC shall specify from time to time concerning the use by AMC of the LLC Marks as such is, equally and timely communicated and applied to any and all other exhibitors of the Advertising Services.</w:t>
      </w:r>
    </w:p>
    <w:p>
      <w:pPr>
        <w:spacing w:after="0" w:line="180" w:lineRule="exact"/>
        <w:rPr>
          <w:rFonts w:ascii="Times New Roman" w:cs="Times New Roman" w:eastAsia="Times New Roman" w:hAnsi="Times New Roman"/>
          <w:sz w:val="22"/>
          <w:szCs w:val="22"/>
          <w:color w:val="auto"/>
        </w:rPr>
      </w:pPr>
    </w:p>
    <w:p>
      <w:pPr>
        <w:jc w:val="both"/>
        <w:ind w:left="-20" w:firstLine="1505"/>
        <w:spacing w:after="0" w:line="236" w:lineRule="auto"/>
        <w:tabs>
          <w:tab w:leader="none" w:pos="190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Suspend Use</w:t>
      </w:r>
      <w:r>
        <w:rPr>
          <w:rFonts w:ascii="Times New Roman" w:cs="Times New Roman" w:eastAsia="Times New Roman" w:hAnsi="Times New Roman"/>
          <w:sz w:val="22"/>
          <w:szCs w:val="22"/>
          <w:color w:val="auto"/>
        </w:rPr>
        <w:t>. AMC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AMC’s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spacing w:after="0" w:line="181" w:lineRule="exact"/>
        <w:rPr>
          <w:rFonts w:ascii="Times New Roman" w:cs="Times New Roman" w:eastAsia="Times New Roman" w:hAnsi="Times New Roman"/>
          <w:sz w:val="22"/>
          <w:szCs w:val="22"/>
          <w:color w:val="auto"/>
        </w:rPr>
      </w:pPr>
    </w:p>
    <w:p>
      <w:pPr>
        <w:jc w:val="both"/>
        <w:ind w:left="-20" w:firstLine="1505"/>
        <w:spacing w:after="0" w:line="235" w:lineRule="auto"/>
        <w:tabs>
          <w:tab w:leader="none" w:pos="192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Limitations</w:t>
      </w:r>
      <w:r>
        <w:rPr>
          <w:rFonts w:ascii="Times New Roman" w:cs="Times New Roman" w:eastAsia="Times New Roman" w:hAnsi="Times New Roman"/>
          <w:sz w:val="22"/>
          <w:szCs w:val="22"/>
          <w:color w:val="auto"/>
        </w:rPr>
        <w:t xml:space="preserve">. AMC agrees not to use (i) any trademark or service mark which is confusingly similar to, or a colorable imitation of, any LLC Mark or any part thereof, (ii) any trademark or service mark in combination with any LLC Mark, except in the case of the Brand as created by LLC under the terms of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xml:space="preserve"> or (iii) any LLC Mark in connection with or for the benefit of any product or service of any other Person or entity, except in the case of the Brand as created by LLC under the terms of </w:t>
      </w:r>
      <w:r>
        <w:rPr>
          <w:rFonts w:ascii="Times New Roman" w:cs="Times New Roman" w:eastAsia="Times New Roman" w:hAnsi="Times New Roman"/>
          <w:sz w:val="22"/>
          <w:szCs w:val="22"/>
          <w:u w:val="single" w:color="auto"/>
          <w:color w:val="auto"/>
        </w:rPr>
        <w:t>Section 4.04(a)</w:t>
      </w:r>
      <w:r>
        <w:rPr>
          <w:rFonts w:ascii="Times New Roman" w:cs="Times New Roman" w:eastAsia="Times New Roman" w:hAnsi="Times New Roman"/>
          <w:sz w:val="22"/>
          <w:szCs w:val="22"/>
          <w:color w:val="auto"/>
        </w:rPr>
        <w:t>. AMC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spacing w:after="0" w:line="178" w:lineRule="exact"/>
        <w:rPr>
          <w:rFonts w:ascii="Times New Roman" w:cs="Times New Roman" w:eastAsia="Times New Roman" w:hAnsi="Times New Roman"/>
          <w:sz w:val="22"/>
          <w:szCs w:val="22"/>
          <w:color w:val="auto"/>
        </w:rPr>
      </w:pPr>
    </w:p>
    <w:p>
      <w:pPr>
        <w:ind w:left="-20" w:firstLine="1505"/>
        <w:spacing w:after="0" w:line="282" w:lineRule="auto"/>
        <w:tabs>
          <w:tab w:leader="none" w:pos="193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w:t>
      </w:r>
      <w:r>
        <w:rPr>
          <w:rFonts w:ascii="Times New Roman" w:cs="Times New Roman" w:eastAsia="Times New Roman" w:hAnsi="Times New Roman"/>
          <w:sz w:val="21"/>
          <w:szCs w:val="21"/>
          <w:color w:val="auto"/>
        </w:rPr>
        <w:t xml:space="preserve">. With respect to all of LLC’s approvals, rights and otherwise under this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LLC shall treat AMC at least as favorably with respect to each instance as it has for any other exhibitor of the Advertising Services.</w:t>
      </w:r>
    </w:p>
    <w:p>
      <w:pPr>
        <w:spacing w:after="0" w:line="131"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7.03</w:t>
      </w:r>
      <w:r>
        <w:rPr>
          <w:sz w:val="20"/>
          <w:szCs w:val="20"/>
          <w:color w:val="auto"/>
        </w:rPr>
        <w:tab/>
      </w:r>
      <w:r>
        <w:rPr>
          <w:rFonts w:ascii="Times New Roman" w:cs="Times New Roman" w:eastAsia="Times New Roman" w:hAnsi="Times New Roman"/>
          <w:sz w:val="21"/>
          <w:szCs w:val="21"/>
          <w:b w:val="1"/>
          <w:bCs w:val="1"/>
          <w:u w:val="single" w:color="auto"/>
          <w:color w:val="auto"/>
        </w:rPr>
        <w:t>License of the AMC Marks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 w:firstLine="1505"/>
        <w:spacing w:after="0" w:line="236" w:lineRule="auto"/>
        <w:tabs>
          <w:tab w:leader="none" w:pos="195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Subject to the terms and conditions of this Agreement, and any guidelines or requirements provided in writing from time-to-time by AMC to LLC, AMC hereby grants at no cost to LLC, and LLC hereby accepts, a non-exclusive, non-transferable (except in connection with an assignment of this Agreement in accordance with </w:t>
      </w:r>
      <w:r>
        <w:rPr>
          <w:rFonts w:ascii="Times New Roman" w:cs="Times New Roman" w:eastAsia="Times New Roman" w:hAnsi="Times New Roman"/>
          <w:sz w:val="22"/>
          <w:szCs w:val="22"/>
          <w:u w:val="single" w:color="auto"/>
          <w:color w:val="auto"/>
        </w:rPr>
        <w:t>Section 15.08</w:t>
      </w:r>
      <w:r>
        <w:rPr>
          <w:rFonts w:ascii="Times New Roman" w:cs="Times New Roman" w:eastAsia="Times New Roman" w:hAnsi="Times New Roman"/>
          <w:sz w:val="22"/>
          <w:szCs w:val="22"/>
          <w:color w:val="auto"/>
        </w:rPr>
        <w:t xml:space="preserve"> hereof), nonsublicenseable, limited license (i) to use the AMC Marks solely in connection with its delivery of the Advertising Services, as approved (which shall not be unreasonably or untimely withheld) by AMC in writing in advance, and (ii) to use the AMC Marks in Marketing Materials that have been approved (which shall not be unreasonably or untimely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892175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76" w:name="page77"/>
    <w:bookmarkEnd w:id="76"/>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withheld) by AMC pursuant to the terms hereof. LLC acknowledges that AMC is and shall remain the sole owner of the AMC Marks, including the goodwill of the business symbolized thereby. LLC recognizes the value of the goodwill associated with the AMC Marks and acknowledges and agrees that any goodwill arising out of the use of the AMC Marks by LLC shall inure to the sole benefit of AMC for all purposes hereof.</w:t>
      </w:r>
    </w:p>
    <w:p>
      <w:pPr>
        <w:spacing w:after="0" w:line="180" w:lineRule="exact"/>
        <w:rPr>
          <w:sz w:val="20"/>
          <w:szCs w:val="20"/>
          <w:color w:val="auto"/>
        </w:rPr>
      </w:pPr>
    </w:p>
    <w:p>
      <w:pPr>
        <w:jc w:val="both"/>
        <w:ind w:firstLine="1505"/>
        <w:spacing w:after="0" w:line="235"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of Use</w:t>
      </w:r>
      <w:r>
        <w:rPr>
          <w:rFonts w:ascii="Times New Roman" w:cs="Times New Roman" w:eastAsia="Times New Roman" w:hAnsi="Times New Roman"/>
          <w:sz w:val="22"/>
          <w:szCs w:val="22"/>
          <w:color w:val="auto"/>
        </w:rPr>
        <w:t>. Prior to using any Marketing Material or depicting or presenting any AMC Mark in or on any marketing or advertising material or otherwise, LLC shall submit a sample of such Marketing Material or other material to AMC for approval. AMC shall exercise commercially reasonable efforts to approve (which shall not be unreasonably withheld) or reject any such Marketing Material or other material submitted to it for review within five (5) business days from the date of receipt by AMC LLC shall not use, publish, or distribute any Marketing Material or other material unless and until AMC has so approved it in writing. Upon receipt of such approval from AMC for a particular Marketing Material or other material, LLC shall not be obligated to submit to AMC substantially similar material for approval; provided, however, LLC shall timely furnish samples of all such material to AMC.</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4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Quality Standards</w:t>
      </w:r>
      <w:r>
        <w:rPr>
          <w:rFonts w:ascii="Times New Roman" w:cs="Times New Roman" w:eastAsia="Times New Roman" w:hAnsi="Times New Roman"/>
          <w:sz w:val="22"/>
          <w:szCs w:val="22"/>
          <w:color w:val="auto"/>
        </w:rPr>
        <w:t>. Any and all use or exercise of rights by LLC with respect to the AMC Marks or any other trademark, tradename, service mark or service name provided by AMC to LLC for use in connection with the Advertising Services shall be in accordance with standards of quality and specifications prescribed by AMC from time to time (the “</w:t>
      </w:r>
      <w:r>
        <w:rPr>
          <w:rFonts w:ascii="Times New Roman" w:cs="Times New Roman" w:eastAsia="Times New Roman" w:hAnsi="Times New Roman"/>
          <w:sz w:val="22"/>
          <w:szCs w:val="22"/>
          <w:b w:val="1"/>
          <w:bCs w:val="1"/>
          <w:color w:val="auto"/>
        </w:rPr>
        <w:t>AMC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Quality Standards</w:t>
      </w:r>
      <w:r>
        <w:rPr>
          <w:rFonts w:ascii="Times New Roman" w:cs="Times New Roman" w:eastAsia="Times New Roman" w:hAnsi="Times New Roman"/>
          <w:sz w:val="22"/>
          <w:szCs w:val="22"/>
          <w:color w:val="auto"/>
        </w:rPr>
        <w:t>”) and provided to LLC. AMC shall have the right to change the AMC Quality Standards from time to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written notice to LLC.</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w:t>
      </w:r>
      <w:r>
        <w:rPr>
          <w:rFonts w:ascii="Times New Roman" w:cs="Times New Roman" w:eastAsia="Times New Roman" w:hAnsi="Times New Roman"/>
          <w:sz w:val="22"/>
          <w:szCs w:val="22"/>
          <w:color w:val="auto"/>
        </w:rPr>
        <w:t>. LLC shall cause the appropriate designation “(TM)” or “(SM)” or the registration symbol “(R)” to be placed adjacent to the AMC Marks in connection with the use thereof and to indicate such additional or alternative information as AMC shall specify from time to time concerning the use by LLC of the AMC Marks as such is equally and timely communicated and applied to any and all other licensees of the AMC Marks.</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to Suspend Use</w:t>
      </w:r>
      <w:r>
        <w:rPr>
          <w:rFonts w:ascii="Times New Roman" w:cs="Times New Roman" w:eastAsia="Times New Roman" w:hAnsi="Times New Roman"/>
          <w:sz w:val="22"/>
          <w:szCs w:val="22"/>
          <w:color w:val="auto"/>
        </w:rPr>
        <w:t>. LLC shall not use any AMC Mark in any manner that may reflect adversely on the image or quality symbolized by the AMC Mark, or that may be detrimental to the image or reputation of AMC. Notwithstanding anything herein to the contrary, AMC shall have the right, at its sole option, to terminate or suspend the trademark license grant provided herein if it determines that LLC’s use of the AMC Marks or any of them is in violation of its trademark usage guidelines or is otherwise disparaging to its image or reputation, and such use is not conformed to such guidelines and other reasonable requests of AMC within ten (10) days of receipt of written notice thereof.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Limitations</w:t>
      </w:r>
      <w:r>
        <w:rPr>
          <w:rFonts w:ascii="Times New Roman" w:cs="Times New Roman" w:eastAsia="Times New Roman" w:hAnsi="Times New Roman"/>
          <w:sz w:val="22"/>
          <w:szCs w:val="22"/>
          <w:color w:val="auto"/>
        </w:rPr>
        <w:t>. LLC agrees not to use (i) any trademark or service mark which is confusingly similar to, or a colorable imitation of, any AMC Mark or any part thereof, (ii) any trademark or service mark in combination with any AMC Mark, except for the LLC Marks as permitted under this Agreement or (iii) any AMC Mark in connection with or for the, benefit of any product or service of any other Person or entity, except for the LLC Marks as permitted under this Agreement. LLC shall not engage in any conduct which may place AMC or any AMC Mark in a negative light or context, and shall not represent that it owns or has any interest in any AMC Mark other than as expressly granted herein, nor shall</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7" w:name="page78"/>
    <w:bookmarkEnd w:id="7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contest or assist others in contesting the title or any rights of AMC (or any other owner) in and to any AMC Mark.</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Section 7.04 </w:t>
      </w:r>
      <w:r>
        <w:rPr>
          <w:rFonts w:ascii="Times New Roman" w:cs="Times New Roman" w:eastAsia="Times New Roman" w:hAnsi="Times New Roman"/>
          <w:sz w:val="21"/>
          <w:szCs w:val="21"/>
          <w:b w:val="1"/>
          <w:bCs w:val="1"/>
          <w:u w:val="single" w:color="auto"/>
          <w:color w:val="auto"/>
        </w:rPr>
        <w:t>Status of the LLC Marks and AMC Marks</w:t>
      </w:r>
      <w:r>
        <w:rPr>
          <w:rFonts w:ascii="Times New Roman" w:cs="Times New Roman" w:eastAsia="Times New Roman" w:hAnsi="Times New Roman"/>
          <w:sz w:val="21"/>
          <w:szCs w:val="21"/>
          <w:color w:val="auto"/>
        </w:rPr>
        <w:t>. Without expanding the rights and licenses granted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the Parties acknowledge and agree that (a) the rights and licenses granted under this Agreement to use the LLC Marks and AMC Marks permit the use of the AMC Marks in combination or connection with the LLC Marks, (b) the use of the AMC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AMC Marks and the LLC Marks, but instead will be deemed to create and will be treated by the Parties as creating a simultaneous use of the LLC Marks and AMC Marks as multiple separate and distinct trademarks or service marks, (c) neither Party will claim or assert any rights in a composite mark consisting of elements of the LLC Marks and AMC Marks, and (d) all use of the AMC Marks and the LLC Marks under this Agreement will be subject to the provisions regarding the use and ownership of the AMC Marks and LLC Marks contained in this Agreement.</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FEES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8.01 </w:t>
      </w: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color w:val="auto"/>
        </w:rPr>
        <w:t>. Except as otherwise provided in this Agreement (e.g., payment of the Revenue Share, Platinum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Revenue Share, Lobby Revenue Share, Political Revenue Share and Minimum Guarantee pursuant to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Beverage Advertising Agreement Rate pursuant to </w:t>
      </w:r>
      <w:r>
        <w:rPr>
          <w:rFonts w:ascii="Times New Roman" w:cs="Times New Roman" w:eastAsia="Times New Roman" w:hAnsi="Times New Roman"/>
          <w:sz w:val="22"/>
          <w:szCs w:val="22"/>
          <w:u w:val="single" w:color="auto"/>
          <w:color w:val="auto"/>
        </w:rPr>
        <w:t>Section 4.05</w:t>
      </w:r>
      <w:r>
        <w:rPr>
          <w:rFonts w:ascii="Times New Roman" w:cs="Times New Roman" w:eastAsia="Times New Roman" w:hAnsi="Times New Roman"/>
          <w:sz w:val="22"/>
          <w:szCs w:val="22"/>
          <w:color w:val="auto"/>
        </w:rPr>
        <w:t>), all 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 LLC may set off or recoup any amounts owed by LLC to AMC under this agreement against any amounts that LLC determines in good faith is owed by AMC to LLC under this Agreement.</w:t>
      </w:r>
    </w:p>
    <w:p>
      <w:pPr>
        <w:spacing w:after="0" w:line="17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8.02 </w:t>
      </w:r>
      <w:r>
        <w:rPr>
          <w:rFonts w:ascii="Times New Roman" w:cs="Times New Roman" w:eastAsia="Times New Roman" w:hAnsi="Times New Roman"/>
          <w:sz w:val="21"/>
          <w:szCs w:val="21"/>
          <w:b w:val="1"/>
          <w:bCs w:val="1"/>
          <w:u w:val="single" w:color="auto"/>
          <w:color w:val="auto"/>
        </w:rPr>
        <w:t>Administrative Fee</w:t>
      </w:r>
      <w:r>
        <w:rPr>
          <w:rFonts w:ascii="Times New Roman" w:cs="Times New Roman" w:eastAsia="Times New Roman" w:hAnsi="Times New Roman"/>
          <w:sz w:val="21"/>
          <w:szCs w:val="21"/>
          <w:color w:val="auto"/>
        </w:rPr>
        <w:t>. AMC may request the right to use the Digital Content Network for the delivery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Digital Programming Events, Event Trailers, Trailers, PSA Trailers, meeting events or other entertainment content programming and, if such use is acceptable to LLC, AMC shall pay an Administrative Fee for such use as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8.03 </w:t>
      </w:r>
      <w:r>
        <w:rPr>
          <w:rFonts w:ascii="Times New Roman" w:cs="Times New Roman" w:eastAsia="Times New Roman" w:hAnsi="Times New Roman"/>
          <w:sz w:val="22"/>
          <w:szCs w:val="22"/>
          <w:b w:val="1"/>
          <w:bCs w:val="1"/>
          <w:u w:val="single" w:color="auto"/>
          <w:color w:val="auto"/>
        </w:rPr>
        <w:t>Audit</w:t>
      </w:r>
      <w:r>
        <w:rPr>
          <w:rFonts w:ascii="Times New Roman" w:cs="Times New Roman" w:eastAsia="Times New Roman" w:hAnsi="Times New Roman"/>
          <w:sz w:val="22"/>
          <w:szCs w:val="22"/>
          <w:color w:val="auto"/>
        </w:rPr>
        <w:t>. Each Party shall keep and maintain accurate books and records of all matters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its obligations hereunder, including without limitation the sale of advertising, in accordance with generally accepted accounting principles. During the Term and for a period of one (1) year thereafter, each Party, at its sole expense, shall, upon 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Fiscal Year and immediately preceding Fiscal Year only. Any period that has been audited pursuant to this section shall not be subject to any further audit. In the event an audit</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of the 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AMC premises or facilities involved in the performance of this Agreement to confirm the performance and satisfaction of AMC’s obligations hereunder.</w:t>
      </w:r>
    </w:p>
    <w:p>
      <w:pPr>
        <w:spacing w:after="0" w:line="1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 AND TERMINATION</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9.01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Unless earlier terminated as provided below, the term of this Agreement shall begin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and shall continue through February 13, 2042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after which the Parties shall have the right to renew this Agreement on the terms as set forth in this Agreement for continuous, successive five-year periods upon mutual agreement (each, a “</w:t>
      </w:r>
      <w:r>
        <w:rPr>
          <w:rFonts w:ascii="Times New Roman" w:cs="Times New Roman" w:eastAsia="Times New Roman" w:hAnsi="Times New Roman"/>
          <w:sz w:val="22"/>
          <w:szCs w:val="22"/>
          <w:b w:val="1"/>
          <w:bCs w:val="1"/>
          <w:color w:val="auto"/>
        </w:rPr>
        <w:t>Renewal Term</w:t>
      </w:r>
      <w:r>
        <w:rPr>
          <w:rFonts w:ascii="Times New Roman" w:cs="Times New Roman" w:eastAsia="Times New Roman" w:hAnsi="Times New Roman"/>
          <w:sz w:val="22"/>
          <w:szCs w:val="22"/>
          <w:color w:val="auto"/>
        </w:rPr>
        <w:t>,” and together with the Initial Term,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Prior to and during such six (6) month period, AMC shall not enter into or conduct any negotiations with any third party with respect to any service that may be competitive with the Advertising Services or any feature thereof.</w:t>
      </w:r>
    </w:p>
    <w:p>
      <w:pPr>
        <w:spacing w:after="0" w:line="17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9.02 </w:t>
      </w:r>
      <w:r>
        <w:rPr>
          <w:rFonts w:ascii="Times New Roman" w:cs="Times New Roman" w:eastAsia="Times New Roman" w:hAnsi="Times New Roman"/>
          <w:sz w:val="22"/>
          <w:szCs w:val="22"/>
          <w:b w:val="1"/>
          <w:bCs w:val="1"/>
          <w:u w:val="single" w:color="auto"/>
          <w:color w:val="auto"/>
        </w:rPr>
        <w:t>Termination; Defaults</w:t>
      </w:r>
      <w:r>
        <w:rPr>
          <w:rFonts w:ascii="Times New Roman" w:cs="Times New Roman" w:eastAsia="Times New Roman" w:hAnsi="Times New Roman"/>
          <w:sz w:val="22"/>
          <w:szCs w:val="22"/>
          <w:color w:val="auto"/>
        </w:rPr>
        <w:t>. Either Party may terminate this Agreement, immediately, by giving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of termination to the other, and without prejudice to any other rights or remedies the terminating Party may have, if:</w:t>
      </w:r>
    </w:p>
    <w:p>
      <w:pPr>
        <w:spacing w:after="0" w:line="154" w:lineRule="exact"/>
        <w:rPr>
          <w:sz w:val="20"/>
          <w:szCs w:val="20"/>
          <w:color w:val="auto"/>
        </w:rPr>
      </w:pPr>
    </w:p>
    <w:p>
      <w:pPr>
        <w:jc w:val="both"/>
        <w:ind w:right="120" w:firstLine="1505"/>
        <w:spacing w:after="0" w:line="235" w:lineRule="auto"/>
        <w:tabs>
          <w:tab w:leader="none" w:pos="198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Material Provision</w:t>
      </w:r>
      <w:r>
        <w:rPr>
          <w:rFonts w:ascii="Times New Roman" w:cs="Times New Roman" w:eastAsia="Times New Roman" w:hAnsi="Times New Roman"/>
          <w:sz w:val="22"/>
          <w:szCs w:val="22"/>
          <w:color w:val="auto"/>
        </w:rPr>
        <w:t xml:space="preserve">. The other Party materially breaches this Agreement, other than any provision of </w:t>
      </w:r>
      <w:r>
        <w:rPr>
          <w:rFonts w:ascii="Times New Roman" w:cs="Times New Roman" w:eastAsia="Times New Roman" w:hAnsi="Times New Roman"/>
          <w:sz w:val="22"/>
          <w:szCs w:val="22"/>
          <w:u w:val="single" w:color="auto"/>
          <w:color w:val="auto"/>
        </w:rPr>
        <w:t>Section 15.08</w:t>
      </w:r>
      <w:r>
        <w:rPr>
          <w:rFonts w:ascii="Times New Roman" w:cs="Times New Roman" w:eastAsia="Times New Roman" w:hAnsi="Times New Roman"/>
          <w:sz w:val="22"/>
          <w:szCs w:val="22"/>
          <w:color w:val="auto"/>
        </w:rPr>
        <w:t>,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5" w:lineRule="exact"/>
        <w:rPr>
          <w:sz w:val="20"/>
          <w:szCs w:val="20"/>
          <w:color w:val="auto"/>
        </w:rPr>
      </w:pPr>
    </w:p>
    <w:p>
      <w:pPr>
        <w:jc w:val="both"/>
        <w:ind w:left="-20" w:firstLine="1505"/>
        <w:spacing w:after="0" w:line="235" w:lineRule="auto"/>
        <w:tabs>
          <w:tab w:leader="none" w:pos="195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Anti-Assignment Provision</w:t>
      </w:r>
      <w:r>
        <w:rPr>
          <w:rFonts w:ascii="Times New Roman" w:cs="Times New Roman" w:eastAsia="Times New Roman" w:hAnsi="Times New Roman"/>
          <w:sz w:val="22"/>
          <w:szCs w:val="22"/>
          <w:color w:val="auto"/>
        </w:rPr>
        <w:t xml:space="preserve">. The other Party materially breaches any provision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15.08</w:t>
      </w:r>
      <w:r>
        <w:rPr>
          <w:rFonts w:ascii="Times New Roman" w:cs="Times New Roman" w:eastAsia="Times New Roman" w:hAnsi="Times New Roman"/>
          <w:sz w:val="22"/>
          <w:szCs w:val="22"/>
          <w:color w:val="auto"/>
        </w:rPr>
        <w:t>,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spacing w:after="0" w:line="183" w:lineRule="exact"/>
        <w:rPr>
          <w:rFonts w:ascii="Times New Roman" w:cs="Times New Roman" w:eastAsia="Times New Roman" w:hAnsi="Times New Roman"/>
          <w:sz w:val="22"/>
          <w:szCs w:val="22"/>
          <w:color w:val="auto"/>
        </w:rPr>
      </w:pPr>
    </w:p>
    <w:p>
      <w:pPr>
        <w:jc w:val="both"/>
        <w:ind w:left="-20" w:firstLine="1505"/>
        <w:spacing w:after="0" w:line="239" w:lineRule="auto"/>
        <w:tabs>
          <w:tab w:leader="none" w:pos="19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Injunction, Order or Decree</w:t>
      </w:r>
      <w:r>
        <w:rPr>
          <w:rFonts w:ascii="Times New Roman" w:cs="Times New Roman" w:eastAsia="Times New Roman" w:hAnsi="Times New Roman"/>
          <w:sz w:val="22"/>
          <w:szCs w:val="22"/>
          <w:color w:val="auto"/>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AMC from performing, in any material respect, this Agreement.</w:t>
      </w:r>
    </w:p>
    <w:p>
      <w:pPr>
        <w:spacing w:after="0" w:line="180" w:lineRule="exact"/>
        <w:rPr>
          <w:rFonts w:ascii="Times New Roman" w:cs="Times New Roman" w:eastAsia="Times New Roman" w:hAnsi="Times New Roman"/>
          <w:sz w:val="22"/>
          <w:szCs w:val="22"/>
          <w:color w:val="auto"/>
        </w:rPr>
      </w:pPr>
    </w:p>
    <w:p>
      <w:pPr>
        <w:jc w:val="both"/>
        <w:ind w:left="-20" w:firstLine="1505"/>
        <w:spacing w:after="0" w:line="244" w:lineRule="auto"/>
        <w:tabs>
          <w:tab w:leader="none" w:pos="190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spacing w:after="0" w:line="169"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9.03</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Optional Termination </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 w:firstLine="1505"/>
        <w:spacing w:after="0" w:line="238" w:lineRule="auto"/>
        <w:tabs>
          <w:tab w:leader="none" w:pos="19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 Option</w:t>
      </w:r>
      <w:r>
        <w:rPr>
          <w:rFonts w:ascii="Times New Roman" w:cs="Times New Roman" w:eastAsia="Times New Roman" w:hAnsi="Times New Roman"/>
          <w:sz w:val="22"/>
          <w:szCs w:val="22"/>
          <w:color w:val="auto"/>
        </w:rPr>
        <w:t xml:space="preserve">. If, in AMC’s reasonable discretion, it determines that AMC has received meaningful negative customer reaction to the revised show structure detailed in this Agreement that is unrelated to AMC’s Trailers and other AMC content displayed before the feature film or Digital Programming Content, then AMC may, by written notice to LLC, no later than the date that is 3 months following the 18-month anniversary of the Effective Date terminate the Agreement and revert to the Reverted Agreement, subject to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AMC Optional Termination Right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 w:firstLine="1505"/>
        <w:spacing w:after="0" w:line="239" w:lineRule="auto"/>
        <w:tabs>
          <w:tab w:leader="none" w:pos="192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LLC Option</w:t>
      </w:r>
      <w:r>
        <w:rPr>
          <w:rFonts w:ascii="Times New Roman" w:cs="Times New Roman" w:eastAsia="Times New Roman" w:hAnsi="Times New Roman"/>
          <w:sz w:val="22"/>
          <w:szCs w:val="22"/>
          <w:color w:val="auto"/>
        </w:rPr>
        <w:t xml:space="preserve">. If, in LLC’s reasonable discretion, it determines that the AMC Attributable Revenue per Attendee is insufficient to cover the Minimum Guarantee, then LLC may, by written notice to AMC, no later than the date that is 3 months following the 18-month anniversary of the Effective Date terminate the Agreement and revert to the Reverted Agreement, subject to </w:t>
      </w:r>
      <w:r>
        <w:rPr>
          <w:rFonts w:ascii="Times New Roman" w:cs="Times New Roman" w:eastAsia="Times New Roman" w:hAnsi="Times New Roman"/>
          <w:sz w:val="22"/>
          <w:szCs w:val="22"/>
          <w:u w:val="single" w:color="auto"/>
          <w:color w:val="auto"/>
        </w:rPr>
        <w:t>Section 9.03(c)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LLC Optional Termination Right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20" w:firstLine="1505"/>
        <w:spacing w:after="0" w:line="234" w:lineRule="auto"/>
        <w:tabs>
          <w:tab w:leader="none" w:pos="192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Impact of AMC Optional Termination Right and LLC Optional Termination Right</w:t>
      </w:r>
      <w:r>
        <w:rPr>
          <w:rFonts w:ascii="Times New Roman" w:cs="Times New Roman" w:eastAsia="Times New Roman" w:hAnsi="Times New Roman"/>
          <w:sz w:val="22"/>
          <w:szCs w:val="22"/>
          <w:color w:val="auto"/>
        </w:rPr>
        <w:t>. If either the AMC Optional Termination Right or the LLC Optional Termination Right is exercised, then (i) the Agreement will revert back to the terms of the Agreement that were in effect immediately prior to the Execution Date (the “</w:t>
      </w:r>
      <w:r>
        <w:rPr>
          <w:rFonts w:ascii="Times New Roman" w:cs="Times New Roman" w:eastAsia="Times New Roman" w:hAnsi="Times New Roman"/>
          <w:sz w:val="22"/>
          <w:szCs w:val="22"/>
          <w:b w:val="1"/>
          <w:bCs w:val="1"/>
          <w:color w:val="auto"/>
        </w:rPr>
        <w:t>Reverted Agreement</w:t>
      </w:r>
      <w:r>
        <w:rPr>
          <w:rFonts w:ascii="Times New Roman" w:cs="Times New Roman" w:eastAsia="Times New Roman" w:hAnsi="Times New Roman"/>
          <w:sz w:val="22"/>
          <w:szCs w:val="22"/>
          <w:color w:val="auto"/>
        </w:rPr>
        <w:t>”) effective 9 months following notice of the AMC Optional Termination Right or the LLC Optional Termination Right, and (ii) the terms of the Reverted Agreement will apply, including the Exclusivity Run-Out Payments and Encumbered Theatre Beverage Agreement Advertising Rate payment provisions included in the Original Agreement (</w:t>
      </w:r>
      <w:r>
        <w:rPr>
          <w:rFonts w:ascii="Times New Roman" w:cs="Times New Roman" w:eastAsia="Times New Roman" w:hAnsi="Times New Roman"/>
          <w:sz w:val="22"/>
          <w:szCs w:val="22"/>
          <w:u w:val="single" w:color="auto"/>
          <w:color w:val="auto"/>
        </w:rPr>
        <w:t>Section 4.08</w:t>
      </w:r>
      <w:r>
        <w:rPr>
          <w:rFonts w:ascii="Times New Roman" w:cs="Times New Roman" w:eastAsia="Times New Roman" w:hAnsi="Times New Roman"/>
          <w:sz w:val="22"/>
          <w:szCs w:val="22"/>
          <w:color w:val="auto"/>
        </w:rPr>
        <w:t xml:space="preserve"> and the associated provisions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D</w:t>
      </w:r>
      <w:r>
        <w:rPr>
          <w:rFonts w:ascii="Times New Roman" w:cs="Times New Roman" w:eastAsia="Times New Roman" w:hAnsi="Times New Roman"/>
          <w:sz w:val="22"/>
          <w:szCs w:val="22"/>
          <w:color w:val="auto"/>
        </w:rPr>
        <w:t xml:space="preserve">.) other than (A) LLC will continue to have the rights to display 5 minutes of the Pre-Feature Program after Showtime, and (B) the revised content standards of this Agreement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will continue to apply to the Reverted Agreement. Additionally, only if LLC exercises the LLC Optional Termination Right, then the Exclusivity Run-Out Payments and Encumbered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892175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80" w:name="page81"/>
    <w:bookmarkEnd w:id="80"/>
    <w:p>
      <w:pPr>
        <w:spacing w:after="0" w:line="185"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Theatre Beverage Agreement Advertising Rate payment provisions included in the Reverted Agreement (</w:t>
      </w:r>
      <w:r>
        <w:rPr>
          <w:rFonts w:ascii="Times New Roman" w:cs="Times New Roman" w:eastAsia="Times New Roman" w:hAnsi="Times New Roman"/>
          <w:sz w:val="22"/>
          <w:szCs w:val="22"/>
          <w:u w:val="single" w:color="auto"/>
          <w:color w:val="auto"/>
        </w:rPr>
        <w:t>Section 4.08</w:t>
      </w:r>
      <w:r>
        <w:rPr>
          <w:rFonts w:ascii="Times New Roman" w:cs="Times New Roman" w:eastAsia="Times New Roman" w:hAnsi="Times New Roman"/>
          <w:sz w:val="22"/>
          <w:szCs w:val="22"/>
          <w:color w:val="auto"/>
        </w:rPr>
        <w:t xml:space="preserve"> and the associated provisions in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D</w:t>
      </w:r>
      <w:r>
        <w:rPr>
          <w:rFonts w:ascii="Times New Roman" w:cs="Times New Roman" w:eastAsia="Times New Roman" w:hAnsi="Times New Roman"/>
          <w:sz w:val="22"/>
          <w:szCs w:val="22"/>
          <w:color w:val="auto"/>
        </w:rPr>
        <w:t xml:space="preserve">.) will no longer apply. The Exclusivity Run-Out Payments and Encumbered Theatre Beverage Agreement Advertising Rate payments will be calculated as set forth on </w:t>
      </w:r>
      <w:r>
        <w:rPr>
          <w:rFonts w:ascii="Times New Roman" w:cs="Times New Roman" w:eastAsia="Times New Roman" w:hAnsi="Times New Roman"/>
          <w:sz w:val="22"/>
          <w:szCs w:val="22"/>
          <w:u w:val="single" w:color="auto"/>
          <w:color w:val="auto"/>
        </w:rPr>
        <w:t>Schedule 9.03(c)</w:t>
      </w:r>
    </w:p>
    <w:p>
      <w:pPr>
        <w:spacing w:after="0" w:line="16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9.04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Articles 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2.04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9.04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9.05</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12.07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expiration or termination of this Agreement.</w:t>
      </w:r>
    </w:p>
    <w:p>
      <w:pPr>
        <w:spacing w:after="0" w:line="15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auto"/>
        </w:rPr>
        <w:t>Section 9.05</w:t>
      </w:r>
      <w:r>
        <w:rPr>
          <w:sz w:val="20"/>
          <w:szCs w:val="20"/>
          <w:color w:val="auto"/>
        </w:rPr>
        <w:tab/>
      </w: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right="120" w:firstLine="1505"/>
        <w:spacing w:after="0" w:line="243" w:lineRule="auto"/>
        <w:tabs>
          <w:tab w:leader="none" w:pos="198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Upon termination or expiration of this Agreement, each Party may exercise all remedies available to it as a matter of law and upon prior notice to AMC, LLC shall be entitled to enter the Theatres, and any other premises of AMC where any LLC Property may be located (or in the event of partial termination of this Agreement pursuant to </w:t>
      </w:r>
      <w:r>
        <w:rPr>
          <w:rFonts w:ascii="Times New Roman" w:cs="Times New Roman" w:eastAsia="Times New Roman" w:hAnsi="Times New Roman"/>
          <w:sz w:val="21"/>
          <w:szCs w:val="21"/>
          <w:u w:val="single" w:color="auto"/>
          <w:color w:val="auto"/>
        </w:rPr>
        <w:t>Section 9.02(a)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the affected Theatre(s) or premises), at a time mutually agreed to by the Parties in order to recover any and all LLC Property. In the event LLC fails to recover any LLC Property within the timeframe the Parties agree upon for such recovery, AMC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 Services and shall repair any damage to the premises as a result of such removal. In addition, any and all licenses granted by either Party to the other under this Agreement shall immediately terminate, AMC shall cease using LLC Marks, LLC shall cease using AMC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spacing w:after="0" w:line="188"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WARRANTIES AND COVENANTS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10.01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Each Party represents and warrants that:</w:t>
      </w:r>
    </w:p>
    <w:p>
      <w:pPr>
        <w:spacing w:after="0" w:line="210" w:lineRule="exact"/>
        <w:rPr>
          <w:sz w:val="20"/>
          <w:szCs w:val="20"/>
          <w:color w:val="auto"/>
        </w:rPr>
      </w:pPr>
    </w:p>
    <w:p>
      <w:pPr>
        <w:jc w:val="both"/>
        <w:ind w:right="120" w:firstLine="1506"/>
        <w:spacing w:after="0" w:line="244" w:lineRule="auto"/>
        <w:tabs>
          <w:tab w:leader="none" w:pos="194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w:t>
      </w:r>
      <w:r>
        <w:rPr>
          <w:rFonts w:ascii="Times New Roman" w:cs="Times New Roman" w:eastAsia="Times New Roman" w:hAnsi="Times New Roman"/>
          <w:sz w:val="22"/>
          <w:szCs w:val="22"/>
          <w:color w:val="auto"/>
        </w:rPr>
        <w:t>. It (i) is duly formed and organized, validly existing, and in good standing under the laws of the jurisdiction of its formation and incorporation and has the power and authority to carry on its business as carried on, and (ii) has the right to enter</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into this Agreement and to perform its obligations under this Agreement and has the power and authority to execute and deliver this Agreement.</w:t>
      </w:r>
    </w:p>
    <w:p>
      <w:pPr>
        <w:spacing w:after="0" w:line="158" w:lineRule="exact"/>
        <w:rPr>
          <w:sz w:val="20"/>
          <w:szCs w:val="20"/>
          <w:color w:val="auto"/>
        </w:rPr>
      </w:pPr>
    </w:p>
    <w:p>
      <w:pPr>
        <w:jc w:val="both"/>
        <w:ind w:firstLine="1506"/>
        <w:spacing w:after="0" w:line="239" w:lineRule="auto"/>
        <w:tabs>
          <w:tab w:leader="none" w:pos="19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Authorization</w:t>
      </w:r>
      <w:r>
        <w:rPr>
          <w:rFonts w:ascii="Times New Roman" w:cs="Times New Roman" w:eastAsia="Times New Roman" w:hAnsi="Times New Roman"/>
          <w:sz w:val="22"/>
          <w:szCs w:val="22"/>
          <w:color w:val="auto"/>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spacing w:after="0" w:line="180" w:lineRule="exact"/>
        <w:rPr>
          <w:rFonts w:ascii="Times New Roman" w:cs="Times New Roman" w:eastAsia="Times New Roman" w:hAnsi="Times New Roman"/>
          <w:sz w:val="22"/>
          <w:szCs w:val="22"/>
          <w:color w:val="auto"/>
        </w:rPr>
      </w:pPr>
    </w:p>
    <w:p>
      <w:pPr>
        <w:jc w:val="both"/>
        <w:ind w:firstLine="1506"/>
        <w:spacing w:after="0" w:line="244" w:lineRule="auto"/>
        <w:tabs>
          <w:tab w:leader="none" w:pos="194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spacing w:after="0" w:line="173" w:lineRule="exact"/>
        <w:rPr>
          <w:rFonts w:ascii="Times New Roman" w:cs="Times New Roman" w:eastAsia="Times New Roman" w:hAnsi="Times New Roman"/>
          <w:sz w:val="22"/>
          <w:szCs w:val="22"/>
          <w:color w:val="auto"/>
        </w:rPr>
      </w:pPr>
    </w:p>
    <w:p>
      <w:pPr>
        <w:jc w:val="both"/>
        <w:ind w:firstLine="1506"/>
        <w:spacing w:after="0" w:line="235" w:lineRule="auto"/>
        <w:tabs>
          <w:tab w:leader="none" w:pos="193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conflict with or result in a violation or breach of any law or order applicable to it, or (A)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10.02 </w:t>
      </w:r>
      <w:r>
        <w:rPr>
          <w:rFonts w:ascii="Times New Roman" w:cs="Times New Roman" w:eastAsia="Times New Roman" w:hAnsi="Times New Roman"/>
          <w:sz w:val="22"/>
          <w:szCs w:val="22"/>
          <w:b w:val="1"/>
          <w:bCs w:val="1"/>
          <w:u w:val="single" w:color="auto"/>
          <w:color w:val="auto"/>
        </w:rPr>
        <w:t>Additional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6"/>
        <w:spacing w:after="0" w:line="238" w:lineRule="auto"/>
        <w:tabs>
          <w:tab w:leader="none" w:pos="193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Challenge</w:t>
      </w:r>
      <w:r>
        <w:rPr>
          <w:rFonts w:ascii="Times New Roman" w:cs="Times New Roman" w:eastAsia="Times New Roman" w:hAnsi="Times New Roman"/>
          <w:sz w:val="22"/>
          <w:szCs w:val="22"/>
          <w:color w:val="auto"/>
        </w:rPr>
        <w:t>. Each Party covenants that it will not at any time, except to the extent necessary to, assert or defend its rights under this 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spacing w:after="0" w:line="176" w:lineRule="exact"/>
        <w:rPr>
          <w:rFonts w:ascii="Times New Roman" w:cs="Times New Roman" w:eastAsia="Times New Roman" w:hAnsi="Times New Roman"/>
          <w:sz w:val="22"/>
          <w:szCs w:val="22"/>
          <w:color w:val="auto"/>
        </w:rPr>
      </w:pPr>
    </w:p>
    <w:p>
      <w:pPr>
        <w:jc w:val="both"/>
        <w:ind w:firstLine="1506"/>
        <w:spacing w:after="0" w:line="251" w:lineRule="auto"/>
        <w:tabs>
          <w:tab w:leader="none" w:pos="194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Infringement by AMC</w:t>
      </w:r>
      <w:r>
        <w:rPr>
          <w:rFonts w:ascii="Times New Roman" w:cs="Times New Roman" w:eastAsia="Times New Roman" w:hAnsi="Times New Roman"/>
          <w:sz w:val="21"/>
          <w:szCs w:val="21"/>
          <w:color w:val="auto"/>
        </w:rPr>
        <w:t>. AMC covenants that, except as AMC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spacing w:after="0" w:line="168" w:lineRule="exact"/>
        <w:rPr>
          <w:rFonts w:ascii="Times New Roman" w:cs="Times New Roman" w:eastAsia="Times New Roman" w:hAnsi="Times New Roman"/>
          <w:sz w:val="21"/>
          <w:szCs w:val="21"/>
          <w:color w:val="auto"/>
        </w:rPr>
      </w:pPr>
    </w:p>
    <w:p>
      <w:pPr>
        <w:jc w:val="both"/>
        <w:ind w:firstLine="1506"/>
        <w:spacing w:after="0" w:line="236" w:lineRule="auto"/>
        <w:tabs>
          <w:tab w:leader="none" w:pos="193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Infringement by LLC</w:t>
      </w:r>
      <w:r>
        <w:rPr>
          <w:rFonts w:ascii="Times New Roman" w:cs="Times New Roman" w:eastAsia="Times New Roman" w:hAnsi="Times New Roman"/>
          <w:sz w:val="22"/>
          <w:szCs w:val="22"/>
          <w:color w:val="auto"/>
        </w:rPr>
        <w:t xml:space="preserve">. LLC covenants that, except as specified in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 xml:space="preserve"> and excluding any intellectual property or other rights licensed pursuant to the License Agreement, (i) to its knowledge, the Advertising Services will not violate, infringe or dilute any trademark, tradename, service mark or service name or any other intellectual property of any third party or the right of privacy or publicity of any person and (ii) LLC shall procure any and all consents, licenses or permits necessary relating to the Advertising Services provided to AMC and shall pay all license fees and royalties to the appropriate parties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2" w:name="page83"/>
    <w:bookmarkEnd w:id="82"/>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that become due and owing as a result of the performance of the Advertising Services or any other services as may be provided by LLC to AMC from time to time, other than film rent to the film distributors.</w:t>
      </w:r>
    </w:p>
    <w:p>
      <w:pPr>
        <w:spacing w:after="0" w:line="15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10.03 </w:t>
      </w:r>
      <w:r>
        <w:rPr>
          <w:rFonts w:ascii="Times New Roman" w:cs="Times New Roman" w:eastAsia="Times New Roman" w:hAnsi="Times New Roman"/>
          <w:sz w:val="21"/>
          <w:szCs w:val="21"/>
          <w:b w:val="1"/>
          <w:bCs w:val="1"/>
          <w:u w:val="single" w:color="auto"/>
          <w:color w:val="auto"/>
        </w:rPr>
        <w:t>Disclaimer</w:t>
      </w:r>
      <w:r>
        <w:rPr>
          <w:rFonts w:ascii="Times New Roman" w:cs="Times New Roman" w:eastAsia="Times New Roman" w:hAnsi="Times New Roman"/>
          <w:sz w:val="21"/>
          <w:szCs w:val="21"/>
          <w:color w:val="auto"/>
        </w:rPr>
        <w:t>. EXCEPT AS EXPRESSLY AND EXPLICITLY SET FORTH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INFORMATION, PRODUCTS, AND SERVICES, INCLUDING, WITHOUT LIMITATION, THE AMC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spacing w:after="0" w:line="16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11.01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120" w:firstLine="1506"/>
        <w:spacing w:after="0" w:line="233" w:lineRule="auto"/>
        <w:tabs>
          <w:tab w:leader="none" w:pos="198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AMC</w:t>
      </w:r>
      <w:r>
        <w:rPr>
          <w:rFonts w:ascii="Times New Roman" w:cs="Times New Roman" w:eastAsia="Times New Roman" w:hAnsi="Times New Roman"/>
          <w:sz w:val="22"/>
          <w:szCs w:val="22"/>
          <w:color w:val="auto"/>
        </w:rPr>
        <w:t>. AMC shall defend, indemnify, and hold harmless LLC and its officers, directors, members, owners, contractors, employees, representatives, agents, successors, and assigns (collectively,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xml:space="preserve">”) from and against any and all losses, obligations, risks, costs, claims, liabilities, settlements, damages, liens, judgments, awards, fines, penalties, expenses and other obligations whatsoever (including, without limitation, reasonable attorneys’ fees and disbursements, except as limited by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and any consultants or experts and expenses of investigation) (collectively, “</w:t>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xml:space="preserve">”) suffered or incurred by LLC or its Representatives in connection with, as a result of, based upon, or relating to, (i) any breach by AMC of this Agreement, (ii) any use by AMC of any LLC Property (other than LLC Property licensed by LLC to AMC under the License Agreement) other than as authorized by this Agreement, (iii) any third-party claims directly resulting from acts or omissions of AMC or its designee(s), (iv) AMC’s fraud, willful misconduct, or noncompliance with law, (v) any infringement, violation, misappropriation, or misuse of any third-party intellectual property rights by the AMC Property (excluding the intellectual property or other rights licensed by AMC pursuant to the License Agreement); or (vii) any items disclosed by AMC pursuant to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right="120" w:firstLine="1506"/>
        <w:spacing w:after="0" w:line="235" w:lineRule="auto"/>
        <w:tabs>
          <w:tab w:leader="none" w:pos="19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LLC</w:t>
      </w:r>
      <w:r>
        <w:rPr>
          <w:rFonts w:ascii="Times New Roman" w:cs="Times New Roman" w:eastAsia="Times New Roman" w:hAnsi="Times New Roman"/>
          <w:sz w:val="22"/>
          <w:szCs w:val="22"/>
          <w:color w:val="auto"/>
        </w:rPr>
        <w:t>. LLC shall defend, indemnify, and hold harmless AMC and its Representatives from and against any and all Costs suffered or incurred by AMC or its Representatives in connection with, as a result of, based upon, or relating to, (i) any breach by LLC of this Agreement, (ii) any use by LLC of any information, content or other materials supplied by or on behalf of AMC hereunder (including the Brand), but not under the License Agreement, other than as authorized by this Agreement, (iii) any damage caused by LLC, its vendors or subcontractors in installation, inspection or maintenance of any Equipment, (iv) any third-party claims directly resulting from acts or omissions of LLC or its designee(s), including subcontractors, (v) any infringement, violation, misappropriation, or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misuse of any third-party intellectual property rights by the LLC Property (excluding the intellectual property or other rights licensed by LLC pursuant to the License Agreement); or (vii) LLC’s fraud, willful misconduct, or noncompliance with law.</w:t>
      </w:r>
    </w:p>
    <w:p>
      <w:pPr>
        <w:spacing w:after="0" w:line="154" w:lineRule="exact"/>
        <w:rPr>
          <w:sz w:val="20"/>
          <w:szCs w:val="20"/>
          <w:color w:val="auto"/>
        </w:rPr>
      </w:pPr>
    </w:p>
    <w:p>
      <w:pPr>
        <w:jc w:val="both"/>
        <w:ind w:right="120" w:firstLine="1506"/>
        <w:spacing w:after="0" w:line="232" w:lineRule="auto"/>
        <w:tabs>
          <w:tab w:leader="none" w:pos="197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Indemnification</w:t>
      </w:r>
      <w:r>
        <w:rPr>
          <w:rFonts w:ascii="Times New Roman" w:cs="Times New Roman" w:eastAsia="Times New Roman" w:hAnsi="Times New Roman"/>
          <w:sz w:val="22"/>
          <w:szCs w:val="22"/>
          <w:color w:val="auto"/>
        </w:rPr>
        <w:t>. Each Party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w:t>
      </w:r>
      <w:r>
        <w:rPr>
          <w:rFonts w:ascii="Times New Roman" w:cs="Times New Roman" w:eastAsia="Times New Roman" w:hAnsi="Times New Roman"/>
          <w:sz w:val="22"/>
          <w:szCs w:val="22"/>
          <w:u w:val="single" w:color="auto"/>
          <w:color w:val="auto"/>
        </w:rPr>
        <w:t>Sections 10.02(b)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11.01(a)(iii)</w:t>
      </w:r>
      <w:r>
        <w:rPr>
          <w:rFonts w:ascii="Times New Roman" w:cs="Times New Roman" w:eastAsia="Times New Roman" w:hAnsi="Times New Roman"/>
          <w:sz w:val="22"/>
          <w:szCs w:val="22"/>
          <w:color w:val="auto"/>
        </w:rPr>
        <w:t xml:space="preserve">, or if infringement or dilution potentially giving rise to a claim under this Section is, in the Indemnifying Party’s opinion, likely to occur the Indemnifying Party may, either: (i) procure for the other Party the right to continue using the trademark, tradename, service mark or service name in question, (ii) replace or modify the trademark, tradename, service mark or service name in question with a non-infringing or non- 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w:t>
      </w:r>
      <w:r>
        <w:rPr>
          <w:rFonts w:ascii="Times New Roman" w:cs="Times New Roman" w:eastAsia="Times New Roman" w:hAnsi="Times New Roman"/>
          <w:sz w:val="22"/>
          <w:szCs w:val="22"/>
          <w:u w:val="single" w:color="auto"/>
          <w:color w:val="auto"/>
        </w:rPr>
        <w:t>Section 11.01(c)</w:t>
      </w:r>
      <w:r>
        <w:rPr>
          <w:rFonts w:ascii="Times New Roman" w:cs="Times New Roman" w:eastAsia="Times New Roman" w:hAnsi="Times New Roman"/>
          <w:sz w:val="22"/>
          <w:szCs w:val="22"/>
          <w:color w:val="auto"/>
        </w:rPr>
        <w:t xml:space="preserve"> states each Party’s entire liability and sole and exclusive remedy for infringement or dilution claims or actions relating to third party trademarks, tradenames, service marks or service names in connection with this Agreement.</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11.02 </w:t>
      </w:r>
      <w:r>
        <w:rPr>
          <w:rFonts w:ascii="Times New Roman" w:cs="Times New Roman" w:eastAsia="Times New Roman" w:hAnsi="Times New Roman"/>
          <w:sz w:val="22"/>
          <w:szCs w:val="22"/>
          <w:b w:val="1"/>
          <w:bCs w:val="1"/>
          <w:u w:val="single" w:color="auto"/>
          <w:color w:val="auto"/>
        </w:rPr>
        <w:t>Defense of Action</w:t>
      </w:r>
      <w:r>
        <w:rPr>
          <w:rFonts w:ascii="Times New Roman" w:cs="Times New Roman" w:eastAsia="Times New Roman" w:hAnsi="Times New Roman"/>
          <w:sz w:val="22"/>
          <w:szCs w:val="22"/>
          <w:color w:val="auto"/>
        </w:rPr>
        <w:t>. An indemnitor under this Article shall have the right to control the defense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settlement of any and all claims, suits, 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spacing w:after="0" w:line="17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RIGHTS AND OBLIGATIONS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12.01 </w:t>
      </w:r>
      <w:r>
        <w:rPr>
          <w:rFonts w:ascii="Times New Roman" w:cs="Times New Roman" w:eastAsia="Times New Roman" w:hAnsi="Times New Roman"/>
          <w:sz w:val="22"/>
          <w:szCs w:val="22"/>
          <w:b w:val="1"/>
          <w:bCs w:val="1"/>
          <w:u w:val="single" w:color="auto"/>
          <w:color w:val="auto"/>
        </w:rPr>
        <w:t>Assistance</w:t>
      </w:r>
      <w:r>
        <w:rPr>
          <w:rFonts w:ascii="Times New Roman" w:cs="Times New Roman" w:eastAsia="Times New Roman" w:hAnsi="Times New Roman"/>
          <w:sz w:val="22"/>
          <w:szCs w:val="22"/>
          <w:color w:val="auto"/>
        </w:rPr>
        <w:t>. Each Party, upon the request of the other, shall perform any and all further reasonable acts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reasonably execute, acknowledge, and deliver any and all documents which the other Party determines in its sole reasonable judgment may be necessary,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12.02 </w:t>
      </w:r>
      <w:r>
        <w:rPr>
          <w:rFonts w:ascii="Times New Roman" w:cs="Times New Roman" w:eastAsia="Times New Roman" w:hAnsi="Times New Roman"/>
          <w:sz w:val="22"/>
          <w:szCs w:val="22"/>
          <w:b w:val="1"/>
          <w:bCs w:val="1"/>
          <w:u w:val="single" w:color="auto"/>
          <w:color w:val="auto"/>
        </w:rPr>
        <w:t>Infringement</w:t>
      </w:r>
      <w:r>
        <w:rPr>
          <w:rFonts w:ascii="Times New Roman" w:cs="Times New Roman" w:eastAsia="Times New Roman" w:hAnsi="Times New Roman"/>
          <w:sz w:val="22"/>
          <w:szCs w:val="22"/>
          <w:color w:val="auto"/>
        </w:rPr>
        <w:t>. The Parties shall notify one another promptly, in writing, of any alleged, actual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threatened infringement, violation, misappropriation or misuse of or interference with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 any intellectual property which such Party knows of or has reason to suspect.</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12.03 </w:t>
      </w:r>
      <w:r>
        <w:rPr>
          <w:rFonts w:ascii="Times New Roman" w:cs="Times New Roman" w:eastAsia="Times New Roman" w:hAnsi="Times New Roman"/>
          <w:sz w:val="22"/>
          <w:szCs w:val="22"/>
          <w:b w:val="1"/>
          <w:bCs w:val="1"/>
          <w:u w:val="single" w:color="auto"/>
          <w:color w:val="auto"/>
        </w:rPr>
        <w:t>Theatre Passes</w:t>
      </w:r>
      <w:r>
        <w:rPr>
          <w:rFonts w:ascii="Times New Roman" w:cs="Times New Roman" w:eastAsia="Times New Roman" w:hAnsi="Times New Roman"/>
          <w:sz w:val="22"/>
          <w:szCs w:val="22"/>
          <w:color w:val="auto"/>
        </w:rPr>
        <w:t>. Upon the request of LLC’s CEO, AMC will issue a number of annual passes,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requested by LLC and agreed by the parties and as reasonably consistent with prior practice, to the Theatres for use by LLC advertising clients, subject to AMC’s ability to issue such passes pursuant to AMC’s agreements with film distributors. LLC may purchase passes in excess of such number each year at a reasonably negotiated price. All other tickets used by LLC for promotional and sales purposes will be acquired by LLC at AMC’s then current group ticket discount rate.</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12.04 </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AMC and LLC shall each at all times operate and conduct its business,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exercising 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12.05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AMC shall maintain with financially sound and reputable insurance companies insurance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Theatres and Equipment in such amounts and against such perils as AMC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AMC listed as an additional insured on any insurance policy carried by the advertiser, agent or event promoter in connection with Advertising Services provided under this Agreement.</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Section 12.06 </w:t>
      </w:r>
      <w:r>
        <w:rPr>
          <w:rFonts w:ascii="Times New Roman" w:cs="Times New Roman" w:eastAsia="Times New Roman" w:hAnsi="Times New Roman"/>
          <w:sz w:val="21"/>
          <w:szCs w:val="21"/>
          <w:b w:val="1"/>
          <w:bCs w:val="1"/>
          <w:u w:val="single" w:color="auto"/>
          <w:color w:val="auto"/>
        </w:rPr>
        <w:t>Most Favored Nations</w:t>
      </w:r>
      <w:r>
        <w:rPr>
          <w:rFonts w:ascii="Times New Roman" w:cs="Times New Roman" w:eastAsia="Times New Roman" w:hAnsi="Times New Roman"/>
          <w:sz w:val="21"/>
          <w:szCs w:val="21"/>
          <w:color w:val="auto"/>
        </w:rPr>
        <w:t>. If prior to final adjudication (including any appeal or the expiration of time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appeal) of the MFN Litigation, LLC enters into an amendment to the existing Cinemark Exhibitor Agreement or enters into another agreement with Cinemark or its Affiliates to provide services substantially similar to those provided under the Cinemark Exhibitor Agreement and that agreement contains an improved revenue share as compared to the Revenue Share or an improved revenue share for the Platinum advertising as compared to the Platinum Revenue Share, LLC shall promptly provide to AMC a copy of each such amendments or agreements. At the election of AMC, by written notice to LLC within twenty (20) days following its receipt of such agreements or amendments, to amend this Agreement so that it conforms to any of such agreements or amendments relating solely to the Revenue Share or Platinum Revenue Share, this Agreement shall be deemed so amended by LLC and AMC as soon as reasonably practicable after receipt of such notice. The amendment of this Agreement, if any, will include the changes to the Revenue Share or Platinum Revenue Share and any other associated provisions that are necessary in LLC’s reasonable discretion for AMC to receive the benefit of the Revenue Share or Platinum Revenue Share (the</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Associated Provisions</w:t>
      </w:r>
      <w:r>
        <w:rPr>
          <w:rFonts w:ascii="Times New Roman" w:cs="Times New Roman" w:eastAsia="Times New Roman" w:hAnsi="Times New Roman"/>
          <w:sz w:val="22"/>
          <w:szCs w:val="22"/>
          <w:color w:val="auto"/>
        </w:rPr>
        <w:t>”). AMC shall have no right to the benefit of any agreements or amendments relating to provisions other than the Revenue Share and Platinum Revenue Share and the Associated Provisions.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12.07 </w:t>
      </w:r>
      <w:r>
        <w:rPr>
          <w:rFonts w:ascii="Times New Roman" w:cs="Times New Roman" w:eastAsia="Times New Roman" w:hAnsi="Times New Roman"/>
          <w:sz w:val="22"/>
          <w:szCs w:val="22"/>
          <w:b w:val="1"/>
          <w:bCs w:val="1"/>
          <w:u w:val="single" w:color="auto"/>
          <w:color w:val="auto"/>
        </w:rPr>
        <w:t>Non-Competition and Non-Solicitation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120" w:firstLine="1506"/>
        <w:spacing w:after="0" w:line="233" w:lineRule="auto"/>
        <w:tabs>
          <w:tab w:leader="none" w:pos="1957"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In consideration of AMC’s participation in LLC and in consideration of the mutual covenants and agreements contained in this Agreement, AMC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AMC or its Affiliate acquires a competing business in the Territory as an incidental part of an acquisition of any other business that is not prohibited by the foregoing, if AMC disposes of the portion of such business that is a competing business as soon as practicable, (ii) to any direct or indirect ownership or other equity investments by AMC or its Affiliates in such other competing business that represents in the aggregate less than 10% of the voting power of all outstanding equity of such business, and (iii) in the event AMC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spacing w:after="0" w:line="182" w:lineRule="exact"/>
        <w:rPr>
          <w:rFonts w:ascii="Times New Roman" w:cs="Times New Roman" w:eastAsia="Times New Roman" w:hAnsi="Times New Roman"/>
          <w:sz w:val="22"/>
          <w:szCs w:val="22"/>
          <w:color w:val="auto"/>
        </w:rPr>
      </w:pPr>
    </w:p>
    <w:p>
      <w:pPr>
        <w:jc w:val="both"/>
        <w:ind w:right="120" w:firstLine="1506"/>
        <w:spacing w:after="0" w:line="236" w:lineRule="auto"/>
        <w:tabs>
          <w:tab w:leader="none" w:pos="198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OWNERSHIP</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13.01 </w:t>
      </w:r>
      <w:r>
        <w:rPr>
          <w:rFonts w:ascii="Times New Roman" w:cs="Times New Roman" w:eastAsia="Times New Roman" w:hAnsi="Times New Roman"/>
          <w:sz w:val="22"/>
          <w:szCs w:val="22"/>
          <w:b w:val="1"/>
          <w:bCs w:val="1"/>
          <w:u w:val="single" w:color="auto"/>
          <w:color w:val="auto"/>
        </w:rPr>
        <w:t>Property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120" w:firstLine="1506"/>
        <w:spacing w:after="0" w:line="247" w:lineRule="auto"/>
        <w:tabs>
          <w:tab w:leader="none" w:pos="193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LLC Property</w:t>
      </w:r>
      <w:r>
        <w:rPr>
          <w:rFonts w:ascii="Times New Roman" w:cs="Times New Roman" w:eastAsia="Times New Roman" w:hAnsi="Times New Roman"/>
          <w:sz w:val="21"/>
          <w:szCs w:val="21"/>
          <w:color w:val="auto"/>
        </w:rPr>
        <w:t>. As between LLC and AMC, LLC owns, solely and exclusively, any and all right, title, and interest in and to the Advertising Services (including all Inventory and other content supplied by or on behalf of LLC), the LLC Marks, the Software (excluding any Software owned by AMC as provided in the License Agreement), LLC’s Confidential Information, the Digital Content Network, and any and all other data, information, Equipment (excluding the AMC Equipment), material, inventions, discoveries, processes, methods, technology, know-how, written works, software, works of visual art, audio works, and multimedia works provided, developed, created, reduced to practice, conceived, or made available by or on behalf of LLC to AMC or used by LLC to perform any of its obligations under or in connection with this Agreement, as well as any and all translations, improvements, adaptations, reproductions, look and feel attributes, and derivates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thereof (collectively, the “</w:t>
      </w:r>
      <w:r>
        <w:rPr>
          <w:rFonts w:ascii="Times New Roman" w:cs="Times New Roman" w:eastAsia="Times New Roman" w:hAnsi="Times New Roman"/>
          <w:sz w:val="22"/>
          <w:szCs w:val="22"/>
          <w:b w:val="1"/>
          <w:bCs w:val="1"/>
          <w:color w:val="auto"/>
        </w:rPr>
        <w:t>LLC Property</w:t>
      </w:r>
      <w:r>
        <w:rPr>
          <w:rFonts w:ascii="Times New Roman" w:cs="Times New Roman" w:eastAsia="Times New Roman" w:hAnsi="Times New Roman"/>
          <w:sz w:val="22"/>
          <w:szCs w:val="22"/>
          <w:color w:val="auto"/>
        </w:rPr>
        <w:t>”), and, except as expressly and explicitly stated in this Agreement, reserves all such right, title, and interest.</w:t>
      </w:r>
    </w:p>
    <w:p>
      <w:pPr>
        <w:spacing w:after="0" w:line="154" w:lineRule="exact"/>
        <w:rPr>
          <w:sz w:val="20"/>
          <w:szCs w:val="20"/>
          <w:color w:val="auto"/>
        </w:rPr>
      </w:pPr>
    </w:p>
    <w:p>
      <w:pPr>
        <w:jc w:val="both"/>
        <w:ind w:firstLine="1506"/>
        <w:spacing w:after="0" w:line="234" w:lineRule="auto"/>
        <w:tabs>
          <w:tab w:leader="none" w:pos="194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 Property</w:t>
      </w:r>
      <w:r>
        <w:rPr>
          <w:rFonts w:ascii="Times New Roman" w:cs="Times New Roman" w:eastAsia="Times New Roman" w:hAnsi="Times New Roman"/>
          <w:sz w:val="22"/>
          <w:szCs w:val="22"/>
          <w:color w:val="auto"/>
        </w:rPr>
        <w:t xml:space="preserve">. As between AMC and LLC, AMC owns, solely and exclusively, any and all right, title, and interest in and to all content supplied by or on behalf of AMC, the AMC Marks, Software not included in </w:t>
      </w:r>
      <w:r>
        <w:rPr>
          <w:rFonts w:ascii="Times New Roman" w:cs="Times New Roman" w:eastAsia="Times New Roman" w:hAnsi="Times New Roman"/>
          <w:sz w:val="22"/>
          <w:szCs w:val="22"/>
          <w:u w:val="single" w:color="auto"/>
          <w:color w:val="auto"/>
        </w:rPr>
        <w:t>Section 13.01(a)</w:t>
      </w:r>
      <w:r>
        <w:rPr>
          <w:rFonts w:ascii="Times New Roman" w:cs="Times New Roman" w:eastAsia="Times New Roman" w:hAnsi="Times New Roman"/>
          <w:sz w:val="22"/>
          <w:szCs w:val="22"/>
          <w:color w:val="auto"/>
        </w:rPr>
        <w:t xml:space="preserve"> above, AMC’s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AMC to LLC or used by AMC to perform any of its obligations under or in connection with this Agreement, as well as any and all translations, improvements, adaptations, reproductions, look- and-feel attributes, and derivates thereof (collectively, the “</w:t>
      </w:r>
      <w:r>
        <w:rPr>
          <w:rFonts w:ascii="Times New Roman" w:cs="Times New Roman" w:eastAsia="Times New Roman" w:hAnsi="Times New Roman"/>
          <w:sz w:val="22"/>
          <w:szCs w:val="22"/>
          <w:b w:val="1"/>
          <w:bCs w:val="1"/>
          <w:color w:val="auto"/>
        </w:rPr>
        <w:t>AMC Property</w:t>
      </w:r>
      <w:r>
        <w:rPr>
          <w:rFonts w:ascii="Times New Roman" w:cs="Times New Roman" w:eastAsia="Times New Roman" w:hAnsi="Times New Roman"/>
          <w:sz w:val="22"/>
          <w:szCs w:val="22"/>
          <w:color w:val="auto"/>
        </w:rPr>
        <w:t>”), and, except as expressly and explicitly stated in this Agreement, reserves all such right, title, and interest.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13.02 </w:t>
      </w:r>
      <w:r>
        <w:rPr>
          <w:rFonts w:ascii="Times New Roman" w:cs="Times New Roman" w:eastAsia="Times New Roman" w:hAnsi="Times New Roman"/>
          <w:sz w:val="22"/>
          <w:szCs w:val="22"/>
          <w:b w:val="1"/>
          <w:bCs w:val="1"/>
          <w:u w:val="single" w:color="auto"/>
          <w:color w:val="auto"/>
        </w:rPr>
        <w:t>Derived Works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6"/>
        <w:spacing w:after="0" w:line="233" w:lineRule="auto"/>
        <w:tabs>
          <w:tab w:leader="none" w:pos="197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Derived Works from LLC Property</w:t>
      </w:r>
      <w:r>
        <w:rPr>
          <w:rFonts w:ascii="Times New Roman" w:cs="Times New Roman" w:eastAsia="Times New Roman" w:hAnsi="Times New Roman"/>
          <w:sz w:val="22"/>
          <w:szCs w:val="22"/>
          <w:color w:val="auto"/>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Times New Roman" w:cs="Times New Roman" w:eastAsia="Times New Roman" w:hAnsi="Times New Roman"/>
          <w:sz w:val="22"/>
          <w:szCs w:val="22"/>
          <w:b w:val="1"/>
          <w:bCs w:val="1"/>
          <w:color w:val="auto"/>
        </w:rPr>
        <w:t>LLC Derived Works</w:t>
      </w:r>
      <w:r>
        <w:rPr>
          <w:rFonts w:ascii="Times New Roman" w:cs="Times New Roman" w:eastAsia="Times New Roman" w:hAnsi="Times New Roman"/>
          <w:sz w:val="22"/>
          <w:szCs w:val="22"/>
          <w:color w:val="auto"/>
        </w:rPr>
        <w:t>”), shall be owned solely and exclusively by LLC, and AMC hereby assigns, transfers, and conveys to LLC any right, title, or interest in or to any LLC Derived Work which it may at any time acquire by operation of law or otherwise. To the extent any LLC Derived Works are included in the Advertising Services, LLC hereby grants to AMC during the Term a non-exclusive, non-transferable, non-sublicenseable license to such LLC Derived Works solely for use in connection with the Advertising Services, as expressly provided by this Agreement.</w:t>
      </w:r>
    </w:p>
    <w:p>
      <w:pPr>
        <w:spacing w:after="0" w:line="187" w:lineRule="exact"/>
        <w:rPr>
          <w:rFonts w:ascii="Times New Roman" w:cs="Times New Roman" w:eastAsia="Times New Roman" w:hAnsi="Times New Roman"/>
          <w:sz w:val="22"/>
          <w:szCs w:val="22"/>
          <w:color w:val="auto"/>
        </w:rPr>
      </w:pPr>
    </w:p>
    <w:p>
      <w:pPr>
        <w:jc w:val="both"/>
        <w:ind w:firstLine="1506"/>
        <w:spacing w:after="0" w:line="233" w:lineRule="auto"/>
        <w:tabs>
          <w:tab w:leader="none" w:pos="199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Derived Works from AMC Property</w:t>
      </w:r>
      <w:r>
        <w:rPr>
          <w:rFonts w:ascii="Times New Roman" w:cs="Times New Roman" w:eastAsia="Times New Roman" w:hAnsi="Times New Roman"/>
          <w:sz w:val="22"/>
          <w:szCs w:val="22"/>
          <w:color w:val="auto"/>
        </w:rPr>
        <w:t xml:space="preserve">. Except as specified in </w:t>
      </w:r>
      <w:r>
        <w:rPr>
          <w:rFonts w:ascii="Times New Roman" w:cs="Times New Roman" w:eastAsia="Times New Roman" w:hAnsi="Times New Roman"/>
          <w:sz w:val="22"/>
          <w:szCs w:val="22"/>
          <w:u w:val="single" w:color="auto"/>
          <w:color w:val="auto"/>
        </w:rPr>
        <w:t>Section 13.02(a)</w:t>
      </w:r>
      <w:r>
        <w:rPr>
          <w:rFonts w:ascii="Times New Roman" w:cs="Times New Roman" w:eastAsia="Times New Roman" w:hAnsi="Times New Roman"/>
          <w:sz w:val="22"/>
          <w:szCs w:val="22"/>
          <w:color w:val="auto"/>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AMC Property (and specifically including any materials included in the Policy Trailer or the Branded Slots based on or derived from materials supplied by AMC), whether or not done on AMC’s facilities, with AMC’s or LLC’s equipment, or by AMC personnel, by either Party alone or with each other or any third party, and any and all right, title, and interest therein and thereto (including, but not limited to, the right to sue for past infringement) (collectively, “</w:t>
      </w:r>
      <w:r>
        <w:rPr>
          <w:rFonts w:ascii="Times New Roman" w:cs="Times New Roman" w:eastAsia="Times New Roman" w:hAnsi="Times New Roman"/>
          <w:sz w:val="22"/>
          <w:szCs w:val="22"/>
          <w:b w:val="1"/>
          <w:bCs w:val="1"/>
          <w:color w:val="auto"/>
        </w:rPr>
        <w:t>AMC Derived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Works</w:t>
      </w:r>
      <w:r>
        <w:rPr>
          <w:rFonts w:ascii="Times New Roman" w:cs="Times New Roman" w:eastAsia="Times New Roman" w:hAnsi="Times New Roman"/>
          <w:sz w:val="22"/>
          <w:szCs w:val="22"/>
          <w:color w:val="auto"/>
        </w:rPr>
        <w:t>”), shall be owned solely and exclusively by AMC, and LLC hereby assigns, transfers, and conveys to AMC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title, or interest in or to any AMC Derived Work which it may at any time acquire by operation of law or otherwise. To the extent any AMC Derived Works are included in the Advertising Services, AMC hereby grants to LLC during the Term a nonexclusive, non- transferable, non-sublicenseable license to such AMC Derived Works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7" w:name="page88"/>
    <w:bookmarkEnd w:id="8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solely for use in connection with the Advertising Services, as expressly provided by this Agreement.</w:t>
      </w:r>
    </w:p>
    <w:p>
      <w:pPr>
        <w:spacing w:after="0" w:line="20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13.03 </w:t>
      </w:r>
      <w:r>
        <w:rPr>
          <w:rFonts w:ascii="Times New Roman" w:cs="Times New Roman" w:eastAsia="Times New Roman" w:hAnsi="Times New Roman"/>
          <w:sz w:val="22"/>
          <w:szCs w:val="22"/>
          <w:b w:val="1"/>
          <w:bCs w:val="1"/>
          <w:u w:val="single" w:color="auto"/>
          <w:color w:val="auto"/>
        </w:rPr>
        <w:t>No Title</w:t>
      </w:r>
      <w:r>
        <w:rPr>
          <w:rFonts w:ascii="Times New Roman" w:cs="Times New Roman" w:eastAsia="Times New Roman" w:hAnsi="Times New Roman"/>
          <w:sz w:val="22"/>
          <w:szCs w:val="22"/>
          <w:color w:val="auto"/>
        </w:rPr>
        <w:t>. This Agreement is not an agreement of sale, and (a) no title or ownership interest in or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LLC Property is transferred to AMC, and (b) no title or ownership interest in or to any AMC Property is transferred to LLC, as a result of or pursuant to this Agreement. Further, (i) AMC acknowledges that its exercise of rights with respect to the LLC Property shall not create in AMC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AMC Property shall not create in LLC any right, title or interest in or to any AMC Property and that all exercise of rights with respect to the AMC Property and the goodwill symbolized thereby or connected therewith will inure solely to the benefit of AMC.</w:t>
      </w:r>
    </w:p>
    <w:p>
      <w:pPr>
        <w:spacing w:after="0" w:line="1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Section 14.01 </w:t>
      </w:r>
      <w:r>
        <w:rPr>
          <w:rFonts w:ascii="Times New Roman" w:cs="Times New Roman" w:eastAsia="Times New Roman" w:hAnsi="Times New Roman"/>
          <w:sz w:val="21"/>
          <w:szCs w:val="21"/>
          <w:b w:val="1"/>
          <w:bCs w:val="1"/>
          <w:u w:val="single" w:color="auto"/>
          <w:color w:val="auto"/>
        </w:rPr>
        <w:t>Confidential Treatment</w:t>
      </w:r>
      <w:r>
        <w:rPr>
          <w:rFonts w:ascii="Times New Roman" w:cs="Times New Roman" w:eastAsia="Times New Roman" w:hAnsi="Times New Roman"/>
          <w:sz w:val="21"/>
          <w:szCs w:val="21"/>
          <w:color w:val="auto"/>
        </w:rPr>
        <w:t>. During the Term, and for a period of three (3) years after the termination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right="120" w:firstLine="1506"/>
        <w:spacing w:after="0" w:line="236" w:lineRule="auto"/>
        <w:tabs>
          <w:tab w:leader="none" w:pos="195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Confidential Information</w:t>
      </w:r>
      <w:r>
        <w:rPr>
          <w:rFonts w:ascii="Times New Roman" w:cs="Times New Roman" w:eastAsia="Times New Roman" w:hAnsi="Times New Roman"/>
          <w:sz w:val="22"/>
          <w:szCs w:val="22"/>
          <w:color w:val="auto"/>
        </w:rPr>
        <w:t>.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p>
    <w:p>
      <w:pPr>
        <w:spacing w:after="0" w:line="181" w:lineRule="exact"/>
        <w:rPr>
          <w:rFonts w:ascii="Times New Roman" w:cs="Times New Roman" w:eastAsia="Times New Roman" w:hAnsi="Times New Roman"/>
          <w:sz w:val="22"/>
          <w:szCs w:val="22"/>
          <w:color w:val="auto"/>
        </w:rPr>
      </w:pPr>
    </w:p>
    <w:p>
      <w:pPr>
        <w:jc w:val="both"/>
        <w:ind w:right="120" w:firstLine="1506"/>
        <w:spacing w:after="0" w:line="236" w:lineRule="auto"/>
        <w:tabs>
          <w:tab w:leader="none" w:pos="2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LLC’s Confidential Information</w:t>
      </w:r>
      <w:r>
        <w:rPr>
          <w:rFonts w:ascii="Times New Roman" w:cs="Times New Roman" w:eastAsia="Times New Roman" w:hAnsi="Times New Roman"/>
          <w:sz w:val="22"/>
          <w:szCs w:val="22"/>
          <w:color w:val="auto"/>
        </w:rPr>
        <w:t>. AMC agrees that the Confidential Information of LLC shall only be disclosed in secrecy and confidence, and is to be maintained by AMC in secrecy and confidence subject to the terms hereof. AMC shall (i) not, directly or indirectly, use the Confidential Information of LLC, except as necessary in the ordinary course of LLC’s business, or disclose the Confidential Information of LLC to any third party and (ii) inform all of its employees to whom the Confidential Information of LLC is entrusted or exposed of the requirements of this Section and of their obligations relating thereto.</w:t>
      </w:r>
    </w:p>
    <w:p>
      <w:pPr>
        <w:spacing w:after="0" w:line="181" w:lineRule="exact"/>
        <w:rPr>
          <w:rFonts w:ascii="Times New Roman" w:cs="Times New Roman" w:eastAsia="Times New Roman" w:hAnsi="Times New Roman"/>
          <w:sz w:val="22"/>
          <w:szCs w:val="22"/>
          <w:color w:val="auto"/>
        </w:rPr>
      </w:pPr>
    </w:p>
    <w:p>
      <w:pPr>
        <w:jc w:val="both"/>
        <w:ind w:right="120" w:firstLine="1506"/>
        <w:spacing w:after="0" w:line="235" w:lineRule="auto"/>
        <w:tabs>
          <w:tab w:leader="none" w:pos="194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AMC’s Confidential Information</w:t>
      </w:r>
      <w:r>
        <w:rPr>
          <w:rFonts w:ascii="Times New Roman" w:cs="Times New Roman" w:eastAsia="Times New Roman" w:hAnsi="Times New Roman"/>
          <w:sz w:val="22"/>
          <w:szCs w:val="22"/>
          <w:color w:val="auto"/>
        </w:rPr>
        <w:t>. Confidential Information of AMC shall not be supplied by LLC or its Subsidiaries to any Person who is not an employee of LLC or National CineMedia. Notwithstanding the foregoing, AMC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AMC’s Confidential Information for the benefit of each provider of AMC’s Confidential Information in a form reasonably acceptable to AMC. AMC’s Confidential Information disclosed to LLC shall not be shared with other members of LLC without AMC’s written consent.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14.02 </w:t>
      </w:r>
      <w:r>
        <w:rPr>
          <w:rFonts w:ascii="Times New Roman" w:cs="Times New Roman" w:eastAsia="Times New Roman" w:hAnsi="Times New Roman"/>
          <w:sz w:val="22"/>
          <w:szCs w:val="22"/>
          <w:b w:val="1"/>
          <w:bCs w:val="1"/>
          <w:u w:val="single" w:color="auto"/>
          <w:color w:val="auto"/>
        </w:rPr>
        <w:t>Injunctive Relief</w:t>
      </w:r>
      <w:r>
        <w:rPr>
          <w:rFonts w:ascii="Times New Roman" w:cs="Times New Roman" w:eastAsia="Times New Roman" w:hAnsi="Times New Roman"/>
          <w:sz w:val="22"/>
          <w:szCs w:val="22"/>
          <w:color w:val="auto"/>
        </w:rPr>
        <w:t>. It is understood and agreed that each Party’s remedies at law for a breach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as well as </w:t>
      </w:r>
      <w:r>
        <w:rPr>
          <w:rFonts w:ascii="Times New Roman" w:cs="Times New Roman" w:eastAsia="Times New Roman" w:hAnsi="Times New Roman"/>
          <w:sz w:val="22"/>
          <w:szCs w:val="22"/>
          <w:u w:val="single" w:color="auto"/>
          <w:color w:val="auto"/>
        </w:rPr>
        <w:t>Section 12.07</w:t>
      </w:r>
      <w:r>
        <w:rPr>
          <w:rFonts w:ascii="Times New Roman" w:cs="Times New Roman" w:eastAsia="Times New Roman" w:hAnsi="Times New Roman"/>
          <w:sz w:val="22"/>
          <w:szCs w:val="22"/>
          <w:color w:val="auto"/>
        </w:rPr>
        <w:t xml:space="preserve">, 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color w:val="auto"/>
        </w:rPr>
        <w:t xml:space="preserve"> without the requirement of posting a bond. Nothing stated herein shall limit any other remedies provided under this Agreement or available to the Parties at law.</w:t>
      </w:r>
    </w:p>
    <w:p>
      <w:pPr>
        <w:spacing w:after="0" w:line="17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15.01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consents, and other communications between the Parties under or regarding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sent to the recipient’s address set forth in this section by hand delivery, nationally respected overnight carrier, or certified mail, return receipt requested. Such communications shall be deemed to have been received on the date actually received:</w:t>
      </w:r>
    </w:p>
    <w:p>
      <w:pPr>
        <w:sectPr>
          <w:pgSz w:w="11900" w:h="16838" w:orient="portrait"/>
          <w:cols w:equalWidth="0" w:num="1">
            <w:col w:w="11240"/>
          </w:cols>
          <w:pgMar w:left="320" w:top="1440" w:right="339" w:bottom="1440" w:gutter="0" w:footer="0" w:header="0"/>
        </w:sectPr>
      </w:pP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LLC: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CineMedia, LLC</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6300 S Syracuse Way, Suite 300</w:t>
      </w:r>
    </w:p>
    <w:p>
      <w:pPr>
        <w:ind w:left="1540"/>
        <w:spacing w:after="0" w:line="230" w:lineRule="auto"/>
        <w:rPr>
          <w:sz w:val="20"/>
          <w:szCs w:val="20"/>
          <w:color w:val="auto"/>
        </w:rPr>
      </w:pPr>
      <w:r>
        <w:rPr>
          <w:rFonts w:ascii="Times New Roman" w:cs="Times New Roman" w:eastAsia="Times New Roman" w:hAnsi="Times New Roman"/>
          <w:sz w:val="22"/>
          <w:szCs w:val="22"/>
          <w:color w:val="auto"/>
        </w:rPr>
        <w:t>Centennial, CO 80111</w:t>
      </w:r>
    </w:p>
    <w:p>
      <w:pPr>
        <w:spacing w:after="0" w:line="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Attention: Chief Executive Officer</w:t>
      </w:r>
    </w:p>
    <w:p>
      <w:pPr>
        <w:spacing w:after="0" w:line="200" w:lineRule="exact"/>
        <w:rPr>
          <w:sz w:val="20"/>
          <w:szCs w:val="20"/>
          <w:color w:val="auto"/>
        </w:rPr>
      </w:pPr>
    </w:p>
    <w:p>
      <w:pPr>
        <w:sectPr>
          <w:pgSz w:w="11900" w:h="16838" w:orient="portrait"/>
          <w:cols w:equalWidth="0" w:num="2">
            <w:col w:w="1300" w:space="400"/>
            <w:col w:w="9540"/>
          </w:cols>
          <w:pgMar w:left="320" w:top="1440" w:right="339" w:bottom="1440" w:gutter="0" w:footer="0" w:header="0"/>
          <w:type w:val="continuous"/>
        </w:sectPr>
      </w:pP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CineMedia, LLC</w:t>
      </w:r>
    </w:p>
    <w:p>
      <w:pPr>
        <w:spacing w:after="0" w:line="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6300 S Syracuse Way, Suite 300</w:t>
      </w:r>
    </w:p>
    <w:p>
      <w:pPr>
        <w:ind w:left="680"/>
        <w:spacing w:after="0" w:line="231" w:lineRule="auto"/>
        <w:rPr>
          <w:sz w:val="20"/>
          <w:szCs w:val="20"/>
          <w:color w:val="auto"/>
        </w:rPr>
      </w:pPr>
      <w:r>
        <w:rPr>
          <w:rFonts w:ascii="Times New Roman" w:cs="Times New Roman" w:eastAsia="Times New Roman" w:hAnsi="Times New Roman"/>
          <w:sz w:val="22"/>
          <w:szCs w:val="22"/>
          <w:color w:val="auto"/>
        </w:rPr>
        <w:t>Centennial, CO 80111</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ectPr>
          <w:pgSz w:w="11900" w:h="16838" w:orient="portrait"/>
          <w:cols w:equalWidth="0" w:num="2">
            <w:col w:w="2120" w:space="440"/>
            <w:col w:w="8680"/>
          </w:cols>
          <w:pgMar w:left="320" w:top="1440" w:right="339" w:bottom="1440" w:gutter="0" w:footer="0" w:header="0"/>
          <w:type w:val="continuous"/>
        </w:sectPr>
      </w:pP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AMC: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American Multi-Cinema, Inc.</w:t>
      </w:r>
    </w:p>
    <w:p>
      <w:pPr>
        <w:spacing w:after="0" w:line="16" w:lineRule="exact"/>
        <w:rPr>
          <w:sz w:val="20"/>
          <w:szCs w:val="20"/>
          <w:color w:val="auto"/>
        </w:rPr>
      </w:pPr>
    </w:p>
    <w:p>
      <w:pPr>
        <w:sectPr>
          <w:pgSz w:w="11900" w:h="16838" w:orient="portrait"/>
          <w:cols w:equalWidth="0" w:num="2">
            <w:col w:w="1380" w:space="320"/>
            <w:col w:w="9540"/>
          </w:cols>
          <w:pgMar w:left="320" w:top="1440" w:right="339" w:bottom="1440" w:gutter="0" w:footer="0" w:header="0"/>
          <w:type w:val="continuous"/>
        </w:sectPr>
      </w:pPr>
    </w:p>
    <w:p>
      <w:pPr>
        <w:ind w:left="3240"/>
        <w:spacing w:after="0"/>
        <w:rPr>
          <w:sz w:val="20"/>
          <w:szCs w:val="20"/>
          <w:color w:val="auto"/>
        </w:rPr>
      </w:pPr>
      <w:r>
        <w:rPr>
          <w:rFonts w:ascii="Times New Roman" w:cs="Times New Roman" w:eastAsia="Times New Roman" w:hAnsi="Times New Roman"/>
          <w:sz w:val="22"/>
          <w:szCs w:val="22"/>
          <w:color w:val="auto"/>
        </w:rPr>
        <w:t>c/o AMC Entertainment Inc. 11500 Ash Street</w:t>
      </w:r>
    </w:p>
    <w:p>
      <w:pPr>
        <w:ind w:left="3240"/>
        <w:spacing w:after="0" w:line="230" w:lineRule="auto"/>
        <w:rPr>
          <w:sz w:val="20"/>
          <w:szCs w:val="20"/>
          <w:color w:val="auto"/>
        </w:rPr>
      </w:pPr>
      <w:r>
        <w:rPr>
          <w:rFonts w:ascii="Times New Roman" w:cs="Times New Roman" w:eastAsia="Times New Roman" w:hAnsi="Times New Roman"/>
          <w:sz w:val="22"/>
          <w:szCs w:val="22"/>
          <w:color w:val="auto"/>
        </w:rPr>
        <w:t>Leawood, KS 66211</w:t>
      </w:r>
    </w:p>
    <w:p>
      <w:pPr>
        <w:ind w:left="3240"/>
        <w:spacing w:after="0" w:line="231" w:lineRule="auto"/>
        <w:rPr>
          <w:sz w:val="20"/>
          <w:szCs w:val="20"/>
          <w:color w:val="auto"/>
        </w:rPr>
      </w:pPr>
      <w:r>
        <w:rPr>
          <w:rFonts w:ascii="Times New Roman" w:cs="Times New Roman" w:eastAsia="Times New Roman" w:hAnsi="Times New Roman"/>
          <w:sz w:val="22"/>
          <w:szCs w:val="22"/>
          <w:color w:val="auto"/>
        </w:rPr>
        <w:t>Fax: 913-213-2058</w:t>
      </w:r>
    </w:p>
    <w:p>
      <w:pPr>
        <w:ind w:left="324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 w:right="120"/>
        <w:spacing w:after="0" w:line="244" w:lineRule="auto"/>
        <w:rPr>
          <w:sz w:val="20"/>
          <w:szCs w:val="20"/>
          <w:color w:val="auto"/>
        </w:rPr>
      </w:pPr>
      <w:r>
        <w:rPr>
          <w:rFonts w:ascii="Times New Roman" w:cs="Times New Roman" w:eastAsia="Times New Roman" w:hAnsi="Times New Roman"/>
          <w:sz w:val="22"/>
          <w:szCs w:val="22"/>
          <w:color w:val="auto"/>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15.02 </w:t>
      </w:r>
      <w:r>
        <w:rPr>
          <w:rFonts w:ascii="Times New Roman" w:cs="Times New Roman" w:eastAsia="Times New Roman" w:hAnsi="Times New Roman"/>
          <w:sz w:val="22"/>
          <w:szCs w:val="22"/>
          <w:b w:val="1"/>
          <w:bCs w:val="1"/>
          <w:u w:val="single" w:color="auto"/>
          <w:color w:val="auto"/>
        </w:rPr>
        <w:t>Waiver; Remedies</w:t>
      </w:r>
      <w:r>
        <w:rPr>
          <w:rFonts w:ascii="Times New Roman" w:cs="Times New Roman" w:eastAsia="Times New Roman" w:hAnsi="Times New Roman"/>
          <w:sz w:val="22"/>
          <w:szCs w:val="22"/>
          <w:color w:val="auto"/>
        </w:rPr>
        <w:t>. The waiver or failure of either Party to exercise in any respect any right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shall not be deemed a waiver of such right in the future 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9" w:name="page90"/>
    <w:bookmarkEnd w:id="89"/>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15.03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Should any term or provision of this Agreement be held to any extent unenforceable,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invalid, or prohibited under law, then 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Section 15.04 </w:t>
      </w:r>
      <w:r>
        <w:rPr>
          <w:rFonts w:ascii="Times New Roman" w:cs="Times New Roman" w:eastAsia="Times New Roman" w:hAnsi="Times New Roman"/>
          <w:sz w:val="21"/>
          <w:szCs w:val="21"/>
          <w:b w:val="1"/>
          <w:bCs w:val="1"/>
          <w:u w:val="single" w:color="auto"/>
          <w:color w:val="auto"/>
        </w:rPr>
        <w:t>Integration; Headings</w:t>
      </w:r>
      <w:r>
        <w:rPr>
          <w:rFonts w:ascii="Times New Roman" w:cs="Times New Roman" w:eastAsia="Times New Roman" w:hAnsi="Times New Roman"/>
          <w:sz w:val="21"/>
          <w:szCs w:val="21"/>
          <w:color w:val="auto"/>
        </w:rPr>
        <w:t>. This Agreement and the exhibits hereto, amends and replaces the Original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and, as of the Execution Date, the Original Agreement (other than the Original Payment Structure and subject to the provisions of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which will remain in place until the Effective Date) shall be of no further force or effect, except as specified in </w:t>
      </w:r>
      <w:r>
        <w:rPr>
          <w:rFonts w:ascii="Times New Roman" w:cs="Times New Roman" w:eastAsia="Times New Roman" w:hAnsi="Times New Roman"/>
          <w:sz w:val="21"/>
          <w:szCs w:val="21"/>
          <w:u w:val="single" w:color="auto"/>
          <w:color w:val="auto"/>
        </w:rPr>
        <w:t>Section 15.14</w:t>
      </w:r>
      <w:r>
        <w:rPr>
          <w:rFonts w:ascii="Times New Roman" w:cs="Times New Roman" w:eastAsia="Times New Roman" w:hAnsi="Times New Roman"/>
          <w:sz w:val="21"/>
          <w:szCs w:val="21"/>
          <w:color w:val="auto"/>
        </w:rPr>
        <w:t>, and following the Effective Date, the Original Agreement shall be of no further force or effect. The Agreement, the Settlement and Release Agreement, and the Joint Venture Termination Agreement constitutes the complete and exclusive statement of the agreement between the Parties with respect to the subject matter of the Original Agreement, and supersedes any and all other prior or contemporaneous oral or written communications, proposals, representations, and agreements, express or implied. This Agreement may be amended only by mutual agreement expressed in writing and signed by both Parties. Headings used in this Agreement are for reference only and shall not affect the interpretation of this Agreement.</w:t>
      </w:r>
    </w:p>
    <w:p>
      <w:pPr>
        <w:spacing w:after="0" w:line="1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15.05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The Parties hereto have participated jointly in the negotiation and drafting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15.06 </w:t>
      </w:r>
      <w:r>
        <w:rPr>
          <w:rFonts w:ascii="Times New Roman" w:cs="Times New Roman" w:eastAsia="Times New Roman" w:hAnsi="Times New Roman"/>
          <w:sz w:val="22"/>
          <w:szCs w:val="22"/>
          <w:b w:val="1"/>
          <w:bCs w:val="1"/>
          <w:u w:val="single" w:color="auto"/>
          <w:color w:val="auto"/>
        </w:rPr>
        <w:t>Non-Recourse</w:t>
      </w:r>
      <w:r>
        <w:rPr>
          <w:rFonts w:ascii="Times New Roman" w:cs="Times New Roman" w:eastAsia="Times New Roman" w:hAnsi="Times New Roman"/>
          <w:sz w:val="22"/>
          <w:szCs w:val="22"/>
          <w:color w:val="auto"/>
        </w:rPr>
        <w:t>. Notwithstanding anything contained in this Agreement to the contrary, it is expressly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understood and agreed by the Parties hereto that each and every representation, warranty, covenant, undertaking and agreement made in this Agreement was not made or intended to be made as a personal representation, undertaking, warranty, covenant, or 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15.07 </w:t>
      </w:r>
      <w:r>
        <w:rPr>
          <w:rFonts w:ascii="Times New Roman" w:cs="Times New Roman" w:eastAsia="Times New Roman" w:hAnsi="Times New Roman"/>
          <w:sz w:val="22"/>
          <w:szCs w:val="22"/>
          <w:b w:val="1"/>
          <w:bCs w:val="1"/>
          <w:u w:val="single" w:color="auto"/>
          <w:color w:val="auto"/>
        </w:rPr>
        <w:t>Governing Law; Submission to Jurisdiction</w:t>
      </w:r>
      <w:r>
        <w:rPr>
          <w:rFonts w:ascii="Times New Roman" w:cs="Times New Roman" w:eastAsia="Times New Roman" w:hAnsi="Times New Roman"/>
          <w:sz w:val="22"/>
          <w:szCs w:val="22"/>
          <w:color w:val="auto"/>
        </w:rPr>
        <w:t>. Subject to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14.02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that the United Nations Convention on Contracts for the International Sale of Goods shall not apply to this Agreement and is hereby disclaimed by the Parties: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5" w:lineRule="exact"/>
        <w:rPr>
          <w:sz w:val="20"/>
          <w:szCs w:val="20"/>
          <w:color w:val="auto"/>
        </w:rPr>
      </w:pPr>
    </w:p>
    <w:p>
      <w:pPr>
        <w:jc w:val="both"/>
        <w:ind w:firstLine="1506"/>
        <w:spacing w:after="0" w:line="244" w:lineRule="auto"/>
        <w:tabs>
          <w:tab w:leader="none" w:pos="193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173" w:lineRule="exact"/>
        <w:rPr>
          <w:rFonts w:ascii="Times New Roman" w:cs="Times New Roman" w:eastAsia="Times New Roman" w:hAnsi="Times New Roman"/>
          <w:sz w:val="22"/>
          <w:szCs w:val="22"/>
          <w:color w:val="auto"/>
        </w:rPr>
      </w:pPr>
    </w:p>
    <w:p>
      <w:pPr>
        <w:jc w:val="both"/>
        <w:ind w:firstLine="1506"/>
        <w:spacing w:after="0" w:line="261" w:lineRule="auto"/>
        <w:tabs>
          <w:tab w:leader="none" w:pos="195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Jurisdiction</w:t>
      </w:r>
      <w:r>
        <w:rPr>
          <w:rFonts w:ascii="Times New Roman" w:cs="Times New Roman" w:eastAsia="Times New Roman" w:hAnsi="Times New Roman"/>
          <w:sz w:val="21"/>
          <w:szCs w:val="21"/>
          <w:color w:val="auto"/>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spacing w:after="0" w:line="157" w:lineRule="exact"/>
        <w:rPr>
          <w:rFonts w:ascii="Times New Roman" w:cs="Times New Roman" w:eastAsia="Times New Roman" w:hAnsi="Times New Roman"/>
          <w:sz w:val="21"/>
          <w:szCs w:val="21"/>
          <w:color w:val="auto"/>
        </w:rPr>
      </w:pPr>
    </w:p>
    <w:p>
      <w:pPr>
        <w:jc w:val="both"/>
        <w:ind w:firstLine="2254"/>
        <w:spacing w:after="0" w:line="244" w:lineRule="auto"/>
        <w:tabs>
          <w:tab w:leader="none" w:pos="26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6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consents to service of process in any such proceeding in any manner permitted by the laws of the State of New York, and agrees that service of process by registered or certified mail, return receipt requested, at its address specified pursuant to </w:t>
      </w:r>
      <w:r>
        <w:rPr>
          <w:rFonts w:ascii="Times New Roman" w:cs="Times New Roman" w:eastAsia="Times New Roman" w:hAnsi="Times New Roman"/>
          <w:sz w:val="22"/>
          <w:szCs w:val="22"/>
          <w:u w:val="single" w:color="auto"/>
          <w:color w:val="auto"/>
        </w:rPr>
        <w:t>Section 15.01</w:t>
      </w:r>
      <w:r>
        <w:rPr>
          <w:rFonts w:ascii="Times New Roman" w:cs="Times New Roman" w:eastAsia="Times New Roman" w:hAnsi="Times New Roman"/>
          <w:sz w:val="22"/>
          <w:szCs w:val="22"/>
          <w:color w:val="auto"/>
        </w:rPr>
        <w:t xml:space="preserve"> is reasonably calculated to give actual notice;</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agrees that each state and federal court located in New York, New York shall be deemed to be a</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convenient forum;</w:t>
      </w:r>
    </w:p>
    <w:p>
      <w:pPr>
        <w:spacing w:after="0" w:line="182" w:lineRule="exact"/>
        <w:rPr>
          <w:rFonts w:ascii="Times New Roman" w:cs="Times New Roman" w:eastAsia="Times New Roman" w:hAnsi="Times New Roman"/>
          <w:sz w:val="21"/>
          <w:szCs w:val="21"/>
          <w:color w:val="auto"/>
        </w:rPr>
      </w:pPr>
    </w:p>
    <w:p>
      <w:pPr>
        <w:jc w:val="both"/>
        <w:ind w:firstLine="2254"/>
        <w:spacing w:after="0" w:line="238" w:lineRule="auto"/>
        <w:tabs>
          <w:tab w:leader="none" w:pos="26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176" w:lineRule="exact"/>
        <w:rPr>
          <w:rFonts w:ascii="Times New Roman" w:cs="Times New Roman" w:eastAsia="Times New Roman" w:hAnsi="Times New Roman"/>
          <w:sz w:val="22"/>
          <w:szCs w:val="22"/>
          <w:color w:val="auto"/>
        </w:rPr>
      </w:pPr>
    </w:p>
    <w:p>
      <w:pPr>
        <w:jc w:val="both"/>
        <w:ind w:firstLine="2254"/>
        <w:spacing w:after="0" w:line="238" w:lineRule="auto"/>
        <w:tabs>
          <w:tab w:leader="none" w:pos="267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spacing w:after="0" w:line="176" w:lineRule="exact"/>
        <w:rPr>
          <w:rFonts w:ascii="Times New Roman" w:cs="Times New Roman" w:eastAsia="Times New Roman" w:hAnsi="Times New Roman"/>
          <w:sz w:val="22"/>
          <w:szCs w:val="22"/>
          <w:color w:val="auto"/>
        </w:rPr>
      </w:pPr>
    </w:p>
    <w:p>
      <w:pPr>
        <w:jc w:val="both"/>
        <w:ind w:firstLine="1506"/>
        <w:spacing w:after="0" w:line="238" w:lineRule="auto"/>
        <w:tabs>
          <w:tab w:leader="none" w:pos="19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Jury Trial</w:t>
      </w:r>
      <w:r>
        <w:rPr>
          <w:rFonts w:ascii="Times New Roman" w:cs="Times New Roman" w:eastAsia="Times New Roman" w:hAnsi="Times New Roman"/>
          <w:sz w:val="22"/>
          <w:szCs w:val="22"/>
          <w:color w:val="auto"/>
        </w:rPr>
        <w:t xml:space="preserve">. Each Party irrevocably and unconditionally waives any right it may have to a trial by jury in respect of any dispute arising out of or relating to this Agreement. Each Party acknowledges and agrees that (a) such Party has considered the implications of this waiver, (b) such Party makes this waiver knowingly and voluntarily, after consulting or having had the opportunity to consult with counsel of their choice, and (c)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15.07</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6"/>
        <w:spacing w:after="0" w:line="244" w:lineRule="auto"/>
        <w:tabs>
          <w:tab w:leader="none" w:pos="195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91" w:name="page92"/>
    <w:bookmarkEnd w:id="91"/>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prevailing party, including any costs and expenses incurred in connection with any challenge to the jurisdiction or the convenience or propriety of venue of proceedings before any state or federal court located in New York, New York.</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Section 15.08 </w:t>
      </w: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Neither Party may assign or transfer, by operation of law or otherwise, any of its rights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under this Agreement 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AMC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Times New Roman" w:cs="Times New Roman" w:eastAsia="Times New Roman" w:hAnsi="Times New Roman"/>
          <w:sz w:val="21"/>
          <w:szCs w:val="21"/>
          <w:b w:val="1"/>
          <w:bCs w:val="1"/>
          <w:color w:val="auto"/>
        </w:rPr>
        <w:t>Assignment and Assumption</w:t>
      </w:r>
      <w:r>
        <w:rPr>
          <w:rFonts w:ascii="Times New Roman" w:cs="Times New Roman" w:eastAsia="Times New Roman" w:hAnsi="Times New Roman"/>
          <w:sz w:val="21"/>
          <w:szCs w:val="21"/>
          <w:color w:val="auto"/>
        </w:rPr>
        <w:t>”)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AMC shall be (i) conditioned upon (A) the transferee entering into an Assignment and Assumption,</w:t>
      </w:r>
    </w:p>
    <w:p>
      <w:pPr>
        <w:jc w:val="both"/>
        <w:ind w:firstLine="8"/>
        <w:spacing w:after="0" w:line="235" w:lineRule="auto"/>
        <w:tabs>
          <w:tab w:leader="none" w:pos="36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AMC agreeing in writing to remain bound by the obligations under this Agreement, and (ii) effective only so long as the Affiliate remains an Affiliate of transferee, and must be made for a bona fide business purpose. Any attempted assignment in violation of this section shall be void.</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15.09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Any delay in the performance of any duties or obligations of either Party (except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money owed) will not be considered a breach of this Agreement if such delay is caused by a pandemic, epidemic, disease outbreak, labor dispute, shortage of materials, fire, 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15.10 </w:t>
      </w:r>
      <w:r>
        <w:rPr>
          <w:rFonts w:ascii="Times New Roman" w:cs="Times New Roman" w:eastAsia="Times New Roman" w:hAnsi="Times New Roman"/>
          <w:sz w:val="22"/>
          <w:szCs w:val="22"/>
          <w:b w:val="1"/>
          <w:bCs w:val="1"/>
          <w:u w:val="single" w:color="auto"/>
          <w:color w:val="auto"/>
        </w:rPr>
        <w:t>Third Party Beneficiary</w:t>
      </w:r>
      <w:r>
        <w:rPr>
          <w:rFonts w:ascii="Times New Roman" w:cs="Times New Roman" w:eastAsia="Times New Roman" w:hAnsi="Times New Roman"/>
          <w:sz w:val="22"/>
          <w:szCs w:val="22"/>
          <w:color w:val="auto"/>
        </w:rPr>
        <w:t>. The Parties hereto do not intend, nor shall any clause be interpreted, to create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any obligations or benefits to, or rights in, any third party from either LLC or AMC.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Section 15.11 </w:t>
      </w:r>
      <w:r>
        <w:rPr>
          <w:rFonts w:ascii="Times New Roman" w:cs="Times New Roman" w:eastAsia="Times New Roman" w:hAnsi="Times New Roman"/>
          <w:sz w:val="22"/>
          <w:szCs w:val="22"/>
          <w:b w:val="1"/>
          <w:bCs w:val="1"/>
          <w:u w:val="single" w:color="auto"/>
          <w:color w:val="auto"/>
        </w:rPr>
        <w:t>Export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120" w:firstLine="1506"/>
        <w:spacing w:after="0" w:line="251" w:lineRule="auto"/>
        <w:tabs>
          <w:tab w:leader="none" w:pos="193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LLC’s Software and Confidential Information</w:t>
      </w:r>
      <w:r>
        <w:rPr>
          <w:rFonts w:ascii="Times New Roman" w:cs="Times New Roman" w:eastAsia="Times New Roman" w:hAnsi="Times New Roman"/>
          <w:sz w:val="21"/>
          <w:szCs w:val="21"/>
          <w:color w:val="auto"/>
        </w:rPr>
        <w:t>. AMC acknowledges and agrees: (i) that the Software and the Confidential Information of LLC are subject to the export controls of the United States, and (ii) that AMC has no right to, and further agrees that it will not, export or otherwise transfer or permit the transfer of any Software or Confidential Information of LLC outside the Territory. AMC will defend, indemnify, and hold harmless LLC from and against all fines, penalties, liabilities, damages, costs, and expenses incurred by LLC as a result of any failure to comply with the preceding sentence.</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85" w:lineRule="exact"/>
        <w:rPr>
          <w:sz w:val="20"/>
          <w:szCs w:val="20"/>
          <w:color w:val="auto"/>
        </w:rPr>
      </w:pPr>
    </w:p>
    <w:p>
      <w:pPr>
        <w:jc w:val="both"/>
        <w:ind w:right="120" w:firstLine="1506"/>
        <w:spacing w:after="0" w:line="238" w:lineRule="auto"/>
        <w:tabs>
          <w:tab w:leader="none" w:pos="193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AMC’s Confidential Information</w:t>
      </w:r>
      <w:r>
        <w:rPr>
          <w:rFonts w:ascii="Times New Roman" w:cs="Times New Roman" w:eastAsia="Times New Roman" w:hAnsi="Times New Roman"/>
          <w:sz w:val="22"/>
          <w:szCs w:val="22"/>
          <w:color w:val="auto"/>
        </w:rPr>
        <w:t>. LLC acknowledges and agrees: (i) that the Confidential Information of AMC is subject to the export controls of the United States, and(ii) that LLC has no right to, and further agrees that it will not, export or otherwise transfer or permit the transfer of any Confidential Information of AMC outside the Territory. LLC will defend, indemnify, and hold harmless AMC from and against all fines, penalties, liabilities, damages, costs, and expenses incurred by AMC as a result of any failure to comply with the preceding sentence.</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15.12 </w:t>
      </w:r>
      <w:r>
        <w:rPr>
          <w:rFonts w:ascii="Times New Roman" w:cs="Times New Roman" w:eastAsia="Times New Roman" w:hAnsi="Times New Roman"/>
          <w:sz w:val="22"/>
          <w:szCs w:val="22"/>
          <w:b w:val="1"/>
          <w:bCs w:val="1"/>
          <w:u w:val="single" w:color="auto"/>
          <w:color w:val="auto"/>
        </w:rPr>
        <w:t>Independent Contractors</w:t>
      </w:r>
      <w:r>
        <w:rPr>
          <w:rFonts w:ascii="Times New Roman" w:cs="Times New Roman" w:eastAsia="Times New Roman" w:hAnsi="Times New Roman"/>
          <w:sz w:val="22"/>
          <w:szCs w:val="22"/>
          <w:color w:val="auto"/>
        </w:rPr>
        <w:t>. The Parties’ relationship to each other is that of an independent contractor,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neither Party is an agent or partner of the other. Neither Party will represent to any third party that it has, any authority to act on behalf of the other.</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15.13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separate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executed and delivered to the other Party hereto shall be an original as against the Party whose signature appears thereon, but all such counterparts shall together constitute one and the same instrument.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Section 15.14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This Agreement will be effective on the Execution Date except for the revisions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fees payable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Prior to the Effective Date,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of the Original Agreement and its related schedules will remain effective (the “</w:t>
      </w:r>
      <w:r>
        <w:rPr>
          <w:rFonts w:ascii="Times New Roman" w:cs="Times New Roman" w:eastAsia="Times New Roman" w:hAnsi="Times New Roman"/>
          <w:sz w:val="22"/>
          <w:szCs w:val="22"/>
          <w:b w:val="1"/>
          <w:bCs w:val="1"/>
          <w:color w:val="auto"/>
        </w:rPr>
        <w:t>Original Payment Structure</w:t>
      </w:r>
      <w:r>
        <w:rPr>
          <w:rFonts w:ascii="Times New Roman" w:cs="Times New Roman" w:eastAsia="Times New Roman" w:hAnsi="Times New Roman"/>
          <w:sz w:val="22"/>
          <w:szCs w:val="22"/>
          <w:color w:val="auto"/>
        </w:rPr>
        <w:t xml:space="preserve">”), and beginning on the Effective Date, LLC will begin to make the payments specified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of this Agreement.</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15.15 </w:t>
      </w:r>
      <w:r>
        <w:rPr>
          <w:rFonts w:ascii="Times New Roman" w:cs="Times New Roman" w:eastAsia="Times New Roman" w:hAnsi="Times New Roman"/>
          <w:sz w:val="22"/>
          <w:szCs w:val="22"/>
          <w:b w:val="1"/>
          <w:bCs w:val="1"/>
          <w:u w:val="single" w:color="auto"/>
          <w:color w:val="auto"/>
        </w:rPr>
        <w:t>Amendment and Restatement</w:t>
      </w:r>
      <w:r>
        <w:rPr>
          <w:rFonts w:ascii="Times New Roman" w:cs="Times New Roman" w:eastAsia="Times New Roman" w:hAnsi="Times New Roman"/>
          <w:sz w:val="22"/>
          <w:szCs w:val="22"/>
          <w:color w:val="auto"/>
        </w:rPr>
        <w:t>. The Original Agreement is hereby amended and restated in its entirety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read as set forth herein. Such amendment and restatement is effective upon the Execution Date, upon and after which such date all provisions of, rights granted and covenants made in the Original Agreement are hereby replaced and superseded in their entirety; provided that this amendment and restatement will not impact the rights specified in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in the event of an AMC Optional Termination Right or LLC Optional Termination Right.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Signature Page to Follow</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080808"/>
        </w:rPr>
        <w:t>IN WITNESS WHEREOF,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080808"/>
        </w:rPr>
        <w:t>American Multi-Cinema, Inc.</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080808"/>
        </w:rPr>
        <w:t>By: /s/ Sean D.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6100" w:type="dxa"/>
            <w:vAlign w:val="bottom"/>
            <w:gridSpan w:val="2"/>
          </w:tcPr>
          <w:p>
            <w:pPr>
              <w:ind w:left="5240"/>
              <w:spacing w:after="0" w:line="233" w:lineRule="exact"/>
              <w:rPr>
                <w:sz w:val="20"/>
                <w:szCs w:val="20"/>
                <w:color w:val="auto"/>
              </w:rPr>
            </w:pPr>
            <w:r>
              <w:rPr>
                <w:rFonts w:ascii="Times New Roman" w:cs="Times New Roman" w:eastAsia="Times New Roman" w:hAnsi="Times New Roman"/>
                <w:sz w:val="22"/>
                <w:szCs w:val="22"/>
                <w:color w:val="080808"/>
              </w:rPr>
              <w:t>Name:</w:t>
            </w:r>
          </w:p>
        </w:tc>
        <w:tc>
          <w:tcPr>
            <w:tcW w:w="51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22"/>
                <w:szCs w:val="22"/>
                <w:color w:val="080808"/>
              </w:rPr>
              <w:t>Sean D. Goodman</w:t>
            </w: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Muvico, LLC</w:t>
            </w:r>
          </w:p>
        </w:tc>
        <w:tc>
          <w:tcPr>
            <w:tcW w:w="0" w:type="dxa"/>
            <w:vAlign w:val="bottom"/>
          </w:tcPr>
          <w:p>
            <w:pPr>
              <w:spacing w:after="0"/>
              <w:rPr>
                <w:sz w:val="1"/>
                <w:szCs w:val="1"/>
                <w:color w:val="auto"/>
              </w:rPr>
            </w:pPr>
          </w:p>
        </w:tc>
      </w:tr>
      <w:tr>
        <w:trPr>
          <w:trHeight w:val="677"/>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AMC Entertainment Holdings, Inc.</w:t>
            </w:r>
          </w:p>
        </w:tc>
        <w:tc>
          <w:tcPr>
            <w:tcW w:w="0" w:type="dxa"/>
            <w:vAlign w:val="bottom"/>
          </w:tcPr>
          <w:p>
            <w:pPr>
              <w:spacing w:after="0"/>
              <w:rPr>
                <w:sz w:val="1"/>
                <w:szCs w:val="1"/>
                <w:color w:val="auto"/>
              </w:rPr>
            </w:pPr>
          </w:p>
        </w:tc>
      </w:tr>
      <w:tr>
        <w:trPr>
          <w:trHeight w:val="677"/>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AMC ITD, LLC</w:t>
            </w:r>
          </w:p>
        </w:tc>
        <w:tc>
          <w:tcPr>
            <w:tcW w:w="0" w:type="dxa"/>
            <w:vAlign w:val="bottom"/>
          </w:tcPr>
          <w:p>
            <w:pPr>
              <w:spacing w:after="0"/>
              <w:rPr>
                <w:sz w:val="1"/>
                <w:szCs w:val="1"/>
                <w:color w:val="auto"/>
              </w:rPr>
            </w:pPr>
          </w:p>
        </w:tc>
      </w:tr>
      <w:tr>
        <w:trPr>
          <w:trHeight w:val="676"/>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1"/>
        </w:trPr>
        <w:tc>
          <w:tcPr>
            <w:tcW w:w="5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ind w:left="5240"/>
        <w:spacing w:after="0"/>
        <w:rPr>
          <w:sz w:val="20"/>
          <w:szCs w:val="20"/>
          <w:color w:val="auto"/>
        </w:rPr>
      </w:pPr>
      <w:r>
        <w:rPr>
          <w:rFonts w:ascii="Times New Roman" w:cs="Times New Roman" w:eastAsia="Times New Roman" w:hAnsi="Times New Roman"/>
          <w:sz w:val="22"/>
          <w:szCs w:val="22"/>
          <w:b w:val="1"/>
          <w:bCs w:val="1"/>
          <w:color w:val="080808"/>
        </w:rPr>
        <w:t>AMC of Maryland, LLC</w:t>
      </w: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080808"/>
        </w:rPr>
        <w:t>By: /s/ Sean D.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6100" w:type="dxa"/>
            <w:vAlign w:val="bottom"/>
            <w:gridSpan w:val="2"/>
          </w:tcPr>
          <w:p>
            <w:pPr>
              <w:ind w:left="5240"/>
              <w:spacing w:after="0" w:line="233" w:lineRule="exact"/>
              <w:rPr>
                <w:sz w:val="20"/>
                <w:szCs w:val="20"/>
                <w:color w:val="auto"/>
              </w:rPr>
            </w:pPr>
            <w:r>
              <w:rPr>
                <w:rFonts w:ascii="Times New Roman" w:cs="Times New Roman" w:eastAsia="Times New Roman" w:hAnsi="Times New Roman"/>
                <w:sz w:val="22"/>
                <w:szCs w:val="22"/>
                <w:color w:val="080808"/>
              </w:rPr>
              <w:t>Name:</w:t>
            </w:r>
          </w:p>
        </w:tc>
        <w:tc>
          <w:tcPr>
            <w:tcW w:w="51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22"/>
                <w:szCs w:val="22"/>
                <w:color w:val="080808"/>
              </w:rPr>
              <w:t>Sean D. Goodman</w:t>
            </w: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AMC of Maryland II, LLC</w:t>
            </w:r>
          </w:p>
        </w:tc>
        <w:tc>
          <w:tcPr>
            <w:tcW w:w="0" w:type="dxa"/>
            <w:vAlign w:val="bottom"/>
          </w:tcPr>
          <w:p>
            <w:pPr>
              <w:spacing w:after="0"/>
              <w:rPr>
                <w:sz w:val="1"/>
                <w:szCs w:val="1"/>
                <w:color w:val="auto"/>
              </w:rPr>
            </w:pPr>
          </w:p>
        </w:tc>
      </w:tr>
      <w:tr>
        <w:trPr>
          <w:trHeight w:val="677"/>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Centertainment Development, LLC</w:t>
            </w:r>
          </w:p>
        </w:tc>
        <w:tc>
          <w:tcPr>
            <w:tcW w:w="0" w:type="dxa"/>
            <w:vAlign w:val="bottom"/>
          </w:tcPr>
          <w:p>
            <w:pPr>
              <w:spacing w:after="0"/>
              <w:rPr>
                <w:sz w:val="1"/>
                <w:szCs w:val="1"/>
                <w:color w:val="auto"/>
              </w:rPr>
            </w:pPr>
          </w:p>
        </w:tc>
      </w:tr>
      <w:tr>
        <w:trPr>
          <w:trHeight w:val="677"/>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AMC License Services, LLC</w:t>
            </w:r>
          </w:p>
        </w:tc>
        <w:tc>
          <w:tcPr>
            <w:tcW w:w="0" w:type="dxa"/>
            <w:vAlign w:val="bottom"/>
          </w:tcPr>
          <w:p>
            <w:pPr>
              <w:spacing w:after="0"/>
              <w:rPr>
                <w:sz w:val="1"/>
                <w:szCs w:val="1"/>
                <w:color w:val="auto"/>
              </w:rPr>
            </w:pPr>
          </w:p>
        </w:tc>
      </w:tr>
      <w:tr>
        <w:trPr>
          <w:trHeight w:val="676"/>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b w:val="1"/>
                <w:bCs w:val="1"/>
                <w:color w:val="080808"/>
              </w:rPr>
              <w:t>AMC Concessionaire Services of Florida, LLC</w:t>
            </w:r>
          </w:p>
        </w:tc>
        <w:tc>
          <w:tcPr>
            <w:tcW w:w="0" w:type="dxa"/>
            <w:vAlign w:val="bottom"/>
          </w:tcPr>
          <w:p>
            <w:pPr>
              <w:spacing w:after="0"/>
              <w:rPr>
                <w:sz w:val="1"/>
                <w:szCs w:val="1"/>
                <w:color w:val="auto"/>
              </w:rPr>
            </w:pPr>
          </w:p>
        </w:tc>
      </w:tr>
      <w:tr>
        <w:trPr>
          <w:trHeight w:val="677"/>
        </w:trPr>
        <w:tc>
          <w:tcPr>
            <w:tcW w:w="11240" w:type="dxa"/>
            <w:vAlign w:val="bottom"/>
            <w:gridSpan w:val="4"/>
          </w:tcPr>
          <w:p>
            <w:pPr>
              <w:ind w:left="5240"/>
              <w:spacing w:after="0"/>
              <w:rPr>
                <w:sz w:val="20"/>
                <w:szCs w:val="20"/>
                <w:color w:val="auto"/>
              </w:rPr>
            </w:pPr>
            <w:r>
              <w:rPr>
                <w:rFonts w:ascii="Times New Roman" w:cs="Times New Roman" w:eastAsia="Times New Roman" w:hAnsi="Times New Roman"/>
                <w:sz w:val="22"/>
                <w:szCs w:val="22"/>
                <w:color w:val="080808"/>
              </w:rPr>
              <w:t>By: /s/ Sean D. Goodman</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80" w:type="dxa"/>
            <w:vAlign w:val="bottom"/>
            <w:shd w:val="clear" w:color="auto" w:fill="080808"/>
          </w:tcPr>
          <w:p>
            <w:pPr>
              <w:spacing w:after="0" w:line="20" w:lineRule="exact"/>
              <w:rPr>
                <w:sz w:val="1"/>
                <w:szCs w:val="1"/>
                <w:color w:val="auto"/>
              </w:rPr>
            </w:pPr>
          </w:p>
        </w:tc>
        <w:tc>
          <w:tcPr>
            <w:tcW w:w="2180" w:type="dxa"/>
            <w:vAlign w:val="bottom"/>
            <w:shd w:val="clear" w:color="auto" w:fill="080808"/>
          </w:tcPr>
          <w:p>
            <w:pPr>
              <w:spacing w:after="0" w:line="20" w:lineRule="exact"/>
              <w:rPr>
                <w:sz w:val="1"/>
                <w:szCs w:val="1"/>
                <w:color w:val="auto"/>
              </w:rPr>
            </w:pPr>
          </w:p>
        </w:tc>
        <w:tc>
          <w:tcPr>
            <w:tcW w:w="2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00" w:type="dxa"/>
            <w:vAlign w:val="bottom"/>
            <w:gridSpan w:val="2"/>
          </w:tcPr>
          <w:p>
            <w:pPr>
              <w:ind w:left="5240"/>
              <w:spacing w:after="0" w:line="236" w:lineRule="exact"/>
              <w:rPr>
                <w:sz w:val="20"/>
                <w:szCs w:val="20"/>
                <w:color w:val="auto"/>
              </w:rPr>
            </w:pPr>
            <w:r>
              <w:rPr>
                <w:rFonts w:ascii="Times New Roman" w:cs="Times New Roman" w:eastAsia="Times New Roman" w:hAnsi="Times New Roman"/>
                <w:sz w:val="22"/>
                <w:szCs w:val="22"/>
                <w:color w:val="080808"/>
              </w:rPr>
              <w:t>Name:</w:t>
            </w:r>
          </w:p>
        </w:tc>
        <w:tc>
          <w:tcPr>
            <w:tcW w:w="2180" w:type="dxa"/>
            <w:vAlign w:val="bottom"/>
          </w:tcPr>
          <w:p>
            <w:pPr>
              <w:ind w:left="20"/>
              <w:spacing w:after="0" w:line="236" w:lineRule="exact"/>
              <w:rPr>
                <w:sz w:val="20"/>
                <w:szCs w:val="20"/>
                <w:color w:val="auto"/>
              </w:rPr>
            </w:pPr>
            <w:r>
              <w:rPr>
                <w:rFonts w:ascii="Times New Roman" w:cs="Times New Roman" w:eastAsia="Times New Roman" w:hAnsi="Times New Roman"/>
                <w:sz w:val="22"/>
                <w:szCs w:val="22"/>
                <w:color w:val="080808"/>
              </w:rPr>
              <w:t>Sean D. Goodman</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ind w:left="5240"/>
              <w:spacing w:after="0" w:line="243" w:lineRule="exact"/>
              <w:rPr>
                <w:sz w:val="20"/>
                <w:szCs w:val="20"/>
                <w:color w:val="auto"/>
              </w:rPr>
            </w:pPr>
            <w:r>
              <w:rPr>
                <w:rFonts w:ascii="Times New Roman" w:cs="Times New Roman" w:eastAsia="Times New Roman" w:hAnsi="Times New Roman"/>
                <w:sz w:val="22"/>
                <w:szCs w:val="22"/>
                <w:color w:val="080808"/>
              </w:rPr>
              <w:t>Title:</w:t>
            </w:r>
          </w:p>
        </w:tc>
        <w:tc>
          <w:tcPr>
            <w:tcW w:w="51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080808"/>
              </w:rPr>
              <w:t>Executive Vice President, Chief Financial Officer &amp;</w:t>
            </w:r>
          </w:p>
        </w:tc>
        <w:tc>
          <w:tcPr>
            <w:tcW w:w="0" w:type="dxa"/>
            <w:vAlign w:val="bottom"/>
          </w:tcPr>
          <w:p>
            <w:pPr>
              <w:spacing w:after="0"/>
              <w:rPr>
                <w:sz w:val="1"/>
                <w:szCs w:val="1"/>
                <w:color w:val="auto"/>
              </w:rPr>
            </w:pPr>
          </w:p>
        </w:tc>
      </w:tr>
      <w:tr>
        <w:trPr>
          <w:trHeight w:val="282"/>
        </w:trPr>
        <w:tc>
          <w:tcPr>
            <w:tcW w:w="6100" w:type="dxa"/>
            <w:vAlign w:val="bottom"/>
            <w:gridSpan w:val="2"/>
          </w:tcPr>
          <w:p>
            <w:pPr>
              <w:ind w:left="5240"/>
              <w:spacing w:after="0"/>
              <w:rPr>
                <w:sz w:val="20"/>
                <w:szCs w:val="20"/>
                <w:color w:val="auto"/>
              </w:rPr>
            </w:pPr>
            <w:r>
              <w:rPr>
                <w:rFonts w:ascii="Times New Roman" w:cs="Times New Roman" w:eastAsia="Times New Roman" w:hAnsi="Times New Roman"/>
                <w:sz w:val="22"/>
                <w:szCs w:val="22"/>
                <w:color w:val="080808"/>
                <w:w w:val="99"/>
              </w:rPr>
              <w:t>Treasurer</w:t>
            </w:r>
          </w:p>
        </w:tc>
        <w:tc>
          <w:tcPr>
            <w:tcW w:w="2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1"/>
        </w:trPr>
        <w:tc>
          <w:tcPr>
            <w:tcW w:w="5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080808"/>
        </w:rPr>
        <w:t>IN WITNESS WHEREOF, the Parties have executed this Agreement as of the day and year first above written.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080808"/>
        </w:rPr>
        <w:t>National CineMedia, LLC</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080808"/>
        </w:rPr>
        <w:t>By its manager, National CineMedia, Inc.</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080808"/>
        </w:rPr>
        <w:t>By: /s/ Tom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4135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5960" w:type="dxa"/>
            <w:vAlign w:val="bottom"/>
          </w:tcPr>
          <w:p>
            <w:pPr>
              <w:ind w:left="5240"/>
              <w:spacing w:after="0" w:line="233" w:lineRule="exact"/>
              <w:rPr>
                <w:sz w:val="20"/>
                <w:szCs w:val="20"/>
                <w:color w:val="auto"/>
              </w:rPr>
            </w:pPr>
            <w:r>
              <w:rPr>
                <w:rFonts w:ascii="Times New Roman" w:cs="Times New Roman" w:eastAsia="Times New Roman" w:hAnsi="Times New Roman"/>
                <w:sz w:val="22"/>
                <w:szCs w:val="22"/>
                <w:color w:val="080808"/>
              </w:rPr>
              <w:t>Name:</w:t>
            </w:r>
          </w:p>
        </w:tc>
        <w:tc>
          <w:tcPr>
            <w:tcW w:w="528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080808"/>
              </w:rPr>
              <w:t>Tom Lesinski</w:t>
            </w:r>
          </w:p>
        </w:tc>
      </w:tr>
      <w:tr>
        <w:trPr>
          <w:trHeight w:val="282"/>
        </w:trPr>
        <w:tc>
          <w:tcPr>
            <w:tcW w:w="5960" w:type="dxa"/>
            <w:vAlign w:val="bottom"/>
          </w:tcPr>
          <w:p>
            <w:pPr>
              <w:ind w:left="5240"/>
              <w:spacing w:after="0"/>
              <w:rPr>
                <w:sz w:val="20"/>
                <w:szCs w:val="20"/>
                <w:color w:val="auto"/>
              </w:rPr>
            </w:pPr>
            <w:r>
              <w:rPr>
                <w:rFonts w:ascii="Times New Roman" w:cs="Times New Roman" w:eastAsia="Times New Roman" w:hAnsi="Times New Roman"/>
                <w:sz w:val="22"/>
                <w:szCs w:val="22"/>
                <w:color w:val="080808"/>
              </w:rPr>
              <w:t>Title:</w:t>
            </w:r>
          </w:p>
        </w:tc>
        <w:tc>
          <w:tcPr>
            <w:tcW w:w="5280" w:type="dxa"/>
            <w:vAlign w:val="bottom"/>
          </w:tcPr>
          <w:p>
            <w:pPr>
              <w:ind w:left="160"/>
              <w:spacing w:after="0"/>
              <w:rPr>
                <w:sz w:val="20"/>
                <w:szCs w:val="20"/>
                <w:color w:val="auto"/>
              </w:rPr>
            </w:pPr>
            <w:r>
              <w:rPr>
                <w:rFonts w:ascii="Times New Roman" w:cs="Times New Roman" w:eastAsia="Times New Roman" w:hAnsi="Times New Roman"/>
                <w:sz w:val="22"/>
                <w:szCs w:val="22"/>
                <w:color w:val="080808"/>
              </w:rPr>
              <w:t>Chief Executive Officer</w:t>
            </w:r>
          </w:p>
        </w:tc>
      </w:tr>
      <w:tr>
        <w:trPr>
          <w:trHeight w:val="2830"/>
        </w:trPr>
        <w:tc>
          <w:tcPr>
            <w:tcW w:w="59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6" w:name="page97"/>
    <w:bookmarkEnd w:id="96"/>
    <w:p>
      <w:pPr>
        <w:spacing w:after="0" w:line="18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DESCRIPTION OF ADVERTISING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Advertising Services</w:t>
      </w:r>
      <w:r>
        <w:rPr>
          <w:rFonts w:ascii="Times New Roman" w:cs="Times New Roman" w:eastAsia="Times New Roman" w:hAnsi="Times New Roman"/>
          <w:sz w:val="22"/>
          <w:szCs w:val="22"/>
          <w:color w:val="auto"/>
        </w:rPr>
        <w:t>” consist of the following:</w:t>
      </w:r>
    </w:p>
    <w:p>
      <w:pPr>
        <w:spacing w:after="0" w:line="206" w:lineRule="exact"/>
        <w:rPr>
          <w:sz w:val="20"/>
          <w:szCs w:val="20"/>
          <w:color w:val="auto"/>
        </w:rPr>
      </w:pPr>
    </w:p>
    <w:p>
      <w:pPr>
        <w:ind w:left="1160" w:hanging="438"/>
        <w:spacing w:after="0"/>
        <w:tabs>
          <w:tab w:leader="none" w:pos="11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Lobby Promotions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Lobby Promotions</w:t>
      </w:r>
      <w:r>
        <w:rPr>
          <w:rFonts w:ascii="Times New Roman" w:cs="Times New Roman" w:eastAsia="Times New Roman" w:hAnsi="Times New Roman"/>
          <w:sz w:val="22"/>
          <w:szCs w:val="22"/>
          <w:color w:val="auto"/>
        </w:rPr>
        <w:t>” means the promotions identified in Addendum A.</w:t>
      </w:r>
    </w:p>
    <w:p>
      <w:pPr>
        <w:spacing w:after="0" w:line="206" w:lineRule="exact"/>
        <w:rPr>
          <w:sz w:val="20"/>
          <w:szCs w:val="20"/>
          <w:color w:val="auto"/>
        </w:rPr>
      </w:pPr>
    </w:p>
    <w:p>
      <w:pPr>
        <w:ind w:left="1160" w:hanging="438"/>
        <w:spacing w:after="0"/>
        <w:tabs>
          <w:tab w:leader="none" w:pos="11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Event Sponsorships</w:t>
      </w:r>
    </w:p>
    <w:p>
      <w:pPr>
        <w:spacing w:after="0" w:line="206" w:lineRule="exact"/>
        <w:rPr>
          <w:sz w:val="20"/>
          <w:szCs w:val="20"/>
          <w:color w:val="auto"/>
        </w:rPr>
      </w:pPr>
    </w:p>
    <w:p>
      <w:pPr>
        <w:jc w:val="both"/>
        <w:ind w:firstLine="145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Sponsorship</w:t>
      </w:r>
      <w:r>
        <w:rPr>
          <w:rFonts w:ascii="Times New Roman" w:cs="Times New Roman" w:eastAsia="Times New Roman" w:hAnsi="Times New Roman"/>
          <w:sz w:val="22"/>
          <w:szCs w:val="22"/>
          <w:color w:val="auto"/>
        </w:rPr>
        <w:t>” means the sale of advertising or sponsorships with respect to any Digital Programming Event exhibited or shown in Theatres.</w:t>
      </w:r>
    </w:p>
    <w:p>
      <w:pPr>
        <w:spacing w:after="0" w:line="150" w:lineRule="exact"/>
        <w:rPr>
          <w:sz w:val="20"/>
          <w:szCs w:val="20"/>
          <w:color w:val="auto"/>
        </w:rPr>
      </w:pPr>
    </w:p>
    <w:p>
      <w:pPr>
        <w:jc w:val="both"/>
        <w:ind w:firstLine="145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Simulcast Advertising Services</w:t>
      </w:r>
      <w:r>
        <w:rPr>
          <w:rFonts w:ascii="Times New Roman" w:cs="Times New Roman" w:eastAsia="Times New Roman" w:hAnsi="Times New Roman"/>
          <w:sz w:val="22"/>
          <w:szCs w:val="22"/>
          <w:color w:val="auto"/>
        </w:rPr>
        <w:t>” 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to provide such advertising content.</w:t>
      </w:r>
    </w:p>
    <w:p>
      <w:pPr>
        <w:spacing w:after="0" w:line="172" w:lineRule="exact"/>
        <w:rPr>
          <w:sz w:val="20"/>
          <w:szCs w:val="20"/>
          <w:color w:val="auto"/>
        </w:rPr>
      </w:pPr>
    </w:p>
    <w:p>
      <w:pPr>
        <w:ind w:left="1160" w:hanging="438"/>
        <w:spacing w:after="0"/>
        <w:tabs>
          <w:tab w:leader="none" w:pos="11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Digital Content Service and Digital Carousel</w:t>
      </w:r>
    </w:p>
    <w:p>
      <w:pPr>
        <w:spacing w:after="0" w:line="210" w:lineRule="exact"/>
        <w:rPr>
          <w:sz w:val="20"/>
          <w:szCs w:val="20"/>
          <w:color w:val="auto"/>
        </w:rPr>
      </w:pPr>
    </w:p>
    <w:p>
      <w:pPr>
        <w:jc w:val="both"/>
        <w:ind w:firstLine="1457"/>
        <w:spacing w:after="0" w:line="244" w:lineRule="auto"/>
        <w:rPr>
          <w:sz w:val="20"/>
          <w:szCs w:val="20"/>
          <w:color w:val="auto"/>
        </w:rPr>
      </w:pPr>
      <w:r>
        <w:rPr>
          <w:rFonts w:ascii="Times New Roman" w:cs="Times New Roman" w:eastAsia="Times New Roman" w:hAnsi="Times New Roman"/>
          <w:sz w:val="22"/>
          <w:szCs w:val="22"/>
          <w:color w:val="auto"/>
        </w:rPr>
        <w:t>The Digital Content Service (which includes the Pre-Feature Program, Policy Trailer, and the Lobby Entertainment Program), the Digital Carousel and all other on-screen content which is exhibited in Theatre auditoriums prior to the feature film presentation or a Digital Programming Event, but specifically excluding Trailers and Event Trailers.</w:t>
      </w:r>
    </w:p>
    <w:p>
      <w:pPr>
        <w:spacing w:after="0" w:line="169" w:lineRule="exact"/>
        <w:rPr>
          <w:sz w:val="20"/>
          <w:szCs w:val="20"/>
          <w:color w:val="auto"/>
        </w:rPr>
      </w:pPr>
    </w:p>
    <w:p>
      <w:pPr>
        <w:ind w:left="1160" w:hanging="438"/>
        <w:spacing w:after="0"/>
        <w:tabs>
          <w:tab w:leader="none" w:pos="11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3D or 4D Advertising Services</w:t>
      </w:r>
    </w:p>
    <w:p>
      <w:pPr>
        <w:spacing w:after="0" w:line="206" w:lineRule="exact"/>
        <w:rPr>
          <w:sz w:val="20"/>
          <w:szCs w:val="20"/>
          <w:color w:val="auto"/>
        </w:rPr>
      </w:pPr>
    </w:p>
    <w:p>
      <w:pPr>
        <w:jc w:val="both"/>
        <w:ind w:firstLine="145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3D or 4D Advertising Services</w:t>
      </w:r>
      <w:r>
        <w:rPr>
          <w:rFonts w:ascii="Times New Roman" w:cs="Times New Roman" w:eastAsia="Times New Roman" w:hAnsi="Times New Roman"/>
          <w:sz w:val="22"/>
          <w:szCs w:val="22"/>
          <w:color w:val="auto"/>
        </w:rPr>
        <w:t>” means any of the Digital Carousel, the Pre-Feature Program, the Policy Trailer portions of the Advertising Services that are viewed by theatre patrons in 3D or 4D by using the Digital Cinema Equipment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962025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97" w:name="page98"/>
    <w:bookmarkEnd w:id="97"/>
    <w:p>
      <w:pPr>
        <w:spacing w:after="0" w:line="18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7" w:hanging="407"/>
        <w:spacing w:after="0"/>
        <w:tabs>
          <w:tab w:leader="none" w:pos="407"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 xml:space="preserve">Beverage Agreement Advertising Rate (See </w:t>
      </w:r>
      <w:r>
        <w:rPr>
          <w:rFonts w:ascii="Times New Roman" w:cs="Times New Roman" w:eastAsia="Times New Roman" w:hAnsi="Times New Roman"/>
          <w:sz w:val="22"/>
          <w:szCs w:val="22"/>
          <w:b w:val="1"/>
          <w:bCs w:val="1"/>
          <w:u w:val="single" w:color="auto"/>
          <w:color w:val="auto"/>
        </w:rPr>
        <w:t>Section 4.05(a)</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7" w:firstLine="728"/>
        <w:spacing w:after="0" w:line="244" w:lineRule="auto"/>
        <w:rPr>
          <w:sz w:val="20"/>
          <w:szCs w:val="20"/>
          <w:color w:val="auto"/>
        </w:rPr>
      </w:pPr>
      <w:r>
        <w:rPr>
          <w:rFonts w:ascii="Times New Roman" w:cs="Times New Roman" w:eastAsia="Times New Roman" w:hAnsi="Times New Roman"/>
          <w:sz w:val="22"/>
          <w:szCs w:val="22"/>
          <w:color w:val="auto"/>
        </w:rPr>
        <w:t>The initial Beverage Agreement Advertising Rate as of the Execution Date is $[***] per thousand attendees in AMC Attendance for a 30-second advertisement. Commencing on the first anniversary of the Effective Date, and thereafter, the Beverage Agreement Advertising Rate will increase in an amount equal to 2% annually.</w:t>
      </w:r>
    </w:p>
    <w:p>
      <w:pPr>
        <w:spacing w:after="0" w:line="173" w:lineRule="exact"/>
        <w:rPr>
          <w:sz w:val="20"/>
          <w:szCs w:val="20"/>
          <w:color w:val="auto"/>
        </w:rPr>
      </w:pPr>
    </w:p>
    <w:p>
      <w:pPr>
        <w:jc w:val="both"/>
        <w:ind w:left="7" w:firstLine="728"/>
        <w:spacing w:after="0" w:line="244" w:lineRule="auto"/>
        <w:rPr>
          <w:sz w:val="20"/>
          <w:szCs w:val="20"/>
          <w:color w:val="auto"/>
        </w:rPr>
      </w:pPr>
      <w:r>
        <w:rPr>
          <w:rFonts w:ascii="Times New Roman" w:cs="Times New Roman" w:eastAsia="Times New Roman" w:hAnsi="Times New Roman"/>
          <w:sz w:val="22"/>
          <w:szCs w:val="22"/>
          <w:color w:val="auto"/>
        </w:rPr>
        <w:t>The rate for a longer or shorter advertisement shall be adjusted based on a multiple or percentage of the 30-second rate. For illustrative purposes, the initial Beverage Agreement Advertising Rate for 90 seconds of advertising as of the Execution Date would be $[***].</w:t>
      </w:r>
    </w:p>
    <w:p>
      <w:pPr>
        <w:spacing w:after="0" w:line="173" w:lineRule="exact"/>
        <w:rPr>
          <w:sz w:val="20"/>
          <w:szCs w:val="20"/>
          <w:color w:val="auto"/>
        </w:rPr>
      </w:pPr>
    </w:p>
    <w:p>
      <w:pPr>
        <w:ind w:left="727"/>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07" w:hanging="407"/>
        <w:spacing w:after="0"/>
        <w:tabs>
          <w:tab w:leader="none" w:pos="407"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 xml:space="preserve">Event Services Administrative Fee (See </w:t>
      </w:r>
      <w:r>
        <w:rPr>
          <w:rFonts w:ascii="Times New Roman" w:cs="Times New Roman" w:eastAsia="Times New Roman" w:hAnsi="Times New Roman"/>
          <w:sz w:val="22"/>
          <w:szCs w:val="22"/>
          <w:b w:val="1"/>
          <w:bCs w:val="1"/>
          <w:u w:val="single" w:color="auto"/>
          <w:color w:val="auto"/>
        </w:rPr>
        <w:t>Section 8.02</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left="7" w:firstLine="728"/>
        <w:spacing w:after="0" w:line="238" w:lineRule="auto"/>
        <w:rPr>
          <w:sz w:val="20"/>
          <w:szCs w:val="20"/>
          <w:color w:val="auto"/>
        </w:rPr>
      </w:pPr>
      <w:r>
        <w:rPr>
          <w:rFonts w:ascii="Times New Roman" w:cs="Times New Roman" w:eastAsia="Times New Roman" w:hAnsi="Times New Roman"/>
          <w:sz w:val="22"/>
          <w:szCs w:val="22"/>
          <w:color w:val="auto"/>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spacing w:after="0" w:line="177" w:lineRule="exact"/>
        <w:rPr>
          <w:sz w:val="20"/>
          <w:szCs w:val="20"/>
          <w:color w:val="auto"/>
        </w:rPr>
      </w:pPr>
    </w:p>
    <w:p>
      <w:pPr>
        <w:jc w:val="both"/>
        <w:ind w:left="7" w:firstLine="728"/>
        <w:spacing w:after="0" w:line="258" w:lineRule="auto"/>
        <w:rPr>
          <w:sz w:val="20"/>
          <w:szCs w:val="20"/>
          <w:color w:val="auto"/>
        </w:rPr>
      </w:pPr>
      <w:r>
        <w:rPr>
          <w:rFonts w:ascii="Times New Roman" w:cs="Times New Roman" w:eastAsia="Times New Roman" w:hAnsi="Times New Roman"/>
          <w:sz w:val="22"/>
          <w:szCs w:val="22"/>
          <w:color w:val="auto"/>
        </w:rPr>
        <w:t>The Administrative Fee shall be negotiated by LLC and AMC in good faith from time to time to ensure that the Administrative Fee being paid to LLC is equal to a market rate negotiated at arm’s length between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1425575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440" w:right="459" w:bottom="1440" w:gutter="0" w:footer="0" w:header="0"/>
        </w:sectPr>
      </w:pPr>
    </w:p>
    <w:bookmarkStart w:id="98" w:name="page99"/>
    <w:bookmarkEnd w:id="98"/>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131313"/>
        </w:rPr>
        <w:t>Schedule 1.01</w:t>
      </w: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u w:val="single" w:color="auto"/>
          <w:color w:val="auto"/>
        </w:rPr>
        <w:t>Theatres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included in this Schedule has been omitted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1265555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99" w:name="page100"/>
    <w:bookmarkEnd w:id="99"/>
    <w:p>
      <w:pPr>
        <w:spacing w:after="0" w:line="18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u w:val="single" w:color="auto"/>
          <w:color w:val="131313"/>
        </w:rPr>
        <w:t>Schedule 2.02(a)</w:t>
      </w: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Theatres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included in this Schedule has been omitted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1265555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00" w:name="page101"/>
    <w:bookmarkEnd w:id="100"/>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u w:val="single" w:color="auto"/>
          <w:color w:val="131313"/>
        </w:rPr>
        <w:t>Schedule 2.05(h)</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Theatre Maintenance Fee per Digital Cinema Screen</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Theatre Maintenance Fee per Digital Cinema Screen</w:t>
      </w:r>
      <w:r>
        <w:rPr>
          <w:rFonts w:ascii="Times New Roman" w:cs="Times New Roman" w:eastAsia="Times New Roman" w:hAnsi="Times New Roman"/>
          <w:sz w:val="21"/>
          <w:szCs w:val="21"/>
          <w:color w:val="auto"/>
        </w:rPr>
        <w:t xml:space="preserve">” means, (i) beginning in the month in which the conversion of any screen in any auditorium in any 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an amount equal to $[***] per month for each Digital Cinema Screen, which amount shall increase 5% annually beginning on the anniversary of the Effective Date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50%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AMC removes the Digital Cinema Equipment in any Digital Cinema Screen as permitted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3.06</w:t>
      </w:r>
      <w:r>
        <w:rPr>
          <w:rFonts w:ascii="Times New Roman" w:cs="Times New Roman" w:eastAsia="Times New Roman" w:hAnsi="Times New Roman"/>
          <w:sz w:val="21"/>
          <w:szCs w:val="21"/>
          <w:color w:val="auto"/>
        </w:rPr>
        <w:t>, LLC shall no longer be liable to pay AMC the Theatre Maintenance Fee per Digital Cinema Screen with respect to such Digital Cinema Screen until such time as Projection System with respect to such Digital Cinema Screen is reinstalled.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1245235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01" w:name="page102"/>
    <w:bookmarkEnd w:id="101"/>
    <w:p>
      <w:pPr>
        <w:spacing w:after="0" w:line="1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131313"/>
        </w:rPr>
        <w:t>Schedule 4.02</w:t>
      </w:r>
    </w:p>
    <w:p>
      <w:pPr>
        <w:spacing w:after="0" w:line="20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Content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included in this Schedule has been omitted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1265555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02" w:name="page103"/>
    <w:bookmarkEnd w:id="102"/>
    <w:p>
      <w:pPr>
        <w:spacing w:after="0" w:line="18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u w:val="single" w:color="auto"/>
          <w:color w:val="131313"/>
        </w:rPr>
        <w:t>Schedule 9.03(c)</w:t>
      </w:r>
    </w:p>
    <w:p>
      <w:pPr>
        <w:spacing w:after="0" w:line="20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u w:val="single" w:color="auto"/>
          <w:color w:val="131313"/>
        </w:rPr>
        <w:t>Exclusivity Run-Out Payments and Encumbered Theatre Beverage Agreement Advertising Rate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included in this Schedule has been omitted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1171575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03" w:name="page104"/>
    <w:bookmarkEnd w:id="103"/>
    <w:p>
      <w:pPr>
        <w:spacing w:after="0" w:line="18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u w:val="single" w:color="auto"/>
          <w:color w:val="131313"/>
        </w:rPr>
        <w:t>Addendum A</w:t>
      </w:r>
    </w:p>
    <w:p>
      <w:pPr>
        <w:spacing w:after="0" w:line="20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u w:val="single" w:color="auto"/>
          <w:color w:val="131313"/>
        </w:rPr>
        <w:t>Lobby Entertainment Program and Lobby Promotions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[Information included in this Addendum has been omitted in accordance with Item 601(a)(5)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897255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740" w:hanging="170"/>
        <w:spacing w:after="0"/>
        <w:tabs>
          <w:tab w:leader="none" w:pos="7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20" w:firstLine="570"/>
        <w:spacing w:after="0" w:line="282"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60" w:firstLine="570"/>
        <w:spacing w:after="0" w:line="282"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570"/>
        <w:spacing w:after="0" w:line="266"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300" w:hanging="9"/>
        <w:spacing w:after="0" w:line="266" w:lineRule="auto"/>
        <w:tabs>
          <w:tab w:leader="none" w:pos="138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40" w:hanging="9"/>
        <w:spacing w:after="0" w:line="266" w:lineRule="auto"/>
        <w:tabs>
          <w:tab w:leader="none" w:pos="13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160" w:hanging="9"/>
        <w:spacing w:after="0" w:line="312" w:lineRule="auto"/>
        <w:tabs>
          <w:tab w:leader="none" w:pos="1385"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jc w:val="both"/>
        <w:ind w:left="1140" w:right="80" w:hanging="9"/>
        <w:spacing w:after="0" w:line="266" w:lineRule="auto"/>
        <w:tabs>
          <w:tab w:leader="none" w:pos="13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60" w:firstLine="570"/>
        <w:spacing w:after="0" w:line="282" w:lineRule="auto"/>
        <w:tabs>
          <w:tab w:leader="none" w:pos="7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380" w:hanging="9"/>
        <w:spacing w:after="0" w:line="282" w:lineRule="auto"/>
        <w:tabs>
          <w:tab w:leader="none" w:pos="138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60" w:hanging="9"/>
        <w:spacing w:after="0" w:line="282" w:lineRule="auto"/>
        <w:tabs>
          <w:tab w:leader="none" w:pos="139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176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10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0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Ronnie Y. Ng, certify that:</w:t>
      </w:r>
    </w:p>
    <w:p>
      <w:pPr>
        <w:spacing w:after="0" w:line="171" w:lineRule="exact"/>
        <w:rPr>
          <w:sz w:val="20"/>
          <w:szCs w:val="20"/>
          <w:color w:val="auto"/>
        </w:rPr>
      </w:pPr>
    </w:p>
    <w:p>
      <w:pPr>
        <w:ind w:left="740" w:hanging="170"/>
        <w:spacing w:after="0"/>
        <w:tabs>
          <w:tab w:leader="none" w:pos="7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20" w:firstLine="570"/>
        <w:spacing w:after="0" w:line="282" w:lineRule="auto"/>
        <w:tabs>
          <w:tab w:leader="none" w:pos="7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260" w:firstLine="570"/>
        <w:spacing w:after="0" w:line="282" w:lineRule="auto"/>
        <w:tabs>
          <w:tab w:leader="none" w:pos="7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570"/>
        <w:spacing w:after="0" w:line="266" w:lineRule="auto"/>
        <w:tabs>
          <w:tab w:leader="none" w:pos="7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140" w:right="300" w:hanging="9"/>
        <w:spacing w:after="0" w:line="266" w:lineRule="auto"/>
        <w:tabs>
          <w:tab w:leader="none" w:pos="138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140" w:right="40" w:hanging="9"/>
        <w:spacing w:after="0" w:line="266" w:lineRule="auto"/>
        <w:tabs>
          <w:tab w:leader="none" w:pos="13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140" w:right="160" w:hanging="9"/>
        <w:spacing w:after="0" w:line="312" w:lineRule="auto"/>
        <w:tabs>
          <w:tab w:leader="none" w:pos="1385"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jc w:val="both"/>
        <w:ind w:left="1140" w:right="80" w:hanging="9"/>
        <w:spacing w:after="0" w:line="266" w:lineRule="auto"/>
        <w:tabs>
          <w:tab w:leader="none" w:pos="13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60" w:firstLine="570"/>
        <w:spacing w:after="0" w:line="282" w:lineRule="auto"/>
        <w:tabs>
          <w:tab w:leader="none" w:pos="7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140" w:right="380" w:hanging="9"/>
        <w:spacing w:after="0" w:line="282" w:lineRule="auto"/>
        <w:tabs>
          <w:tab w:leader="none" w:pos="138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140" w:right="60" w:hanging="9"/>
        <w:spacing w:after="0" w:line="282" w:lineRule="auto"/>
        <w:tabs>
          <w:tab w:leader="none" w:pos="13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176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Ronnie Y. Ng</w:t>
      </w:r>
    </w:p>
    <w:p>
      <w:pPr>
        <w:spacing w:after="0" w:line="10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751840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562"/>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September 25, 2025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4" w:lineRule="exact"/>
        <w:rPr>
          <w:sz w:val="20"/>
          <w:szCs w:val="20"/>
          <w:color w:val="auto"/>
        </w:rPr>
      </w:pPr>
    </w:p>
    <w:p>
      <w:pPr>
        <w:ind w:left="740" w:hanging="170"/>
        <w:spacing w:after="0"/>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560" w:right="820" w:firstLine="10"/>
        <w:spacing w:after="0" w:line="282" w:lineRule="auto"/>
        <w:tabs>
          <w:tab w:leader="none" w:pos="7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34290</wp:posOffset>
            </wp:positionV>
            <wp:extent cx="43891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56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September 25, 2025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740" w:hanging="170"/>
        <w:spacing w:after="0"/>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560" w:right="820" w:firstLine="10"/>
        <w:spacing w:after="0" w:line="282" w:lineRule="auto"/>
        <w:tabs>
          <w:tab w:leader="none" w:pos="7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ind w:left="60"/>
        <w:spacing w:after="0"/>
        <w:tabs>
          <w:tab w:leader="none" w:pos="436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34290</wp:posOffset>
            </wp:positionV>
            <wp:extent cx="43891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spacing w:after="0" w:line="5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Ronnie Y. Ng</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lowerRoman"/>
      <w:start w:val="2"/>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decimal"/>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lowerRoman"/>
      <w:start w:val="1"/>
    </w:lvl>
  </w:abstractNum>
  <w:abstractNum w:abstractNumId="11">
    <w:nsid w:val="12E685FB"/>
    <w:multiLevelType w:val="hybridMultilevel"/>
    <w:lvl w:ilvl="0">
      <w:lvlJc w:val="left"/>
      <w:lvlText w:val="(%1)"/>
      <w:numFmt w:val="decimal"/>
      <w:start w:val="1"/>
    </w:lvl>
  </w:abstractNum>
  <w:abstractNum w:abstractNumId="12">
    <w:nsid w:val="70C6A529"/>
    <w:multiLevelType w:val="hybridMultilevel"/>
    <w:lvl w:ilvl="0">
      <w:lvlJc w:val="left"/>
      <w:lvlText w:val="(%1)"/>
      <w:numFmt w:val="decimal"/>
      <w:start w:val="2"/>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
      <w:numFmt w:val="bullet"/>
      <w:start w:val="1"/>
    </w:lvl>
    <w:lvl w:ilvl="1">
      <w:lvlJc w:val="left"/>
      <w:lvlText w:val="%2"/>
      <w:numFmt w:val="decimal"/>
      <w:start w:val="104"/>
    </w:lvl>
  </w:abstractNum>
  <w:abstractNum w:abstractNumId="16">
    <w:nsid w:val="23F9C13C"/>
    <w:multiLevelType w:val="hybridMultilevel"/>
    <w:lvl w:ilvl="0">
      <w:lvlJc w:val="left"/>
      <w:lvlText w:val="**"/>
      <w:numFmt w:val="bullet"/>
      <w:start w:val="1"/>
    </w:lvl>
    <w:lvl w:ilvl="1">
      <w:lvlJc w:val="left"/>
      <w:lvlText w:val="%2"/>
      <w:numFmt w:val="decimal"/>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2"/>
    </w:lvl>
  </w:abstractNum>
  <w:abstractNum w:abstractNumId="19">
    <w:nsid w:val="39386575"/>
    <w:multiLevelType w:val="hybridMultilevel"/>
    <w:lvl w:ilvl="0">
      <w:lvlJc w:val="left"/>
      <w:lvlText w:val="(%1)"/>
      <w:numFmt w:val="lowerLetter"/>
      <w:start w:val="1"/>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lowerLetter"/>
      <w:start w:val="2"/>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lowerLetter"/>
      <w:start w:val="1"/>
    </w:lvl>
  </w:abstractNum>
  <w:abstractNum w:abstractNumId="24">
    <w:nsid w:val="354FE9F9"/>
    <w:multiLevelType w:val="hybridMultilevel"/>
    <w:lvl w:ilvl="0">
      <w:lvlJc w:val="left"/>
      <w:lvlText w:val="(%1)"/>
      <w:numFmt w:val="lowerLetter"/>
      <w:start w:val="2"/>
    </w:lvl>
  </w:abstractNum>
  <w:abstractNum w:abstractNumId="25">
    <w:nsid w:val="15B5AF5C"/>
    <w:multiLevelType w:val="hybridMultilevel"/>
    <w:lvl w:ilvl="0">
      <w:lvlJc w:val="left"/>
      <w:lvlText w:val="(%1)"/>
      <w:numFmt w:val="lowerRoman"/>
      <w:start w:val="1"/>
    </w:lvl>
    <w:lvl w:ilvl="1">
      <w:lvlJc w:val="left"/>
      <w:lvlText w:val="(%2)"/>
      <w:numFmt w:val="upperLetter"/>
      <w:start w:val="1"/>
    </w:lvl>
  </w:abstractNum>
  <w:abstractNum w:abstractNumId="26">
    <w:nsid w:val="741226BB"/>
    <w:multiLevelType w:val="hybridMultilevel"/>
    <w:lvl w:ilvl="0">
      <w:lvlJc w:val="left"/>
      <w:lvlText w:val="(%1)"/>
      <w:numFmt w:val="lowerRoman"/>
      <w:start w:val="2"/>
    </w:lvl>
  </w:abstractNum>
  <w:abstractNum w:abstractNumId="27">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8">
    <w:nsid w:val="10233C99"/>
    <w:multiLevelType w:val="hybridMultilevel"/>
    <w:lvl w:ilvl="0">
      <w:lvlJc w:val="left"/>
      <w:lvlText w:val="(%1)"/>
      <w:numFmt w:val="lowerLetter"/>
      <w:start w:val="4"/>
    </w:lvl>
  </w:abstractNum>
  <w:abstractNum w:abstractNumId="29">
    <w:nsid w:val="3F6AB60F"/>
    <w:multiLevelType w:val="hybridMultilevel"/>
    <w:lvl w:ilvl="0">
      <w:lvlJc w:val="left"/>
      <w:lvlText w:val="(%1)"/>
      <w:numFmt w:val="lowerLetter"/>
      <w:start w:val="5"/>
    </w:lvl>
  </w:abstractNum>
  <w:abstractNum w:abstractNumId="30">
    <w:nsid w:val="61574095"/>
    <w:multiLevelType w:val="hybridMultilevel"/>
    <w:lvl w:ilvl="0">
      <w:lvlJc w:val="left"/>
      <w:lvlText w:val="(%1)"/>
      <w:numFmt w:val="lowerLetter"/>
      <w:start w:val="6"/>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lowerLetter"/>
      <w:start w:val="2"/>
    </w:lvl>
  </w:abstractNum>
  <w:abstractNum w:abstractNumId="34">
    <w:nsid w:val="310C50B3"/>
    <w:multiLevelType w:val="hybridMultilevel"/>
    <w:lvl w:ilvl="0">
      <w:lvlJc w:val="left"/>
      <w:lvlText w:val="%1"/>
      <w:numFmt w:val="lowerLetter"/>
      <w:start w:val="1"/>
    </w:lvl>
    <w:lvl w:ilvl="1">
      <w:lvlJc w:val="left"/>
      <w:lvlText w:val="(%2)"/>
      <w:numFmt w:val="lowerLetter"/>
      <w:start w:val="1"/>
    </w:lvl>
  </w:abstractNum>
  <w:abstractNum w:abstractNumId="35">
    <w:nsid w:val="5FF87E05"/>
    <w:multiLevelType w:val="hybridMultilevel"/>
    <w:lvl w:ilvl="0">
      <w:lvlJc w:val="left"/>
      <w:lvlText w:val="(%1)"/>
      <w:numFmt w:val="lowerLetter"/>
      <w:start w:val="9"/>
    </w:lvl>
    <w:lvl w:ilvl="1">
      <w:lvlJc w:val="left"/>
      <w:lvlText w:val="(%2)"/>
      <w:numFmt w:val="lowerLetter"/>
      <w:start w:val="2"/>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8">
    <w:nsid w:val="1DBABF00"/>
    <w:multiLevelType w:val="hybridMultilevel"/>
    <w:lvl w:ilvl="0">
      <w:lvlJc w:val="left"/>
      <w:lvlText w:val="%1"/>
      <w:numFmt w:val="lowerLetter"/>
      <w:start w:val="1"/>
    </w:lvl>
    <w:lvl w:ilvl="1">
      <w:lvlJc w:val="left"/>
      <w:lvlText w:val="(%2)"/>
      <w:numFmt w:val="lowerRoman"/>
      <w:start w:val="2"/>
    </w:lvl>
  </w:abstractNum>
  <w:abstractNum w:abstractNumId="39">
    <w:nsid w:val="4AD084E9"/>
    <w:multiLevelType w:val="hybridMultilevel"/>
    <w:lvl w:ilvl="0">
      <w:lvlJc w:val="left"/>
      <w:lvlText w:val="(%1)"/>
      <w:numFmt w:val="lowerLetter"/>
      <w:start w:val="3"/>
    </w:lvl>
    <w:lvl w:ilvl="1">
      <w:lvlJc w:val="left"/>
      <w:lvlText w:val="%2"/>
      <w:numFmt w:val="lowerRoman"/>
      <w:start w:val="1"/>
    </w:lvl>
  </w:abstractNum>
  <w:abstractNum w:abstractNumId="40">
    <w:nsid w:val="1F48EAA1"/>
    <w:multiLevelType w:val="hybridMultilevel"/>
    <w:lvl w:ilvl="0">
      <w:lvlJc w:val="left"/>
      <w:lvlText w:val="%1"/>
      <w:numFmt w:val="lowerLetter"/>
      <w:start w:val="1"/>
    </w:lvl>
    <w:lvl w:ilvl="1">
      <w:lvlJc w:val="left"/>
      <w:lvlText w:val="(%2)"/>
      <w:numFmt w:val="lowerLetter"/>
      <w:start w:val="1"/>
    </w:lvl>
  </w:abstractNum>
  <w:abstractNum w:abstractNumId="41">
    <w:nsid w:val="1381823A"/>
    <w:multiLevelType w:val="hybridMultilevel"/>
    <w:lvl w:ilvl="0">
      <w:lvlJc w:val="left"/>
      <w:lvlText w:val="(%1)"/>
      <w:numFmt w:val="lowerLetter"/>
      <w:start w:val="23"/>
    </w:lvl>
    <w:lvl w:ilvl="1">
      <w:lvlJc w:val="left"/>
      <w:lvlText w:val="(%2)"/>
      <w:numFmt w:val="lowerLetter"/>
      <w:start w:val="3"/>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2"/>
    </w:lvl>
    <w:lvl w:ilvl="1">
      <w:lvlJc w:val="left"/>
      <w:lvlText w:val="(%2)"/>
      <w:numFmt w:val="lowerRoman"/>
      <w:start w:val="1"/>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lowerRoman"/>
      <w:start w:val="1"/>
    </w:lvl>
  </w:abstractNum>
  <w:abstractNum w:abstractNumId="47">
    <w:nsid w:val="98A3148"/>
    <w:multiLevelType w:val="hybridMultilevel"/>
    <w:lvl w:ilvl="0">
      <w:lvlJc w:val="left"/>
      <w:lvlText w:val="(%1)"/>
      <w:numFmt w:val="lowerLetter"/>
      <w:start w:val="1"/>
    </w:lvl>
    <w:lvl w:ilvl="1">
      <w:lvlJc w:val="left"/>
      <w:lvlText w:val="(%2)"/>
      <w:numFmt w:val="lowerRoman"/>
      <w:start w:val="1"/>
    </w:lvl>
  </w:abstractNum>
  <w:abstractNum w:abstractNumId="48">
    <w:nsid w:val="799D0247"/>
    <w:multiLevelType w:val="hybridMultilevel"/>
    <w:lvl w:ilvl="0">
      <w:lvlJc w:val="left"/>
      <w:lvlText w:val="%1"/>
      <w:numFmt w:val="lowerLetter"/>
      <w:start w:val="1"/>
    </w:lvl>
    <w:lvl w:ilvl="1">
      <w:lvlJc w:val="left"/>
      <w:lvlText w:val="(%2)"/>
      <w:numFmt w:val="lowerRoman"/>
      <w:start w:val="9"/>
    </w:lvl>
  </w:abstractNum>
  <w:abstractNum w:abstractNumId="49">
    <w:nsid w:val="6B94764"/>
    <w:multiLevelType w:val="hybridMultilevel"/>
    <w:lvl w:ilvl="0">
      <w:lvlJc w:val="left"/>
      <w:lvlText w:val="(%1)"/>
      <w:numFmt w:val="lowerLetter"/>
      <w:start w:val="2"/>
    </w:lvl>
    <w:lvl w:ilvl="1">
      <w:lvlJc w:val="left"/>
      <w:lvlText w:val="(%2)"/>
      <w:numFmt w:val="lowerRoman"/>
      <w:start w:val="1"/>
    </w:lvl>
  </w:abstractNum>
  <w:abstractNum w:abstractNumId="50">
    <w:nsid w:val="42C296BD"/>
    <w:multiLevelType w:val="hybridMultilevel"/>
    <w:lvl w:ilvl="0">
      <w:lvlJc w:val="left"/>
      <w:lvlText w:val="%1"/>
      <w:numFmt w:val="lowerLetter"/>
      <w:start w:val="1"/>
    </w:lvl>
    <w:lvl w:ilvl="1">
      <w:lvlJc w:val="left"/>
      <w:lvlText w:val="(%2)"/>
      <w:numFmt w:val="lowerLetter"/>
      <w:start w:val="1"/>
    </w:lvl>
  </w:abstractNum>
  <w:abstractNum w:abstractNumId="51">
    <w:nsid w:val="168E121F"/>
    <w:multiLevelType w:val="hybridMultilevel"/>
    <w:lvl w:ilvl="0">
      <w:lvlJc w:val="left"/>
      <w:lvlText w:val="(%1)"/>
      <w:numFmt w:val="lowerLetter"/>
      <w:start w:val="9"/>
    </w:lvl>
    <w:lvl w:ilvl="1">
      <w:lvlJc w:val="left"/>
      <w:lvlText w:val="%2"/>
      <w:numFmt w:val="lowerLetter"/>
      <w:start w:val="1"/>
    </w:lvl>
  </w:abstractNum>
  <w:abstractNum w:abstractNumId="52">
    <w:nsid w:val="1EBA5D23"/>
    <w:multiLevelType w:val="hybridMultilevel"/>
    <w:lvl w:ilvl="0">
      <w:lvlJc w:val="left"/>
      <w:lvlText w:val="%1"/>
      <w:numFmt w:val="decimal"/>
      <w:start w:val="1"/>
    </w:lvl>
    <w:lvl w:ilvl="1">
      <w:lvlJc w:val="left"/>
      <w:lvlText w:val="(%2)"/>
      <w:numFmt w:val="lowerLetter"/>
      <w:start w:val="1"/>
    </w:lvl>
  </w:abstractNum>
  <w:abstractNum w:abstractNumId="53">
    <w:nsid w:val="661E3F1E"/>
    <w:multiLevelType w:val="hybridMultilevel"/>
    <w:lvl w:ilvl="0">
      <w:lvlJc w:val="left"/>
      <w:lvlText w:val="(%1)"/>
      <w:numFmt w:val="decimal"/>
      <w:start w:val="20"/>
    </w:lvl>
    <w:lvl w:ilvl="1">
      <w:lvlJc w:val="left"/>
      <w:lvlText w:val="(%2)"/>
      <w:numFmt w:val="lowerLetter"/>
      <w:start w:val="2"/>
    </w:lvl>
  </w:abstractNum>
  <w:abstractNum w:abstractNumId="54">
    <w:nsid w:val="5DC79EA8"/>
    <w:multiLevelType w:val="hybridMultilevel"/>
    <w:lvl w:ilvl="0">
      <w:lvlJc w:val="left"/>
      <w:lvlText w:val="%1"/>
      <w:numFmt w:val="lowerLetter"/>
      <w:start w:val="1"/>
    </w:lvl>
    <w:lvl w:ilvl="1">
      <w:lvlJc w:val="left"/>
      <w:lvlText w:val="(%2)"/>
      <w:numFmt w:val="lowerLetter"/>
      <w:start w:val="1"/>
    </w:lvl>
  </w:abstractNum>
  <w:abstractNum w:abstractNumId="55">
    <w:nsid w:val="540A471C"/>
    <w:multiLevelType w:val="hybridMultilevel"/>
    <w:lvl w:ilvl="0">
      <w:lvlJc w:val="left"/>
      <w:lvlText w:val="(%1)"/>
      <w:numFmt w:val="lowerLetter"/>
      <w:start w:val="25"/>
    </w:lvl>
    <w:lvl w:ilvl="1">
      <w:lvlJc w:val="left"/>
      <w:lvlText w:val="%2"/>
      <w:numFmt w:val="lowerLetter"/>
      <w:start w:val="1"/>
    </w:lvl>
  </w:abstractNum>
  <w:abstractNum w:abstractNumId="56">
    <w:nsid w:val="7BD3EE7B"/>
    <w:multiLevelType w:val="hybridMultilevel"/>
    <w:lvl w:ilvl="0">
      <w:lvlJc w:val="left"/>
      <w:lvlText w:val="(%1)"/>
      <w:numFmt w:val="lowerLetter"/>
      <w:start w:val="2"/>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3"/>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lvl w:ilvl="1">
      <w:lvlJc w:val="left"/>
      <w:lvlText w:val="(%2)"/>
      <w:numFmt w:val="lowerLetter"/>
      <w:start w:val="1"/>
    </w:lvl>
  </w:abstractNum>
  <w:abstractNum w:abstractNumId="61">
    <w:nsid w:val="42963E5A"/>
    <w:multiLevelType w:val="hybridMultilevel"/>
    <w:lvl w:ilvl="0">
      <w:lvlJc w:val="left"/>
      <w:lvlText w:val="(%1)"/>
      <w:numFmt w:val="lowerLetter"/>
      <w:start w:val="35"/>
    </w:lvl>
    <w:lvl w:ilvl="1">
      <w:lvlJc w:val="left"/>
      <w:lvlText w:val="(%2)"/>
      <w:numFmt w:val="lowerLetter"/>
      <w:start w:val="2"/>
    </w:lvl>
  </w:abstractNum>
  <w:abstractNum w:abstractNumId="62">
    <w:nsid w:val="A0382C5"/>
    <w:multiLevelType w:val="hybridMultilevel"/>
    <w:lvl w:ilvl="0">
      <w:lvlJc w:val="left"/>
      <w:lvlText w:val="(%1)"/>
      <w:numFmt w:val="lowerLetter"/>
      <w:start w:val="3"/>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2"/>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lowerLetter"/>
      <w:start w:val="2"/>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2"/>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Letter"/>
      <w:start w:val="3"/>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2"/>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1"/>
    </w:lvl>
    <w:lvl w:ilvl="1">
      <w:lvlJc w:val="left"/>
      <w:lvlText w:val="(%2)"/>
      <w:numFmt w:val="lowerRoman"/>
      <w:start w:val="1"/>
    </w:lvl>
  </w:abstractNum>
  <w:abstractNum w:abstractNumId="80">
    <w:nsid w:val="76272110"/>
    <w:multiLevelType w:val="hybridMultilevel"/>
    <w:lvl w:ilvl="0">
      <w:lvlJc w:val="left"/>
      <w:lvlText w:val="(%1)"/>
      <w:numFmt w:val="upperLetter"/>
      <w:start w:val="2"/>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2"/>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2"/>
    </w:lvl>
  </w:abstractNum>
  <w:abstractNum w:abstractNumId="85">
    <w:nsid w:val="74DE0EE3"/>
    <w:multiLevelType w:val="hybridMultilevel"/>
    <w:lvl w:ilvl="0">
      <w:lvlJc w:val="left"/>
      <w:lvlText w:val="%1."/>
      <w:numFmt w:val="decimal"/>
      <w:start w:val="3"/>
    </w:lvl>
  </w:abstractNum>
  <w:abstractNum w:abstractNumId="86">
    <w:nsid w:val="68EBC550"/>
    <w:multiLevelType w:val="hybridMultilevel"/>
    <w:lvl w:ilvl="0">
      <w:lvlJc w:val="left"/>
      <w:lvlText w:val="%1."/>
      <w:numFmt w:val="decimal"/>
      <w:start w:val="4"/>
    </w:lvl>
  </w:abstractNum>
  <w:abstractNum w:abstractNumId="87">
    <w:nsid w:val="2DF6D648"/>
    <w:multiLevelType w:val="hybridMultilevel"/>
    <w:lvl w:ilvl="0">
      <w:lvlJc w:val="left"/>
      <w:lvlText w:val="%1."/>
      <w:numFmt w:val="upperLetter"/>
      <w:start w:val="1"/>
    </w:lvl>
  </w:abstractNum>
  <w:abstractNum w:abstractNumId="88">
    <w:nsid w:val="46B7D447"/>
    <w:multiLevelType w:val="hybridMultilevel"/>
    <w:lvl w:ilvl="0">
      <w:lvlJc w:val="left"/>
      <w:lvlText w:val="%1."/>
      <w:numFmt w:val="upperLetter"/>
      <w:start w:val="2"/>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2025-10-30T15:38:20Z</dcterms:created>
  <dcterms:modified xsi:type="dcterms:W3CDTF">2025-10-30T15:38:20Z</dcterms:modified>
</cp:coreProperties>
</file>