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2013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LLC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5060" w:type="dxa"/>
            <w:vAlign w:val="bottom"/>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52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20-2632505</w:t>
            </w:r>
          </w:p>
        </w:tc>
      </w:tr>
      <w:tr>
        <w:trPr>
          <w:trHeight w:val="178"/>
        </w:trPr>
        <w:tc>
          <w:tcPr>
            <w:tcW w:w="5060" w:type="dxa"/>
            <w:vAlign w:val="bottom"/>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 or Organization)</w:t>
            </w:r>
          </w:p>
        </w:tc>
        <w:tc>
          <w:tcPr>
            <w:tcW w:w="3520" w:type="dxa"/>
            <w:vAlign w:val="bottom"/>
          </w:tcPr>
          <w:p>
            <w:pPr>
              <w:jc w:val="center"/>
              <w:ind w:left="138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403"/>
        </w:trPr>
        <w:tc>
          <w:tcPr>
            <w:tcW w:w="5060" w:type="dxa"/>
            <w:vAlign w:val="bottom"/>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7"/>
              </w:rPr>
              <w:t>9110 East Nichols Avenue, Suite 200</w:t>
            </w:r>
          </w:p>
        </w:tc>
        <w:tc>
          <w:tcPr>
            <w:tcW w:w="3520" w:type="dxa"/>
            <w:vAlign w:val="bottom"/>
          </w:tcPr>
          <w:p>
            <w:pPr>
              <w:spacing w:after="0"/>
              <w:rPr>
                <w:sz w:val="24"/>
                <w:szCs w:val="24"/>
                <w:color w:val="auto"/>
              </w:rPr>
            </w:pPr>
          </w:p>
        </w:tc>
      </w:tr>
      <w:tr>
        <w:trPr>
          <w:trHeight w:val="229"/>
        </w:trPr>
        <w:tc>
          <w:tcPr>
            <w:tcW w:w="5060" w:type="dxa"/>
            <w:vAlign w:val="bottom"/>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Centennial, Colorado</w:t>
            </w:r>
          </w:p>
        </w:tc>
        <w:tc>
          <w:tcPr>
            <w:tcW w:w="3520" w:type="dxa"/>
            <w:vAlign w:val="bottom"/>
          </w:tcPr>
          <w:p>
            <w:pPr>
              <w:jc w:val="center"/>
              <w:ind w:left="1402"/>
              <w:spacing w:after="0"/>
              <w:rPr>
                <w:sz w:val="20"/>
                <w:szCs w:val="20"/>
                <w:color w:val="auto"/>
              </w:rPr>
            </w:pPr>
            <w:r>
              <w:rPr>
                <w:rFonts w:ascii="Times New Roman" w:cs="Times New Roman" w:eastAsia="Times New Roman" w:hAnsi="Times New Roman"/>
                <w:sz w:val="18"/>
                <w:szCs w:val="18"/>
                <w:b w:val="1"/>
                <w:bCs w:val="1"/>
                <w:color w:val="auto"/>
                <w:w w:val="96"/>
              </w:rPr>
              <w:t>80112-3405</w:t>
            </w:r>
          </w:p>
        </w:tc>
      </w:tr>
      <w:tr>
        <w:trPr>
          <w:trHeight w:val="178"/>
        </w:trPr>
        <w:tc>
          <w:tcPr>
            <w:tcW w:w="5060" w:type="dxa"/>
            <w:vAlign w:val="bottom"/>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520" w:type="dxa"/>
            <w:vAlign w:val="bottom"/>
          </w:tcPr>
          <w:p>
            <w:pPr>
              <w:jc w:val="center"/>
              <w:ind w:left="138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w w:val="99"/>
              </w:rPr>
              <w:t>☐</w:t>
            </w:r>
          </w:p>
        </w:tc>
        <w:tc>
          <w:tcPr>
            <w:tcW w:w="2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 2013, the registrant had 116,928,653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10"/>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7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40" w:type="dxa"/>
            <w:vAlign w:val="bottom"/>
            <w:gridSpan w:val="6"/>
          </w:tcPr>
          <w:p>
            <w:pPr>
              <w:jc w:val="center"/>
              <w:ind w:right="4800"/>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280" w:type="dxa"/>
            <w:vAlign w:val="bottom"/>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3160" w:type="dxa"/>
            <w:vAlign w:val="bottom"/>
            <w:gridSpan w:val="10"/>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484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Balance Sheets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Unaudited Condensed Statements of Income</w:t>
              </w:r>
            </w:hyperlink>
          </w:p>
        </w:tc>
        <w:tc>
          <w:tcPr>
            <w:tcW w:w="64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Unaudited Condensed Statements of Comprehensive Income</w:t>
              </w:r>
            </w:hyperlink>
          </w:p>
        </w:tc>
        <w:tc>
          <w:tcPr>
            <w:tcW w:w="53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Statements of Cash Flows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Condensed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Quantitative and Qualitative Disclosures about Market Risk</w:t>
              </w:r>
            </w:hyperlink>
          </w:p>
        </w:tc>
        <w:tc>
          <w:tcPr>
            <w:tcW w:w="2080" w:type="dxa"/>
            <w:vAlign w:val="bottom"/>
            <w:tcBorders>
              <w:top w:val="single" w:sz="8" w:color="0000EE"/>
            </w:tcBorders>
            <w:gridSpan w:val="7"/>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7"/>
          </w:tcPr>
          <w:p>
            <w:pPr>
              <w:jc w:val="center"/>
              <w:ind w:right="4440"/>
              <w:spacing w:after="0"/>
              <w:rPr>
                <w:rFonts w:ascii="Times New Roman" w:cs="Times New Roman" w:eastAsia="Times New Roman" w:hAnsi="Times New Roman"/>
                <w:sz w:val="18"/>
                <w:szCs w:val="18"/>
                <w:b w:val="1"/>
                <w:bCs w:val="1"/>
                <w:color w:val="0000EE"/>
                <w:w w:val="94"/>
              </w:rPr>
            </w:pPr>
            <w:hyperlink w:anchor="page28">
              <w:r>
                <w:rPr>
                  <w:rFonts w:ascii="Times New Roman" w:cs="Times New Roman" w:eastAsia="Times New Roman" w:hAnsi="Times New Roman"/>
                  <w:sz w:val="18"/>
                  <w:szCs w:val="18"/>
                  <w:b w:val="1"/>
                  <w:bCs w:val="1"/>
                  <w:color w:val="0000EE"/>
                  <w:w w:val="94"/>
                </w:rPr>
                <w:t>PART II</w:t>
              </w:r>
            </w:hyperlink>
          </w:p>
        </w:tc>
        <w:tc>
          <w:tcPr>
            <w:tcW w:w="280" w:type="dxa"/>
            <w:vAlign w:val="bottom"/>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15"/>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4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Risk Factors</w:t>
              </w:r>
            </w:hyperlink>
          </w:p>
        </w:tc>
        <w:tc>
          <w:tcPr>
            <w:tcW w:w="400" w:type="dxa"/>
            <w:vAlign w:val="bottom"/>
            <w:tcBorders>
              <w:top w:val="single" w:sz="8" w:color="0000EE"/>
            </w:tcBorders>
            <w:gridSpan w:val="2"/>
          </w:tcPr>
          <w:p>
            <w:pPr>
              <w:spacing w:after="0"/>
              <w:rPr>
                <w:sz w:val="24"/>
                <w:szCs w:val="24"/>
                <w:color w:val="auto"/>
              </w:rPr>
            </w:pPr>
          </w:p>
        </w:tc>
        <w:tc>
          <w:tcPr>
            <w:tcW w:w="87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Defaults Upon Senior Securities</w:t>
              </w:r>
            </w:hyperlink>
          </w:p>
        </w:tc>
        <w:tc>
          <w:tcPr>
            <w:tcW w:w="1960" w:type="dxa"/>
            <w:vAlign w:val="bottom"/>
            <w:tcBorders>
              <w:top w:val="single" w:sz="8" w:color="0000EE"/>
            </w:tcBorders>
            <w:gridSpan w:val="6"/>
          </w:tcPr>
          <w:p>
            <w:pPr>
              <w:spacing w:after="0"/>
              <w:rPr>
                <w:sz w:val="24"/>
                <w:szCs w:val="24"/>
                <w:color w:val="auto"/>
              </w:rPr>
            </w:pPr>
          </w:p>
        </w:tc>
        <w:tc>
          <w:tcPr>
            <w:tcW w:w="58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Mine Safety Disclosures</w:t>
              </w:r>
            </w:hyperlink>
          </w:p>
        </w:tc>
        <w:tc>
          <w:tcPr>
            <w:tcW w:w="83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87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100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28, 2013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 of allowance of $4.8 and $4.5, respectively</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(including $0.2 and $0 to founding members, respectively)</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administrative fees to managing member</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$65.5 and $63.1, respectively</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net of accumulated amortization of $35.6 and $32.5, respectively</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$12.8 and $12.2, respectively</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investment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9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Amounts due to founding members</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Amounts due to managing member</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(including $0.6 and $0.9 to related party affiliates, respectively)</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9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9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MEMBERS’ DEFICIT (including accumulated other comprehensive loss of $19.4 and $21.9 million,</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(460.3)</w:t>
            </w: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90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Three</w:t>
            </w: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52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28,</w:t>
            </w:r>
          </w:p>
        </w:tc>
        <w:tc>
          <w:tcPr>
            <w:tcW w:w="52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29,</w:t>
            </w:r>
          </w:p>
        </w:tc>
      </w:tr>
      <w:tr>
        <w:trPr>
          <w:trHeight w:val="165"/>
        </w:trPr>
        <w:tc>
          <w:tcPr>
            <w:tcW w:w="2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Advertising (including revenue from founding members of $8.9 and $9.8, respectively)</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Fathom Events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20" w:type="dxa"/>
            <w:vAlign w:val="bottom"/>
          </w:tcPr>
          <w:p>
            <w:pPr>
              <w:spacing w:after="0"/>
              <w:rPr>
                <w:sz w:val="20"/>
                <w:szCs w:val="20"/>
                <w:color w:val="auto"/>
              </w:rPr>
            </w:pPr>
          </w:p>
        </w:tc>
        <w:tc>
          <w:tcPr>
            <w:tcW w:w="8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Advertising operating costs (including $0.6 and $0.6 to related party affiliates, respectively)</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Fathom Events operating costs (including $0.9 and $2.0 to founding members, respectively)</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Network costs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Theatre access fees—founding members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and marketing costs (including $0.2 and $0.2 to founding members, respectively)</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Administrative fee—managing member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20" w:type="dxa"/>
            <w:vAlign w:val="bottom"/>
          </w:tcPr>
          <w:p>
            <w:pPr>
              <w:spacing w:after="0"/>
              <w:rPr>
                <w:sz w:val="20"/>
                <w:szCs w:val="20"/>
                <w:color w:val="auto"/>
              </w:rPr>
            </w:pPr>
          </w:p>
        </w:tc>
        <w:tc>
          <w:tcPr>
            <w:tcW w:w="8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2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on borrowings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derivative fair value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terminated derivatives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0" w:type="dxa"/>
            <w:vAlign w:val="bottom"/>
          </w:tcPr>
          <w:p>
            <w:pPr>
              <w:spacing w:after="0"/>
              <w:rPr>
                <w:sz w:val="20"/>
                <w:szCs w:val="20"/>
                <w:color w:val="auto"/>
              </w:rPr>
            </w:pPr>
          </w:p>
        </w:tc>
        <w:tc>
          <w:tcPr>
            <w:tcW w:w="8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0" w:type="dxa"/>
            <w:vAlign w:val="bottom"/>
          </w:tcPr>
          <w:p>
            <w:pPr>
              <w:spacing w:after="0"/>
              <w:rPr>
                <w:sz w:val="20"/>
                <w:szCs w:val="20"/>
                <w:color w:val="auto"/>
              </w:rPr>
            </w:pPr>
          </w:p>
        </w:tc>
        <w:tc>
          <w:tcPr>
            <w:tcW w:w="82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160" w:type="dxa"/>
            <w:vAlign w:val="bottom"/>
            <w:gridSpan w:val="4"/>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28,</w:t>
            </w:r>
          </w:p>
        </w:tc>
        <w:tc>
          <w:tcPr>
            <w:tcW w:w="10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 March 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5.6</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terminated derivatives, net of tax of $0 and $0, respectively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unrealized gain on cash flow hedges, net of tax of $0 and $0, respectively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w w:val="98"/>
              </w:rPr>
              <w:t>March 28, 2013</w:t>
            </w: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March 29,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unrealized loss (gain) on hedging transactions</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21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Amounts due to founding members and managing member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21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from founding members for intangible assets</w:t>
            </w:r>
          </w:p>
        </w:tc>
        <w:tc>
          <w:tcPr>
            <w:tcW w:w="120" w:type="dxa"/>
            <w:vAlign w:val="bottom"/>
          </w:tcPr>
          <w:p>
            <w:pPr>
              <w:spacing w:after="0"/>
              <w:rPr>
                <w:sz w:val="18"/>
                <w:szCs w:val="18"/>
                <w:color w:val="auto"/>
              </w:rPr>
            </w:pPr>
          </w:p>
        </w:tc>
        <w:tc>
          <w:tcPr>
            <w:tcW w:w="210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intangible assets from an affiliate</w:t>
            </w:r>
          </w:p>
        </w:tc>
        <w:tc>
          <w:tcPr>
            <w:tcW w:w="1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Distributions to founding members and managing member</w:t>
            </w:r>
          </w:p>
        </w:tc>
        <w:tc>
          <w:tcPr>
            <w:tcW w:w="120" w:type="dxa"/>
            <w:vAlign w:val="bottom"/>
          </w:tcPr>
          <w:p>
            <w:pPr>
              <w:spacing w:after="0"/>
              <w:rPr>
                <w:sz w:val="18"/>
                <w:szCs w:val="18"/>
                <w:color w:val="auto"/>
              </w:rPr>
            </w:pPr>
          </w:p>
        </w:tc>
        <w:tc>
          <w:tcPr>
            <w:tcW w:w="21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 settlement for share-based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Pr>
          <w:p>
            <w:pPr>
              <w:spacing w:after="0"/>
              <w:rPr>
                <w:sz w:val="19"/>
                <w:szCs w:val="19"/>
                <w:color w:val="auto"/>
              </w:rPr>
            </w:pPr>
          </w:p>
        </w:tc>
        <w:tc>
          <w:tcPr>
            <w:tcW w:w="21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2013</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2012</w:t>
            </w: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an intangible asset with equity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76"/>
              <w:spacing w:after="0"/>
              <w:rPr>
                <w:sz w:val="20"/>
                <w:szCs w:val="20"/>
                <w:color w:val="auto"/>
              </w:rPr>
            </w:pPr>
            <w:r>
              <w:rPr>
                <w:rFonts w:ascii="Times New Roman" w:cs="Times New Roman" w:eastAsia="Times New Roman" w:hAnsi="Times New Roman"/>
                <w:sz w:val="18"/>
                <w:szCs w:val="18"/>
                <w:color w:val="auto"/>
                <w:w w:val="95"/>
              </w:rPr>
              <w:t>69.0</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in cost method investment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11.2</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r>
      <w:tr>
        <w:trPr>
          <w:trHeight w:val="228"/>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9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National CineMedia, LLC (“NCM LLC” or “the Company”) commenced operations on April 1, 2005 and is owned by National CineMedia, Inc. (“NCM, Inc.”, “manager” or “managing member”), American Multi-Cinema, Inc. (“AMC”), a wholly owned subsidiary of AMC Entertainment, Inc. (“AMCE”), Regal Cinemas, Inc., a wholly owned subsidiary of Regal Entertainment Group (“Regal”) and Cinemark USA, Inc. (“Cinemark USA”), a wholly owned subsidiary of Cinemark Holdings, Inc. (“Cinemark”). NCM LLC operates the largest digital in-theatre network in North America, allowing NCM LLC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4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of March 28, 2013, NCM LLC had 116,928,653 common membership units outstanding, of which 54,861,063 ( 46.9%) were owned by NCM, Inc., 24,332,152 (20.8%) were owned by Regal, 19,052,770 (16.3%) were owned by AMC and 18,682,668 (16.0%) were owned by Cinemark. The membership units held by the founding members are exchangeable into NCM, Inc. common stock on a one-for-one basis.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the founding members or to support events staged for NCM’s major advertising clients.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27, 2012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27, 2012.</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3-</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w:t>
      </w:r>
    </w:p>
    <w:p>
      <w:pPr>
        <w:spacing w:after="0" w:line="135" w:lineRule="exact"/>
        <w:rPr>
          <w:sz w:val="20"/>
          <w:szCs w:val="20"/>
          <w:color w:val="auto"/>
        </w:rPr>
      </w:pPr>
    </w:p>
    <w:p>
      <w:pPr>
        <w:ind w:right="2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interest rate swaps. Actual results could differ from those estimates.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Company’s annual financial statements included in Form 10-K filed for the fiscal year ended December 27, 2012 contain a complete discussion of the Company’s significant accounting policies.</w:t>
      </w:r>
    </w:p>
    <w:p>
      <w:pPr>
        <w:spacing w:after="0" w:line="116" w:lineRule="exact"/>
        <w:rPr>
          <w:sz w:val="20"/>
          <w:szCs w:val="20"/>
          <w:color w:val="auto"/>
        </w:rPr>
      </w:pPr>
    </w:p>
    <w:p>
      <w:pPr>
        <w:jc w:val="both"/>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The Company derives revenue principally from advertising revenue, which includes on-screen advertising, lobby network (LEN)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lobby promotions and advertising on entertainment websites and mobile applications owned by other companies. The Company also derived approximately 10.3% of its revenue in the first quarter of 2013 from Fathom Events.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3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On-screen advertising consists of national and local advertising. National advertising is sold on a cost per thousand (“CPM”) basis, while local and regional advertising is sold on a per-screen, per-week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either run additional advertising to deliver the contracted impressions at a later date, which the Company refers to as a make-good provision, or the Company will refund the fee related to the undelivered impressions. The Company defers the revenue associated with the make-good until the advertising airs to the theatre attendance specified in the advertising contract. The make-good provision is recorded within accrued expenses in the Condensed Balance Sheets. Deferred revenue consists of payments received in advance of being earned and is classified as a current liability as it is expected to be earned within the next twelve months. Fathom events revenue is recognized in the period in which the event is held.</w:t>
      </w:r>
    </w:p>
    <w:p>
      <w:pPr>
        <w:spacing w:after="0" w:line="135"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Segment Reporting</w:t>
      </w:r>
      <w:r>
        <w:rPr>
          <w:rFonts w:ascii="Times New Roman" w:cs="Times New Roman" w:eastAsia="Times New Roman" w:hAnsi="Times New Roman"/>
          <w:sz w:val="18"/>
          <w:szCs w:val="18"/>
          <w:color w:val="auto"/>
        </w:rPr>
        <w:t>— Advertising is the principal business activity of the Company and is the Company’s reportable segment under the requirements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Fathom Events is an operating segment under ASC 280, but does not meet the annual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Concentration of Credit Risk and Significant Customers</w:t>
      </w:r>
      <w:r>
        <w:rPr>
          <w:rFonts w:ascii="Times New Roman" w:cs="Times New Roman" w:eastAsia="Times New Roman" w:hAnsi="Times New Roman"/>
          <w:sz w:val="16"/>
          <w:szCs w:val="16"/>
          <w:color w:val="auto"/>
        </w:rPr>
        <w:t>— Bad debts are provided for using the allowance for doubtful accounts method based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w:t>
      </w:r>
    </w:p>
    <w:p>
      <w:pPr>
        <w:spacing w:after="0" w:line="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As of March 28, 2013, there were two advertising agency groups through which the Company sources national advertising revenue representing approximately 11.7% and 10.8%, respectively of the Company’s outstanding gross receivable balance. As of December 27, 2012, there were no advertising agency groups through which the Company sources national advertising revenue representing more than 10% of the Company’s outstanding gross receivable balance. During the three months ended March 28, 2013 and March 29, 2012, the Company had no customers which accounted for more than 10% of revenue.</w:t>
      </w:r>
    </w:p>
    <w:p>
      <w:pPr>
        <w:spacing w:after="0" w:line="105" w:lineRule="exact"/>
        <w:rPr>
          <w:sz w:val="20"/>
          <w:szCs w:val="20"/>
          <w:color w:val="auto"/>
        </w:rPr>
      </w:pPr>
    </w:p>
    <w:p>
      <w:pPr>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NCM LLC’s fiscal year 2007 and 2008 tax returns are currently under examination by the Internal Revenue Service (“IRS”).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NCM LLC received a Notice of Proposed Adjustment (“NOPA”) for the calendar year 2007 examination primarily related to characterization of the cash received by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founding members at or around the date of NCM Inc.’s initial public offering (“IPO”). As NCM LLC is a pass-through entity for federal income tax purposes, there will be no direct impact to the financial statements of NCM LLC.</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NCM, Inc. submitted its written letter of protest to the IRS in July 2012 and believes the IRS’ position lacks merit and intends to dispute the adjustments through the administrative appeals process. In December 2012, NCM LLC was notified by the IRS that its case had formally been transferred from examination to administrative appeals. An appeals conference has been scheduled for May 14, 2013.</w:t>
      </w:r>
    </w:p>
    <w:p>
      <w:pPr>
        <w:spacing w:after="0" w:line="109"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—NCM, Inc. issues two types of share-based compensation awards: stock options and non-vested (restricted) stock.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vests upon the achievement of NCM, Inc. performance measures and service conditions or only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NCM, Inc. adjusts the expense recognized to reflect the actual vested shares following the resolution of the performance conditions. Dividends are accrued quarterly on all unvested restricted stock and are only paid when the shares vest. Compensation cost of stock options is based on the estimated grant date fair value using the Black-Scholes option pricing model, which requires that NCM, Inc. make estimates of various factors. Under the fair value recognition provisions of ASC 718 Compensation – Stock Compensation, the Company recognizes share-based compensation net of an estimated forfeiture rate, and therefore only recognizes compensation cost for those shares expected to vest over the requisite service period of the award.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For the three months ended March 28, 2013, NCM, Inc. acquired 374,804 units, due to the vesting of restricted stock and exercise of stock options and contributed $0.6 million to NCM LLC for the three months ended March 28, 2013.</w:t>
      </w:r>
    </w:p>
    <w:p>
      <w:pPr>
        <w:spacing w:after="0" w:line="145"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In February 2013, the Financial Accounting Standards Board (“FASB”) issued Accounting Standards Update 2013-02, “Other Comprehensive Income (Topic 220)”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This accounting standard update is effective prospectively for annual and interim periods beginning after December 15, 2012. Refer to </w:t>
      </w:r>
      <w:r>
        <w:rPr>
          <w:rFonts w:ascii="Times New Roman" w:cs="Times New Roman" w:eastAsia="Times New Roman" w:hAnsi="Times New Roman"/>
          <w:sz w:val="16"/>
          <w:szCs w:val="16"/>
          <w:i w:val="1"/>
          <w:iCs w:val="1"/>
          <w:color w:val="auto"/>
        </w:rPr>
        <w:t>Note 7 – Derivative Instruments and Hedging Activities</w:t>
      </w:r>
      <w:r>
        <w:rPr>
          <w:rFonts w:ascii="Times New Roman" w:cs="Times New Roman" w:eastAsia="Times New Roman" w:hAnsi="Times New Roman"/>
          <w:sz w:val="16"/>
          <w:szCs w:val="16"/>
          <w:color w:val="auto"/>
        </w:rPr>
        <w:t xml:space="preserve"> for the Company’s disclosures.</w:t>
      </w:r>
    </w:p>
    <w:p>
      <w:pPr>
        <w:spacing w:after="0" w:line="11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INTANGIBLE ASSETS</w:t>
      </w:r>
    </w:p>
    <w:p>
      <w:pPr>
        <w:spacing w:after="0" w:line="92"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three months ended March 28, 2013 and March 29, 2012, NCM LLC issued 4,536,014 and 651,612 common membership units to its founding members, respectively, for the rights to exclusive access to net new theatre screens and attendees added by the founding members to NCM LLC’s network during the previous year. NCM LLC recorded a net intangible asset of $69.0 million and $9.9 million during the first quarter of 2013 and 2012, respectively, as a result of the common unit adjustment. In lieu of surrendering 16,727 units in 2012, AMC paid NCM LLC $0.2 million in the first quarter of 2012.</w:t>
      </w:r>
    </w:p>
    <w:p>
      <w:pPr>
        <w:spacing w:after="0" w:line="11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RELATED-PARTY TRANSACTIONS</w:t>
      </w:r>
    </w:p>
    <w:p>
      <w:pPr>
        <w:spacing w:after="0" w:line="88"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Founding Member and Managing Member Transactions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is a summary of the transactions between the Company and the founding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managing member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0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Included in the Condensed Statements of Income:</w:t>
            </w:r>
          </w:p>
        </w:tc>
        <w:tc>
          <w:tcPr>
            <w:tcW w:w="6520" w:type="dxa"/>
            <w:vAlign w:val="bottom"/>
            <w:vMerge w:val="restart"/>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28,</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29,</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auto"/>
            </w:tcBorders>
            <w:vMerge w:val="continue"/>
          </w:tcPr>
          <w:p>
            <w:pPr>
              <w:spacing w:after="0"/>
              <w:rPr>
                <w:sz w:val="14"/>
                <w:szCs w:val="14"/>
                <w:color w:val="auto"/>
              </w:rPr>
            </w:pPr>
          </w:p>
        </w:tc>
        <w:tc>
          <w:tcPr>
            <w:tcW w:w="6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9"/>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Theatre access fee </w:t>
            </w:r>
            <w:r>
              <w:rPr>
                <w:rFonts w:ascii="Times New Roman" w:cs="Times New Roman" w:eastAsia="Times New Roman" w:hAnsi="Times New Roman"/>
                <w:sz w:val="18"/>
                <w:szCs w:val="18"/>
                <w:i w:val="1"/>
                <w:iCs w:val="1"/>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Revenue share from Fathom Events (included in Fathom Events operating costs) </w:t>
            </w:r>
            <w:r>
              <w:rPr>
                <w:rFonts w:ascii="Times New Roman" w:cs="Times New Roman" w:eastAsia="Times New Roman" w:hAnsi="Times New Roman"/>
                <w:sz w:val="18"/>
                <w:szCs w:val="18"/>
                <w:i w:val="1"/>
                <w:iCs w:val="1"/>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Purchase of movie tickets and concession products (included in Fathom Events operating costs) </w:t>
            </w:r>
            <w:r>
              <w:rPr>
                <w:rFonts w:ascii="Times New Roman" w:cs="Times New Roman" w:eastAsia="Times New Roman" w:hAnsi="Times New Roman"/>
                <w:sz w:val="18"/>
                <w:szCs w:val="18"/>
                <w:i w:val="1"/>
                <w:iCs w:val="1"/>
                <w:color w:val="auto"/>
              </w:rPr>
              <w:t>(4)</w:t>
            </w:r>
          </w:p>
        </w:tc>
        <w:tc>
          <w:tcPr>
            <w:tcW w:w="10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Purchase of movie tickets and concession products (included in Selling and marketing costs) </w:t>
            </w:r>
            <w:r>
              <w:rPr>
                <w:rFonts w:ascii="Times New Roman" w:cs="Times New Roman" w:eastAsia="Times New Roman" w:hAnsi="Times New Roman"/>
                <w:sz w:val="18"/>
                <w:szCs w:val="18"/>
                <w:i w:val="1"/>
                <w:iCs w:val="1"/>
                <w:color w:val="auto"/>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Administrative fee—managing member </w:t>
            </w:r>
            <w:r>
              <w:rPr>
                <w:rFonts w:ascii="Times New Roman" w:cs="Times New Roman" w:eastAsia="Times New Roman" w:hAnsi="Times New Roman"/>
                <w:sz w:val="18"/>
                <w:szCs w:val="18"/>
                <w:i w:val="1"/>
                <w:iCs w:val="1"/>
                <w:color w:val="auto"/>
              </w:rPr>
              <w:t>(5)</w:t>
            </w:r>
          </w:p>
        </w:tc>
        <w:tc>
          <w:tcPr>
            <w:tcW w:w="1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100" w:hanging="452"/>
        <w:spacing w:after="0" w:line="255" w:lineRule="auto"/>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March 28, 2013 and March 29, 2012,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right="80" w:hanging="452"/>
        <w:spacing w:after="0" w:line="250" w:lineRule="auto"/>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These payments are at rates (percentage of event revenue) included in the ESAs based on the nature of the event.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Used primarily for marketing to NCM LLC’s advertising clients and marketing resale to Fathom Events customers.</w:t>
      </w:r>
    </w:p>
    <w:p>
      <w:pPr>
        <w:spacing w:after="0" w:line="21" w:lineRule="exact"/>
        <w:rPr>
          <w:rFonts w:ascii="Times New Roman" w:cs="Times New Roman" w:eastAsia="Times New Roman" w:hAnsi="Times New Roman"/>
          <w:sz w:val="18"/>
          <w:szCs w:val="18"/>
          <w:i w:val="1"/>
          <w:iCs w:val="1"/>
          <w:color w:val="auto"/>
        </w:rPr>
      </w:pPr>
    </w:p>
    <w:p>
      <w:pPr>
        <w:jc w:val="both"/>
        <w:ind w:left="460" w:right="160" w:hanging="452"/>
        <w:spacing w:after="0" w:line="253"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Executive Vice President and Chief Financial Officer, Executive Vice President and Chief Operations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Included in the Condensed Balance Sheets:</w:t>
            </w:r>
          </w:p>
        </w:tc>
        <w:tc>
          <w:tcPr>
            <w:tcW w:w="430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27,</w:t>
            </w:r>
          </w:p>
        </w:tc>
        <w:tc>
          <w:tcPr>
            <w:tcW w:w="0" w:type="dxa"/>
            <w:vAlign w:val="bottom"/>
          </w:tcPr>
          <w:p>
            <w:pPr>
              <w:spacing w:after="0"/>
              <w:rPr>
                <w:sz w:val="1"/>
                <w:szCs w:val="1"/>
                <w:color w:val="auto"/>
              </w:rPr>
            </w:pPr>
          </w:p>
        </w:tc>
      </w:tr>
      <w:tr>
        <w:trPr>
          <w:trHeight w:val="172"/>
        </w:trPr>
        <w:tc>
          <w:tcPr>
            <w:tcW w:w="2640" w:type="dxa"/>
            <w:vAlign w:val="bottom"/>
            <w:tcBorders>
              <w:bottom w:val="single" w:sz="8" w:color="auto"/>
            </w:tcBorders>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4"/>
              </w:rPr>
              <w:t>As of March 28, 2013</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Prepaid administrative fees to managing member </w:t>
            </w:r>
            <w:r>
              <w:rPr>
                <w:rFonts w:ascii="Times New Roman" w:cs="Times New Roman" w:eastAsia="Times New Roman" w:hAnsi="Times New Roman"/>
                <w:sz w:val="18"/>
                <w:szCs w:val="18"/>
                <w:i w:val="1"/>
                <w:iCs w:val="1"/>
                <w:color w:val="auto"/>
              </w:rPr>
              <w:t>(1)</w:t>
            </w:r>
          </w:p>
        </w:tc>
        <w:tc>
          <w:tcPr>
            <w:tcW w:w="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1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Integration payments (included in Intangible assets) </w:t>
            </w:r>
            <w:r>
              <w:rPr>
                <w:rFonts w:ascii="Times New Roman" w:cs="Times New Roman" w:eastAsia="Times New Roman" w:hAnsi="Times New Roman"/>
                <w:sz w:val="18"/>
                <w:szCs w:val="18"/>
                <w:i w:val="1"/>
                <w:iCs w:val="1"/>
                <w:color w:val="auto"/>
              </w:rPr>
              <w:t>(2)</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Purchase of movie tickets and concession products (included in Prepaid expenses) </w:t>
            </w:r>
            <w:r>
              <w:rPr>
                <w:rFonts w:ascii="Times New Roman" w:cs="Times New Roman" w:eastAsia="Times New Roman" w:hAnsi="Times New Roman"/>
                <w:sz w:val="18"/>
                <w:szCs w:val="18"/>
                <w:i w:val="1"/>
                <w:iCs w:val="1"/>
                <w:color w:val="auto"/>
              </w:rPr>
              <w:t>(3)</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5"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ind w:left="460" w:right="300" w:hanging="452"/>
        <w:spacing w:after="0" w:line="250"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December 2012, AMC acquired a portion of Rave Cinemas, LLC (“Rave”). Rave had a pre-existing advertising agreement for some of the theatres it owned and, as a result, AMC will make integration payments pursuant to the ESAs on a quarterly basis in arrears in accordance with certain run-out provisions.</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Used primarily for marketing to NCM LLC’s advertising clients and marketing resale to Fathom Events customers.</w:t>
      </w:r>
    </w:p>
    <w:p>
      <w:pPr>
        <w:spacing w:after="0" w:line="159"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Also, pursuant to the terms of the NCM LLC Operating Agreement in place since the completion of NCM, Inc.’s Initial Public Offering (“IPO”), NCM LLC is required to make mandatory distributions on a proportionate basis to its members of available cash, as defined in the NCM LLC Operating Agreement, on a quarterly basis in arrears. Mandatory distributions for the three months ended March 28, 2013 and March 29, 2012 are as follows (in millions):</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186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28, 2013</w:t>
            </w:r>
          </w:p>
        </w:tc>
        <w:tc>
          <w:tcPr>
            <w:tcW w:w="35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29, 2012</w:t>
            </w: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AMC</w:t>
            </w:r>
          </w:p>
        </w:tc>
        <w:tc>
          <w:tcPr>
            <w:tcW w:w="1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Cinemark</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Regal</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r>
      <w:tr>
        <w:trPr>
          <w:trHeight w:val="22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NCM, Inc.</w:t>
            </w:r>
          </w:p>
        </w:tc>
        <w:tc>
          <w:tcPr>
            <w:tcW w:w="10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16"/>
        </w:trPr>
        <w:tc>
          <w:tcPr>
            <w:tcW w:w="1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320" w:type="dxa"/>
            <w:vAlign w:val="bottom"/>
            <w:gridSpan w:val="2"/>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60" w:firstLine="456"/>
        <w:spacing w:after="0" w:line="301" w:lineRule="auto"/>
        <w:rPr>
          <w:sz w:val="20"/>
          <w:szCs w:val="20"/>
          <w:color w:val="auto"/>
        </w:rPr>
      </w:pPr>
      <w:r>
        <w:rPr>
          <w:rFonts w:ascii="Times New Roman" w:cs="Times New Roman" w:eastAsia="Times New Roman" w:hAnsi="Times New Roman"/>
          <w:sz w:val="16"/>
          <w:szCs w:val="16"/>
          <w:color w:val="auto"/>
        </w:rPr>
        <w:t>The mandatory distributions of available cash by NCM LLC to its founding members for the three months ended March 28, 2013 of $8.0 million is included in amounts due to founding members on the Condensed Balance Sheets as of March 28, 2013 and will be made in the second quarter of 2013. The mandatory distributions of available cash by NCM LLC to its managing member for the three months ended March 28, 2013 of $7.1 million is included in amounts due to managing member on the Condensed Balance Sheets as of March 28, 2013 and will be made in the second quarter of 2013.</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 founding members as of March 28, 2013 were comprised of the following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9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AMC</w:t>
            </w:r>
          </w:p>
        </w:tc>
        <w:tc>
          <w:tcPr>
            <w:tcW w:w="11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2"/>
              </w:rPr>
              <w:t>Cinemark</w:t>
            </w:r>
          </w:p>
        </w:tc>
        <w:tc>
          <w:tcPr>
            <w:tcW w:w="9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Regal</w:t>
            </w:r>
          </w:p>
        </w:tc>
        <w:tc>
          <w:tcPr>
            <w:tcW w:w="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8"/>
                <w:szCs w:val="18"/>
                <w:color w:val="auto"/>
              </w:rPr>
            </w:pPr>
          </w:p>
        </w:tc>
        <w:tc>
          <w:tcPr>
            <w:tcW w:w="9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$ 8.2</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Amounts due to founding members as of December 27, 2012 were comprised of the following (in millions):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89"/>
              </w:rPr>
              <w:t>AMC</w:t>
            </w:r>
          </w:p>
        </w:tc>
        <w:tc>
          <w:tcPr>
            <w:tcW w:w="12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60" w:type="dxa"/>
            <w:vAlign w:val="bottom"/>
          </w:tcPr>
          <w:p>
            <w:pPr>
              <w:spacing w:after="0"/>
              <w:rPr>
                <w:sz w:val="24"/>
                <w:szCs w:val="24"/>
                <w:color w:val="auto"/>
              </w:rPr>
            </w:pPr>
          </w:p>
        </w:tc>
        <w:tc>
          <w:tcPr>
            <w:tcW w:w="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Regal</w:t>
            </w:r>
          </w:p>
        </w:tc>
        <w:tc>
          <w:tcPr>
            <w:tcW w:w="4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$ 0.6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$ 0.9</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9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 net</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$ 5.8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$ 7.5</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19.8</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to/from managing member were comprised of the following (in millions):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31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March 28, 2013</w:t>
            </w:r>
          </w:p>
        </w:tc>
        <w:tc>
          <w:tcPr>
            <w:tcW w:w="21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27, 2012</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1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Affiliates </w:t>
      </w:r>
      <w:r>
        <w:rPr>
          <w:rFonts w:ascii="Times New Roman" w:cs="Times New Roman" w:eastAsia="Times New Roman" w:hAnsi="Times New Roman"/>
          <w:sz w:val="18"/>
          <w:szCs w:val="18"/>
          <w:color w:val="auto"/>
        </w:rPr>
        <w:t>— NCM LLC enters into network affiliate agreements and Fathom agreements with network affiliates for NCM LLC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2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Following is a summary of advertising operating costs in the Condensed Statements of Income between the Company and its related party affiliates (in millions):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Party Affiliate</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28, 2013</w:t>
            </w:r>
          </w:p>
        </w:tc>
        <w:tc>
          <w:tcPr>
            <w:tcW w:w="34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29, 2012</w:t>
            </w:r>
          </w:p>
        </w:tc>
      </w:tr>
      <w:tr>
        <w:trPr>
          <w:trHeight w:val="203"/>
        </w:trPr>
        <w:tc>
          <w:tcPr>
            <w:tcW w:w="1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Starplex </w:t>
            </w:r>
            <w:r>
              <w:rPr>
                <w:rFonts w:ascii="Times New Roman" w:cs="Times New Roman" w:eastAsia="Times New Roman" w:hAnsi="Times New Roman"/>
                <w:sz w:val="18"/>
                <w:szCs w:val="18"/>
                <w:i w:val="1"/>
                <w:iCs w:val="1"/>
                <w:color w:val="auto"/>
              </w:rPr>
              <w:t>(1)</w:t>
            </w:r>
          </w:p>
        </w:tc>
        <w:tc>
          <w:tcPr>
            <w:tcW w:w="1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(2)</w:t>
            </w:r>
          </w:p>
        </w:tc>
        <w:tc>
          <w:tcPr>
            <w:tcW w:w="17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180" w:type="dxa"/>
            <w:vAlign w:val="bottom"/>
            <w:gridSpan w:val="2"/>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24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Following is a summary of the accounts payable balance between the Company and its related party affiliates included in the Condensed Balance Sheets (in millions):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Party Affiliate</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28, 2013</w:t>
            </w:r>
          </w:p>
        </w:tc>
        <w:tc>
          <w:tcPr>
            <w:tcW w:w="27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27, 2012</w:t>
            </w:r>
          </w:p>
        </w:tc>
      </w:tr>
      <w:tr>
        <w:trPr>
          <w:trHeight w:val="203"/>
        </w:trPr>
        <w:tc>
          <w:tcPr>
            <w:tcW w:w="1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Starplex </w:t>
            </w:r>
            <w:r>
              <w:rPr>
                <w:rFonts w:ascii="Times New Roman" w:cs="Times New Roman" w:eastAsia="Times New Roman" w:hAnsi="Times New Roman"/>
                <w:sz w:val="18"/>
                <w:szCs w:val="18"/>
                <w:i w:val="1"/>
                <w:iCs w:val="1"/>
                <w:color w:val="auto"/>
              </w:rPr>
              <w:t>(1)</w:t>
            </w:r>
          </w:p>
        </w:tc>
        <w:tc>
          <w:tcPr>
            <w:tcW w:w="3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(2)</w:t>
            </w:r>
          </w:p>
        </w:tc>
        <w:tc>
          <w:tcPr>
            <w:tcW w:w="33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Starplex Operating L.P. (“Starplex”) is an affiliate of Cinemark.</w:t>
      </w:r>
    </w:p>
    <w:p>
      <w:pPr>
        <w:spacing w:after="0" w:line="21" w:lineRule="exact"/>
        <w:rPr>
          <w:rFonts w:ascii="Times New Roman" w:cs="Times New Roman" w:eastAsia="Times New Roman" w:hAnsi="Times New Roman"/>
          <w:sz w:val="18"/>
          <w:szCs w:val="18"/>
          <w:i w:val="1"/>
          <w:iCs w:val="1"/>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affiliates include Showplex Cinemas, Inc. (“Showplex”), an affiliate of one of NCM, Inc.’s directors, LA Live Cinemas LLC (“LA Live”), an affiliate of Regal, and Texas Cinemas, Corp., an affiliate of one of NCM, Inc.’s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BORROWINGS</w:t>
      </w:r>
    </w:p>
    <w:p>
      <w:pPr>
        <w:spacing w:after="0" w:line="92"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March 28, 2013 and December 27, 2012 and the significant terms of its borrowing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0" w:type="dxa"/>
            <w:vAlign w:val="bottom"/>
            <w:vMerge w:val="restart"/>
          </w:tcPr>
          <w:p>
            <w:pPr>
              <w:spacing w:after="0"/>
              <w:rPr>
                <w:sz w:val="10"/>
                <w:szCs w:val="10"/>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Borrowings ($ in millions)</w:t>
            </w:r>
          </w:p>
        </w:tc>
        <w:tc>
          <w:tcPr>
            <w:tcW w:w="278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27,</w:t>
            </w:r>
          </w:p>
        </w:tc>
        <w:tc>
          <w:tcPr>
            <w:tcW w:w="6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 w:type="dxa"/>
            <w:vAlign w:val="bottom"/>
            <w:vMerge w:val="continue"/>
          </w:tcPr>
          <w:p>
            <w:pPr>
              <w:spacing w:after="0"/>
              <w:rPr>
                <w:sz w:val="13"/>
                <w:szCs w:val="13"/>
                <w:color w:val="auto"/>
              </w:rPr>
            </w:pPr>
          </w:p>
        </w:tc>
        <w:tc>
          <w:tcPr>
            <w:tcW w:w="1580" w:type="dxa"/>
            <w:vAlign w:val="bottom"/>
            <w:tcBorders>
              <w:bottom w:val="single" w:sz="8" w:color="auto"/>
            </w:tcBorders>
            <w:gridSpan w:val="2"/>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12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March 28, 2013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6"/>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Pr>
          <w:p>
            <w:pPr>
              <w:spacing w:after="0"/>
              <w:rPr>
                <w:sz w:val="13"/>
                <w:szCs w:val="13"/>
                <w:color w:val="auto"/>
              </w:rPr>
            </w:pPr>
          </w:p>
        </w:tc>
        <w:tc>
          <w:tcPr>
            <w:tcW w:w="2260" w:type="dxa"/>
            <w:vAlign w:val="bottom"/>
            <w:gridSpan w:val="2"/>
          </w:tcPr>
          <w:p>
            <w:pPr>
              <w:jc w:val="right"/>
              <w:ind w:right="1012"/>
              <w:spacing w:after="0" w:line="152"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96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i w:val="1"/>
                <w:iCs w:val="1"/>
                <w:color w:val="auto"/>
                <w:w w:val="85"/>
              </w:rPr>
              <w:t>(1)</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36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62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November 26, 2017</w:t>
            </w:r>
          </w:p>
        </w:tc>
        <w:tc>
          <w:tcPr>
            <w:tcW w:w="7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i w:val="1"/>
                <w:iCs w:val="1"/>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620" w:type="dxa"/>
            <w:vAlign w:val="bottom"/>
          </w:tcPr>
          <w:p>
            <w:pPr>
              <w:spacing w:after="0"/>
              <w:rPr>
                <w:sz w:val="18"/>
                <w:szCs w:val="18"/>
                <w:color w:val="auto"/>
              </w:rPr>
            </w:pPr>
          </w:p>
        </w:tc>
        <w:tc>
          <w:tcPr>
            <w:tcW w:w="226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November 26, 2019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July 15, 2021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20" w:type="dxa"/>
            <w:vAlign w:val="bottom"/>
          </w:tcPr>
          <w:p>
            <w:pPr>
              <w:spacing w:after="0"/>
              <w:rPr>
                <w:sz w:val="18"/>
                <w:szCs w:val="18"/>
                <w:color w:val="auto"/>
              </w:rPr>
            </w:pPr>
          </w:p>
        </w:tc>
        <w:tc>
          <w:tcPr>
            <w:tcW w:w="226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April 15, 2022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879.0</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r>
              <w:rPr>
                <w:rFonts w:ascii="Times New Roman" w:cs="Times New Roman" w:eastAsia="Times New Roman" w:hAnsi="Times New Roman"/>
                <w:sz w:val="18"/>
                <w:szCs w:val="18"/>
                <w:u w:val="single" w:color="auto"/>
                <w:color w:val="auto"/>
              </w:rPr>
              <w:t>0</w:t>
            </w: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portion of the revolving credit facility has a maturity date of December 31, 2014, as described in further detail below.</w:t>
      </w:r>
    </w:p>
    <w:p>
      <w:pPr>
        <w:spacing w:after="0" w:line="2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and term loan are described below.</w:t>
      </w:r>
    </w:p>
    <w:p>
      <w:pPr>
        <w:spacing w:after="0" w:line="157"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Senior Secured Credit Facility</w:t>
      </w:r>
      <w:r>
        <w:rPr>
          <w:rFonts w:ascii="Times New Roman" w:cs="Times New Roman" w:eastAsia="Times New Roman" w:hAnsi="Times New Roman"/>
          <w:sz w:val="18"/>
          <w:szCs w:val="18"/>
          <w:color w:val="auto"/>
        </w:rPr>
        <w:t>— NCM LLC’s senior secured credit facility consists of a $124.0 million revolving credit facility and a $265.0 million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The obligations under the facility are secured by a lien on substantially all of the assets of NCM LLC.</w:t>
      </w:r>
    </w:p>
    <w:p>
      <w:pPr>
        <w:spacing w:after="0" w:line="35" w:lineRule="exact"/>
        <w:rPr>
          <w:sz w:val="20"/>
          <w:szCs w:val="20"/>
          <w:color w:val="auto"/>
        </w:rPr>
      </w:pPr>
    </w:p>
    <w:p>
      <w:pPr>
        <w:jc w:val="both"/>
        <w:ind w:left="920" w:right="2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The revolving credit facility portion of the Company’s total borrowings is available, subject to certain conditions,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48" w:lineRule="exact"/>
        <w:rPr>
          <w:sz w:val="20"/>
          <w:szCs w:val="20"/>
          <w:color w:val="auto"/>
        </w:rPr>
      </w:pPr>
    </w:p>
    <w:p>
      <w:pPr>
        <w:jc w:val="both"/>
        <w:ind w:left="920" w:right="80"/>
        <w:spacing w:after="0" w:line="296" w:lineRule="auto"/>
        <w:rPr>
          <w:sz w:val="20"/>
          <w:szCs w:val="20"/>
          <w:color w:val="auto"/>
        </w:rPr>
      </w:pPr>
      <w:r>
        <w:rPr>
          <w:rFonts w:ascii="Times New Roman" w:cs="Times New Roman" w:eastAsia="Times New Roman" w:hAnsi="Times New Roman"/>
          <w:sz w:val="16"/>
          <w:szCs w:val="16"/>
          <w:color w:val="auto"/>
        </w:rPr>
        <w:t>NCM LLC’s total availability under the revolving credit facility is $124.0 million. The unused line fee is 0.50% per annum.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NCM LLC to the successor lenders, along with any accrued and unpaid fees and interest, on the revolving credit facility termination date of December 31, 2014. The maturity date applicable to any remaining outstanding principal is November 26, 2017.</w:t>
      </w:r>
    </w:p>
    <w:p>
      <w:pPr>
        <w:spacing w:after="0" w:line="27" w:lineRule="exact"/>
        <w:rPr>
          <w:sz w:val="20"/>
          <w:szCs w:val="20"/>
          <w:color w:val="auto"/>
        </w:rPr>
      </w:pPr>
    </w:p>
    <w:p>
      <w:pPr>
        <w:ind w:left="920" w:right="20"/>
        <w:spacing w:after="0" w:line="27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the Company’s option of either the LIBOR index plus an applicable margin or the base rate (Prime Rate or the Federal Funds Effective Rate, as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920" w:right="40"/>
        <w:spacing w:after="0" w:line="255" w:lineRule="auto"/>
        <w:rPr>
          <w:sz w:val="20"/>
          <w:szCs w:val="20"/>
          <w:color w:val="auto"/>
        </w:rPr>
      </w:pPr>
      <w:r>
        <w:rPr>
          <w:rFonts w:ascii="Times New Roman" w:cs="Times New Roman" w:eastAsia="Times New Roman" w:hAnsi="Times New Roman"/>
          <w:sz w:val="18"/>
          <w:szCs w:val="18"/>
          <w:color w:val="auto"/>
        </w:rPr>
        <w:t>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credit agreement). The applicable margins on the $110.0 million portion of the revolving credit facility are the LIBOR index plus 2.25% or the base rate plus 1.25%. The margins on the $14.0 million portion of the revolving credit facility is the LIBOR index plus 1.50% or the base rate plus 0.50%. The weighted-average interest rate on the outstanding balance on the revolving credit facility as of March 28, 2013 was 1.71%.</w:t>
      </w:r>
    </w:p>
    <w:p>
      <w:pPr>
        <w:spacing w:after="0" w:line="56" w:lineRule="exact"/>
        <w:rPr>
          <w:sz w:val="20"/>
          <w:szCs w:val="20"/>
          <w:color w:val="auto"/>
        </w:rPr>
      </w:pPr>
    </w:p>
    <w:p>
      <w:pPr>
        <w:ind w:left="920" w:right="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Times New Roman" w:cs="Times New Roman" w:eastAsia="Times New Roman" w:hAnsi="Times New Roman"/>
          <w:sz w:val="18"/>
          <w:szCs w:val="18"/>
          <w:color w:val="auto"/>
        </w:rPr>
        <w:t>The term loan bears interest at the Company’s option of either the LIBOR index plus 3.25% or the base rate (Prime Rate or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Effective Rate, as defined in the senior secured credit facility) plus 2.25%. The weighted-average interest rate on the term loan as of March 28, 2013 was 3.46%.</w:t>
      </w:r>
    </w:p>
    <w:p>
      <w:pPr>
        <w:spacing w:after="0" w:line="1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financial ratio requirements, with which the Company was in compliance as of March 28, 2013,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March 28, 2013, the Company’s consolidated net senior secured leverage ratio was 3.0 times (versus the covenant of 6.5 times).</w:t>
      </w:r>
    </w:p>
    <w:p>
      <w:pPr>
        <w:spacing w:after="0" w:line="137"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Senior Unsecured Notes due 2021</w:t>
      </w:r>
      <w:r>
        <w:rPr>
          <w:rFonts w:ascii="Times New Roman" w:cs="Times New Roman" w:eastAsia="Times New Roman" w:hAnsi="Times New Roman"/>
          <w:sz w:val="18"/>
          <w:szCs w:val="18"/>
          <w:color w:val="auto"/>
        </w:rPr>
        <w:t>— On July 5, 2011, NCM LLC completed a private placement of $200.0 million in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7.875% Senior Unsecured Notes (“Senior Unsecured Notes”) for which the registered exchange offering was completed on September 22, 2011. The Senior Unsecured Notes have a maturity date of July 15, 2021 and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March 28, 2013.</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Senior Secured Notes due 2022</w:t>
      </w:r>
      <w:r>
        <w:rPr>
          <w:rFonts w:ascii="Times New Roman" w:cs="Times New Roman" w:eastAsia="Times New Roman" w:hAnsi="Times New Roman"/>
          <w:sz w:val="16"/>
          <w:szCs w:val="16"/>
          <w:color w:val="auto"/>
        </w:rPr>
        <w:t>— On April 27, 2012, NCM LLC completed a private placement of $400.0 million in aggregate principal amount of 6.00%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Secured Notes (the “Senior Secured Notes”) for which the registered exchange offering was completed on November 26, 2012. The Senior Secured Notes have a maturity date of April 15, 2022 and pay interest semi-annually in arrears on April 15 and October 15 of each year, which commenced October 15, 2012.</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covenants with which the Company was in compliance as of March 28,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88"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 The Company is subject to claims and legal actions in the ordinary course of business. The Company believes such claims will not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effect on its financial position, results of operations or cash flows.</w:t>
      </w:r>
    </w:p>
    <w:p>
      <w:pPr>
        <w:spacing w:after="0" w:line="11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Minimum Revenue Guarantees— </w:t>
      </w:r>
      <w:r>
        <w:rPr>
          <w:rFonts w:ascii="Times New Roman" w:cs="Times New Roman" w:eastAsia="Times New Roman" w:hAnsi="Times New Roman"/>
          <w:sz w:val="18"/>
          <w:szCs w:val="18"/>
          <w:color w:val="auto"/>
        </w:rPr>
        <w:t>As part of the network affiliate agreements entered into in the ordinary course of business under which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$44.1 million over the remaining terms of the network affiliate agreements. As of March 28, 2013 and December 27, 2012, the Company had no liabilities recorded for these obligations as such guarantees are less than the expected share of revenue paid to the affiliate.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88" w:lineRule="exact"/>
        <w:rPr>
          <w:sz w:val="20"/>
          <w:szCs w:val="20"/>
          <w:color w:val="auto"/>
        </w:rPr>
      </w:pPr>
    </w:p>
    <w:p>
      <w:pPr>
        <w:ind w:right="3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r>
        <w:rPr>
          <w:rFonts w:ascii="Times New Roman" w:cs="Times New Roman" w:eastAsia="Times New Roman" w:hAnsi="Times New Roman"/>
          <w:sz w:val="18"/>
          <w:szCs w:val="18"/>
          <w:color w:val="auto"/>
        </w:rPr>
        <w:t>— The carrying amount of the revolving credit facility is considered a reasonable estimate of fair value due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floating-rate terms.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where carrying values do not approximate fair value are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246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As of March 28, 2013</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27, 2012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gridSpan w:val="3"/>
          </w:tcPr>
          <w:p>
            <w:pPr>
              <w:jc w:val="right"/>
              <w:ind w:right="7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Carrying Value</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 xml:space="preserve">Fair Value </w:t>
            </w:r>
            <w:r>
              <w:rPr>
                <w:rFonts w:ascii="Times New Roman" w:cs="Times New Roman" w:eastAsia="Times New Roman" w:hAnsi="Times New Roman"/>
                <w:sz w:val="14"/>
                <w:szCs w:val="14"/>
                <w:b w:val="1"/>
                <w:bCs w:val="1"/>
                <w:i w:val="1"/>
                <w:iCs w:val="1"/>
                <w:color w:val="auto"/>
                <w:w w:val="92"/>
              </w:rPr>
              <w:t>(1)</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right"/>
              <w:ind w:right="7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Carrying Value</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 xml:space="preserve">Fair Value </w:t>
            </w:r>
            <w:r>
              <w:rPr>
                <w:rFonts w:ascii="Times New Roman" w:cs="Times New Roman" w:eastAsia="Times New Roman" w:hAnsi="Times New Roman"/>
                <w:sz w:val="14"/>
                <w:szCs w:val="14"/>
                <w:b w:val="1"/>
                <w:bCs w:val="1"/>
                <w:i w:val="1"/>
                <w:iCs w:val="1"/>
                <w:color w:val="auto"/>
                <w:w w:val="92"/>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w:t>
            </w:r>
          </w:p>
        </w:tc>
        <w:tc>
          <w:tcPr>
            <w:tcW w:w="1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265.0</w:t>
            </w: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268.1</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265.0</w:t>
            </w: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75" w:lineRule="auto"/>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as of March 28, 2013 or December 27, 2012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$0.8 million as of March 28, 2013 and December 27, 2012,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 AND HEDGING ACTIVITIES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During 2012, the Company terminated interest rate swap agreements that were used to hedge its interest rate risk associated with its term loan. Following the termination of the swap agreements, the variable interest rate on the Company’s $265.0 million term loan is unhedged and as of March 28, 2013 and December 27, 2012, the Company did not have any outstanding derivative assets or liabilities. In accordance with ASC </w:t>
      </w:r>
      <w:r>
        <w:rPr>
          <w:rFonts w:ascii="Times New Roman" w:cs="Times New Roman" w:eastAsia="Times New Roman" w:hAnsi="Times New Roman"/>
          <w:sz w:val="18"/>
          <w:szCs w:val="18"/>
          <w:i w:val="1"/>
          <w:iCs w:val="1"/>
          <w:color w:val="auto"/>
        </w:rPr>
        <w:t>815 Derivatives and Hedging</w:t>
      </w:r>
      <w:r>
        <w:rPr>
          <w:rFonts w:ascii="Times New Roman" w:cs="Times New Roman" w:eastAsia="Times New Roman" w:hAnsi="Times New Roman"/>
          <w:sz w:val="18"/>
          <w:szCs w:val="18"/>
          <w:color w:val="auto"/>
        </w:rPr>
        <w:t>, the net derivative loss related to the discontinued cash flow hedges in Accumulated Other Comprehensive Income (“AOCI”) shall continue to be reported in AOCI unless it is not probable that the forecasted transaction will occur by the end of the originally specified time period. As of March 28, 2013, there was approximately $19.4 million outstanding related to these discontinued cash flow hedges which continues to be reported in AOCI, as the underlying debt transactions (interest payments) remain probable of occurring, and will be amortized in the Condensed Statements of Income over the remaining swap agreement term, or February 13, 2015.</w:t>
      </w:r>
    </w:p>
    <w:p>
      <w:pPr>
        <w:spacing w:after="0" w:line="13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29, 2012, the Company also recorded changes in the fair value and amortization of AOCI related to an interest rate swap on its term loan in which the Company discontinued cash flow hedge accounting in 2008 due to the bankruptcy of its counterparty.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with cash flow hedge accounting on the condensed financial statements for the three months ended March 28, 2013 and March 29, 2012 were as follows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Unrealized Gain (Loss) Recognized in</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NCM LLC’s Other Comprehensive</w:t>
            </w:r>
          </w:p>
        </w:tc>
        <w:tc>
          <w:tcPr>
            <w:tcW w:w="240" w:type="dxa"/>
            <w:vAlign w:val="bottom"/>
          </w:tcPr>
          <w:p>
            <w:pPr>
              <w:spacing w:after="0"/>
              <w:rPr>
                <w:sz w:val="12"/>
                <w:szCs w:val="12"/>
                <w:color w:val="auto"/>
              </w:rPr>
            </w:pPr>
          </w:p>
        </w:tc>
        <w:tc>
          <w:tcPr>
            <w:tcW w:w="2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Realized Loss Recognized in Interest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Income (Pre-tax)</w:t>
            </w: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Borrowings (Pre-tax)</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March 28, 2013</w:t>
            </w:r>
          </w:p>
        </w:tc>
        <w:tc>
          <w:tcPr>
            <w:tcW w:w="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2012</w:t>
            </w:r>
          </w:p>
        </w:tc>
        <w:tc>
          <w:tcPr>
            <w:tcW w:w="8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March 28, 2013</w:t>
            </w:r>
          </w:p>
        </w:tc>
        <w:tc>
          <w:tcPr>
            <w:tcW w:w="8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2012</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(4.6)</w:t>
            </w: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 of derivatives not designated as hedging instruments under ASC 815 on the condensed financial statements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2013 and March 29, 2012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5"/>
              </w:rPr>
              <w:t>Gain (Loss) Recognized in Non-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Instruments not Designated as Hedging</w:t>
            </w:r>
          </w:p>
        </w:tc>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5"/>
              </w:rPr>
              <w:t>Operating Expenses (Pre-tax)</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3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center"/>
              <w:ind w:left="21"/>
              <w:spacing w:after="0" w:line="142" w:lineRule="exact"/>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40" w:type="dxa"/>
            <w:vAlign w:val="bottom"/>
          </w:tcPr>
          <w:p>
            <w:pPr>
              <w:spacing w:after="0"/>
              <w:rPr>
                <w:sz w:val="11"/>
                <w:szCs w:val="11"/>
                <w:color w:val="auto"/>
              </w:rPr>
            </w:pPr>
          </w:p>
        </w:tc>
        <w:tc>
          <w:tcPr>
            <w:tcW w:w="4140" w:type="dxa"/>
            <w:vAlign w:val="bottom"/>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Income Statement Location</w:t>
            </w:r>
          </w:p>
        </w:tc>
        <w:tc>
          <w:tcPr>
            <w:tcW w:w="12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28, 2013</w:t>
            </w:r>
          </w:p>
        </w:tc>
        <w:tc>
          <w:tcPr>
            <w:tcW w:w="2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March 29, 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derivative instruments</w:t>
            </w:r>
          </w:p>
        </w:tc>
        <w:tc>
          <w:tcPr>
            <w:tcW w:w="35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vMerge w:val="continue"/>
            <w:shd w:val="clear" w:color="auto" w:fill="CCEEFF"/>
          </w:tcPr>
          <w:p>
            <w:pPr>
              <w:spacing w:after="0"/>
              <w:rPr>
                <w:sz w:val="17"/>
                <w:szCs w:val="17"/>
                <w:color w:val="auto"/>
              </w:rPr>
            </w:pPr>
          </w:p>
        </w:tc>
        <w:tc>
          <w:tcPr>
            <w:tcW w:w="3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Interest on borrowings</w:t>
            </w:r>
          </w:p>
        </w:tc>
        <w:tc>
          <w:tcPr>
            <w:tcW w:w="5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98"/>
              </w:rPr>
              <w:t>(1.6)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from change in fair value on cash flow hedges</w:t>
            </w:r>
          </w:p>
        </w:tc>
        <w:tc>
          <w:tcPr>
            <w:tcW w:w="4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Change in derivative fair value</w:t>
            </w:r>
          </w:p>
        </w:tc>
        <w:tc>
          <w:tcPr>
            <w:tcW w:w="18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AOCI on discontinued cash flow hedges</w:t>
            </w:r>
          </w:p>
        </w:tc>
        <w:tc>
          <w:tcPr>
            <w:tcW w:w="4140" w:type="dxa"/>
            <w:vAlign w:val="bottom"/>
            <w:tcBorders>
              <w:right w:val="single" w:sz="8" w:color="CCEEFF"/>
            </w:tcBorders>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7"/>
              </w:rPr>
              <w:t>Amortization of terminated derivatives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vMerge w:val="continue"/>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AOCI by component for the three months ended March 28, 2013 were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Interest Rate Swaps</w:t>
            </w:r>
          </w:p>
        </w:tc>
        <w:tc>
          <w:tcPr>
            <w:tcW w:w="74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Income Statement Location</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27, 2012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(21.9)</w:t>
            </w:r>
          </w:p>
        </w:tc>
        <w:tc>
          <w:tcPr>
            <w:tcW w:w="2740" w:type="dxa"/>
            <w:vAlign w:val="bottom"/>
            <w:shd w:val="clear" w:color="auto" w:fill="CCEEFF"/>
          </w:tcPr>
          <w:p>
            <w:pPr>
              <w:spacing w:after="0"/>
              <w:rPr>
                <w:sz w:val="18"/>
                <w:szCs w:val="18"/>
                <w:color w:val="auto"/>
              </w:rPr>
            </w:pPr>
          </w:p>
        </w:tc>
      </w:tr>
      <w:tr>
        <w:trPr>
          <w:trHeight w:val="216"/>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Amortization on discontinued cash flow hedges</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Amortization of terminated derivatives</w:t>
            </w:r>
          </w:p>
        </w:tc>
      </w:tr>
      <w:tr>
        <w:trPr>
          <w:trHeight w:val="230"/>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amounts reclassified from AOCI</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28, 2013</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7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Advertising revenue accounted for 89.7% and 83.8% of revenue for the three months ended March 28, 2013 and March 29, 2012, respectively. The following tables present revenue less directly identifiable expenses to arrive at operating income net of direct expenses for the advertising reportable segment, the combined Fathom Events operating segments, and network, administrative and unallocated costs.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28, 2013 (in millions)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center"/>
              <w:ind w:right="760"/>
              <w:spacing w:after="0" w:line="129" w:lineRule="exact"/>
              <w:rPr>
                <w:sz w:val="20"/>
                <w:szCs w:val="20"/>
                <w:color w:val="auto"/>
              </w:rPr>
            </w:pPr>
            <w:r>
              <w:rPr>
                <w:rFonts w:ascii="Times New Roman" w:cs="Times New Roman" w:eastAsia="Times New Roman" w:hAnsi="Times New Roman"/>
                <w:sz w:val="14"/>
                <w:szCs w:val="14"/>
                <w:color w:val="auto"/>
                <w:w w:val="98"/>
              </w:rPr>
              <w:t>Network,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5"/>
              </w:rPr>
              <w:t>Administrative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w w:val="94"/>
              </w:rPr>
              <w:t>Fathom Events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and 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3"/>
              </w:rPr>
              <w:t>Advertising</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and Other</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color w:val="auto"/>
                <w:w w:val="96"/>
              </w:rPr>
              <w:t>Costs</w:t>
            </w:r>
          </w:p>
        </w:tc>
        <w:tc>
          <w:tcPr>
            <w:tcW w:w="40" w:type="dxa"/>
            <w:vAlign w:val="bottom"/>
          </w:tcPr>
          <w:p>
            <w:pPr>
              <w:spacing w:after="0"/>
              <w:rPr>
                <w:sz w:val="14"/>
                <w:szCs w:val="14"/>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$82.2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non-operating costs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7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29, 2012 (in millions)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center"/>
              <w:ind w:right="780"/>
              <w:spacing w:after="0" w:line="129" w:lineRule="exact"/>
              <w:rPr>
                <w:sz w:val="20"/>
                <w:szCs w:val="20"/>
                <w:color w:val="auto"/>
              </w:rPr>
            </w:pPr>
            <w:r>
              <w:rPr>
                <w:rFonts w:ascii="Times New Roman" w:cs="Times New Roman" w:eastAsia="Times New Roman" w:hAnsi="Times New Roman"/>
                <w:sz w:val="14"/>
                <w:szCs w:val="14"/>
                <w:color w:val="auto"/>
                <w:w w:val="95"/>
              </w:rPr>
              <w:t>Network,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w w:val="97"/>
              </w:rPr>
              <w:t>Administrative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w w:val="97"/>
              </w:rPr>
              <w:t>Fathom Events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and 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Advertising</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and Other</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color w:val="auto"/>
                <w:w w:val="96"/>
              </w:rPr>
              <w:t>Costs</w:t>
            </w:r>
          </w:p>
        </w:tc>
        <w:tc>
          <w:tcPr>
            <w:tcW w:w="40" w:type="dxa"/>
            <w:vAlign w:val="bottom"/>
          </w:tcPr>
          <w:p>
            <w:pPr>
              <w:spacing w:after="0"/>
              <w:rPr>
                <w:sz w:val="14"/>
                <w:szCs w:val="14"/>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$79.1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non-operating costs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revenues by category (in millions):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4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March 28, 2013</w:t>
            </w:r>
          </w:p>
        </w:tc>
        <w:tc>
          <w:tcPr>
            <w:tcW w:w="1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March 29, 2012</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Local advertising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Founding member advertising revenue from beverage concessionaire agreements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Fathom Consumer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Fathom Business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2, 2013, the Company amended its Senior Secured Credit Facility (“Amended Credit Facility”). Under the Amended Credit Facility, the term loan increased from $265 million to $270 million and the interest rate decreased by 50 basis points from the LIBOR index plus 3.25%, or the base rate (Prime Rate or the Federal Funds Effective Rate, as defined in the Senior Secured Credit Facility) plus 2.25% to the LIBOR index plus 2.75% or the base rate plus 1.75%. In addition, the interest rate on $110 million of the Company’s revolving credit facility was reduced by 25 basis points from the LIBOR index plus 2.25% or the base rate plus 1.25% to the LIBOR index plus 2.00% or the base rate plus 1.00%. The term of the facilities did not change and the proceeds from the refinancing will be used to pay fees and expenses incurred in connection with the amendment and for general corporate purposes.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9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27, 2012.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27, 2012.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 xml:space="preserve">We operate the largest digital in-theatre network in North America, for the distribution of advertising and Fathom Events. Our revenue is principally derived from the sale of advertising and, to a lesser extent, from our Fathom Events business. We have long-term ESAs with our founding members and multi-year agreements with network affiliates. The ESAs with the founding members and network affiliate agreements grant us exclusive rights, subject to limited exceptions, to sell advertising and distribute entertainment programming in those theatres. Our advertising </w:t>
      </w:r>
      <w:r>
        <w:rPr>
          <w:rFonts w:ascii="Times New Roman" w:cs="Times New Roman" w:eastAsia="Times New Roman" w:hAnsi="Times New Roman"/>
          <w:sz w:val="16"/>
          <w:szCs w:val="16"/>
          <w:i w:val="1"/>
          <w:iCs w:val="1"/>
          <w:color w:val="auto"/>
        </w:rPr>
        <w:t>FirstLook</w:t>
      </w:r>
      <w:r>
        <w:rPr>
          <w:rFonts w:ascii="Times New Roman" w:cs="Times New Roman" w:eastAsia="Times New Roman" w:hAnsi="Times New Roman"/>
          <w:sz w:val="16"/>
          <w:szCs w:val="16"/>
          <w:color w:val="auto"/>
        </w:rPr>
        <w:t xml:space="preserve"> pre-show and lobby entertainment network (“LEN”) programming and Fathom Event programming are distributed across our proprietary digital content network (“DCN”) and live digital broadcast network (“DBN”). Approximately 97% of the aggregate founding member and network affiliate theatre attendance is generated by theatres connected to our DCN.</w:t>
      </w:r>
    </w:p>
    <w:p>
      <w:pPr>
        <w:spacing w:after="0" w:line="11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in an effort to identify trends and changes in our business.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attendance per event and location, as well as our operating cash flow and related financial leverage and revolving credit facility availability to ensure that there is adequate cash availability to fund our working capital needs and debt obligations.</w:t>
      </w:r>
    </w:p>
    <w:p>
      <w:pPr>
        <w:spacing w:after="0" w:line="14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in our Form 10-K filed with the SEC on March 21, 2013 for the Company’s fiscal year ended December 27, 2012.</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1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 millions, except per share and per attendee data)</w:t>
            </w: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2"/>
              </w:rPr>
              <w:t>March 28, 2013</w:t>
            </w:r>
          </w:p>
        </w:tc>
        <w:tc>
          <w:tcPr>
            <w:tcW w:w="1360" w:type="dxa"/>
            <w:vAlign w:val="bottom"/>
            <w:gridSpan w:val="3"/>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March 29,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5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84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Adjusted OIBDA margin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5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theatre attendance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0.477</w:t>
            </w:r>
          </w:p>
        </w:tc>
        <w:tc>
          <w:tcPr>
            <w:tcW w:w="5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advertising revenue (excluding founding member beverage</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per attendee</w:t>
            </w:r>
          </w:p>
        </w:tc>
        <w:tc>
          <w:tcPr>
            <w:tcW w:w="84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0.419</w:t>
            </w:r>
          </w:p>
        </w:tc>
        <w:tc>
          <w:tcPr>
            <w:tcW w:w="5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local advertising revenue per attendee</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0.086</w:t>
            </w:r>
          </w:p>
        </w:tc>
        <w:tc>
          <w:tcPr>
            <w:tcW w:w="56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Operating Income Before Depreciation and Amortization (“OIBDA”), Adjusted OIBDA and Adjusted OIBDA margin are not financial measures calculated in accordance with U.S. GAAP. OIBDA represents net income (loss) plus income tax expense, interest and other costs and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consolidated net income to OIBDA and Adjusted OIBDA for the periods presented (dollars in millions):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5"/>
        </w:trPr>
        <w:tc>
          <w:tcPr>
            <w:tcW w:w="4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1"/>
              </w:rPr>
              <w:t>March 28,</w:t>
            </w:r>
          </w:p>
        </w:tc>
        <w:tc>
          <w:tcPr>
            <w:tcW w:w="96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0"/>
                <w:szCs w:val="10"/>
                <w:color w:val="auto"/>
              </w:rPr>
            </w:pPr>
          </w:p>
        </w:tc>
      </w:tr>
      <w:tr>
        <w:trPr>
          <w:trHeight w:val="165"/>
        </w:trPr>
        <w:tc>
          <w:tcPr>
            <w:tcW w:w="45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costs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OIBDA</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Adjusted OIBDA</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Adjusted OIBDA margin</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4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140" w:hanging="452"/>
        <w:spacing w:after="0" w:line="258" w:lineRule="auto"/>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$1.1 million and $1.4 million for the three months ended March 28, 2013 and March 29, 2012,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results of operations data for the three months ended March 28, 2013 and March 29, 2012 were derived from the unaudited condensed financial statements and accounting records of NCM LLC and should be read in conjunction with the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28, 2013 and March 29, 2012</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$3.1 million, or 3.9%, from $79.1 million for the three months ended March 29, 2012 to $82.2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28, 2013. The increase was driven by an increase in total advertising revenue of $7.4 million, or 11.2%, from $66.3 million for the three months ended March 29, 2012 to $73.7 million for the three months ended March 28, 2013. The increase was partially offset by a decrease in Fathom Events revenue of $4.3 million, or 33.6%, from $12.8 million for the three months ended March 29, 2012 to $8.5 million for the three months ended March 28, 2013. Total advertising revenue (including beverage revenue) per attendee for the three months ended March 28, 2013 increased 21.7% from the three months ended March 29, 2012. Total advertising revenue per attendee (excluding beverage revenue) for the three months ended March 28, 2013 increased 25.5% over the same period in 2012. The following is a summary of revenue by category (in millions).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Change Q1’12 to Q1’13</w:t>
            </w: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March 28, 2013</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March 29, 2012</w:t>
            </w:r>
          </w:p>
        </w:tc>
        <w:tc>
          <w:tcPr>
            <w:tcW w:w="5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7"/>
              </w:rPr>
              <w:t>5.9</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Local advertising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7"/>
              </w:rPr>
              <w:t>2.4</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Founding member advertising revenue from beverage concessionaire agreements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2"/>
              </w:rPr>
              <w:t>(0.9)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Fathom Consumer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2"/>
              </w:rPr>
              <w:t>(1.3)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Fathom Business revenue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2"/>
              </w:rPr>
              <w:t>(3.0)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660"/>
        <w:spacing w:after="0" w:line="275"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The $5.9 million, or 12.9%, increase in national advertising revenue (excluding beverage revenue from NCM LLC’s founding members) was due primarily to the following:</w:t>
      </w:r>
    </w:p>
    <w:p>
      <w:pPr>
        <w:spacing w:after="0" w:line="39" w:lineRule="exact"/>
        <w:rPr>
          <w:sz w:val="20"/>
          <w:szCs w:val="20"/>
          <w:color w:val="auto"/>
        </w:rPr>
      </w:pPr>
    </w:p>
    <w:p>
      <w:pPr>
        <w:ind w:left="1480" w:right="60" w:hanging="446"/>
        <w:spacing w:after="0" w:line="256"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inventory utilization increased from approximately 76.4% in the first quarter of 2012 to 86.0% in the first quarter of 2013 due to an increase in content partner spending, partially offset by a 8.5% decline in network attendance quarter-over-quarter related to an overall decrease in cinema industry attendance from a weaker overall film release schedule in first quarter of 2013, compared to first quarter of 2012. Inventory utilization is calculated based on eleven 30-second salable national advertising units in our pre-show, which can be expanded, should market demand dictate;</w:t>
      </w:r>
    </w:p>
    <w:p>
      <w:pPr>
        <w:spacing w:after="0" w:line="57" w:lineRule="exact"/>
        <w:rPr>
          <w:rFonts w:ascii="Times New Roman" w:cs="Times New Roman" w:eastAsia="Times New Roman" w:hAnsi="Times New Roman"/>
          <w:sz w:val="18"/>
          <w:szCs w:val="18"/>
          <w:color w:val="auto"/>
        </w:rPr>
      </w:pPr>
    </w:p>
    <w:p>
      <w:pPr>
        <w:ind w:left="1480" w:right="180" w:hanging="446"/>
        <w:spacing w:after="0" w:line="334" w:lineRule="auto"/>
        <w:tabs>
          <w:tab w:leader="none" w:pos="1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National advertising CPMs (excluding beverage revenue) increased by 10.8% due primarily to an increase in content partner revenue as content partners spent 25% of their annual spending commitments in the first quarter of 2013 compared to 12% in the first quarter of 2012;</w:t>
      </w:r>
    </w:p>
    <w:p>
      <w:pPr>
        <w:spacing w:after="0" w:line="1" w:lineRule="exact"/>
        <w:rPr>
          <w:rFonts w:ascii="Times New Roman" w:cs="Times New Roman" w:eastAsia="Times New Roman" w:hAnsi="Times New Roman"/>
          <w:sz w:val="16"/>
          <w:szCs w:val="16"/>
          <w:color w:val="auto"/>
        </w:rPr>
      </w:pPr>
    </w:p>
    <w:p>
      <w:pPr>
        <w:ind w:left="1480" w:right="220" w:hanging="446"/>
        <w:spacing w:after="0" w:line="293" w:lineRule="auto"/>
        <w:tabs>
          <w:tab w:leader="none" w:pos="1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Online and mobile revenue increased approximately $0.5 million, or 83.3%, from $0.6 million during the three months ended March 29, 2012 to $1.1 million for the three months ended March 28, 2013. This revenue represented 2.1% and 1.3% of national advertising revenue (excluding beverage) and total revenue, respectively during the three months ended March 28, 2013. Online and mobile revenue increased because the Company continued to increase the number of integrated marketing packages sold to its clients that combine on-screen, lobby and online and mobile marketing components. The Company intends to increase its focus on these integrated solutions to its clients in the future as online and mobile advertising is becoming a more important part of the marketing mix for marketers.</w:t>
      </w:r>
    </w:p>
    <w:p>
      <w:pPr>
        <w:spacing w:after="0" w:line="30"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$2.4 million, or 22.0%, increase in local advertising revenue was driven by an increase in local advertising contract volume of 13.0% and an increase in the average contract value of 6.1% in the first quarter of 2013 compared to the first quarter of 2012. The increase in contract volume was driven by an increase in the volume of both larger regional contracts and smaller local contracts. The total dollar value of our local advertising contracts over $100,000 increased 48.6% and the number of contracts over $100,000 increased 22.2%. The increase in the larger contracts was driven in part by the addition of new network affiliates over the past year that widened our geographic coverage, making our network more attractive to larger local advertising clients. Local revenue per theatre attendee increased 32.3% as a result of the increase in local advertising revenue and lower network attendance related to the lower overall cinema industry attendance, as described above.</w:t>
      </w:r>
    </w:p>
    <w:p>
      <w:pPr>
        <w:spacing w:after="0" w:line="14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The $0.9 million, or 9.2%, decrease in national advertising revenue from NCM LLC’s founding members’ beverage concessionaire agreements was due primarily to a 9.7% decrease in founding member attendance. The decrease in founding member attendance related to lower cinema industry attendance, partially offset by an increase due to the acquisition of 25 theatres (with 301 screens) by NCM LLC’s founding members late in 2012.</w:t>
      </w:r>
    </w:p>
    <w:p>
      <w:pPr>
        <w:spacing w:after="0" w:line="136" w:lineRule="exact"/>
        <w:rPr>
          <w:sz w:val="20"/>
          <w:szCs w:val="20"/>
          <w:color w:val="auto"/>
        </w:rPr>
      </w:pPr>
    </w:p>
    <w:p>
      <w:pPr>
        <w:ind w:left="460" w:right="20"/>
        <w:spacing w:after="0" w:line="296" w:lineRule="auto"/>
        <w:rPr>
          <w:sz w:val="20"/>
          <w:szCs w:val="20"/>
          <w:color w:val="auto"/>
        </w:rPr>
      </w:pPr>
      <w:r>
        <w:rPr>
          <w:rFonts w:ascii="Times New Roman" w:cs="Times New Roman" w:eastAsia="Times New Roman" w:hAnsi="Times New Roman"/>
          <w:sz w:val="16"/>
          <w:szCs w:val="16"/>
          <w:u w:val="single" w:color="auto"/>
          <w:color w:val="auto"/>
        </w:rPr>
        <w:t>Fathom Events revenue.</w:t>
      </w:r>
      <w:r>
        <w:rPr>
          <w:rFonts w:ascii="Times New Roman" w:cs="Times New Roman" w:eastAsia="Times New Roman" w:hAnsi="Times New Roman"/>
          <w:sz w:val="16"/>
          <w:szCs w:val="16"/>
          <w:color w:val="auto"/>
        </w:rPr>
        <w:t xml:space="preserve"> Fathom Events revenue decreased $4.3 million, or 33.6%, from $12.8 million for the three months ended March 29, 2012 to $8.5 million for the three months ended March 28, 2013. The decrease was due to a decrease in Fathom Business Events revenue of $3.0 million as this division was wound-down during the first quarter of 2012. In addition, Fathom Consumer Events revenue decreased $1.3 million, or 13.5%, from $9.6 million for the three months ended March 29, 2012 to $8.3 million for the three months ended March 28, 2013. The decrease in Fathom Consumer Events revenue was driven by a 24.0% decrease in the number of event nights to 19 during the first quarter of 2013 compared to 25 the first quarter of 2012.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$1.5 million, or 2.4%, from $62.1 million for the three months ended March 29, 2012 to $60.6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28, 2013. Set forth below is a discussion of the changes in operating expenses.</w:t>
      </w:r>
    </w:p>
    <w:p>
      <w:pPr>
        <w:spacing w:after="0" w:line="37" w:lineRule="exact"/>
        <w:rPr>
          <w:sz w:val="20"/>
          <w:szCs w:val="20"/>
          <w:color w:val="auto"/>
        </w:rPr>
      </w:pPr>
    </w:p>
    <w:p>
      <w:pPr>
        <w:ind w:left="460" w:right="60"/>
        <w:spacing w:after="0" w:line="296" w:lineRule="auto"/>
        <w:rPr>
          <w:sz w:val="20"/>
          <w:szCs w:val="20"/>
          <w:color w:val="auto"/>
        </w:rPr>
      </w:pPr>
      <w:r>
        <w:rPr>
          <w:rFonts w:ascii="Times New Roman" w:cs="Times New Roman" w:eastAsia="Times New Roman" w:hAnsi="Times New Roman"/>
          <w:sz w:val="16"/>
          <w:szCs w:val="16"/>
          <w:u w:val="single" w:color="auto"/>
          <w:color w:val="auto"/>
        </w:rPr>
        <w:t>Advertising operating costs.</w:t>
      </w:r>
      <w:r>
        <w:rPr>
          <w:rFonts w:ascii="Times New Roman" w:cs="Times New Roman" w:eastAsia="Times New Roman" w:hAnsi="Times New Roman"/>
          <w:sz w:val="16"/>
          <w:szCs w:val="16"/>
          <w:color w:val="auto"/>
        </w:rPr>
        <w:t xml:space="preserve"> Advertising operating costs increased $1.0 million, or 21.3%, from $4.7 million for the three months ended March 29, 2012 to $5.7 million for the three months ended March 28, 2013. The increase was primarily due to a $0.7 million increase in affiliate advertising payments. The increase in affiliate advertising payments was driven by the 12.9% increase in national advertising revenue (excluding beverage revenue) and a 5.9% increase in the number of average affiliate screens in the first quarter of 2013, compared to the first quarter of 2012. The increase in affiliate screens is due to the addition of five new theatre circuits to our network, partially offset by the acquisition of affiliate screens by NCM LLC’s founding members.</w:t>
      </w:r>
    </w:p>
    <w:p>
      <w:pPr>
        <w:spacing w:after="0" w:line="27"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Fathom Events operating costs.</w:t>
      </w:r>
      <w:r>
        <w:rPr>
          <w:rFonts w:ascii="Times New Roman" w:cs="Times New Roman" w:eastAsia="Times New Roman" w:hAnsi="Times New Roman"/>
          <w:sz w:val="18"/>
          <w:szCs w:val="18"/>
          <w:color w:val="auto"/>
        </w:rPr>
        <w:t xml:space="preserve"> Fathom Events operating costs decreased $3.2 million, or 35.6%, from $9.0 million for the three months ended March 29, 2012 to $5.8 million for the three months ended March 28, 2013. The decrease was primarily due to a decrease in costs associated with the Fathom Business Events division which declined $1.5 million as this division was wound-down in the first quarter of 2012. In addition, costs associated with the Fathom Consumer Events division decreased by $1.7 million due to the decline in Fathom Consumer Events revenue.</w:t>
      </w:r>
    </w:p>
    <w:p>
      <w:pPr>
        <w:spacing w:after="0" w:line="55"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of remained consistent at $4.8 million during the three months ended March 28, 2013 and March 29, 2012. These costs decreased due to lower network maintenance costs during the first quarter of 2013, compared to the first quarter of 2012, which was offset by an increase in costs due a 2.4% increase in the number of average network screens during the period.</w:t>
      </w:r>
    </w:p>
    <w:p>
      <w:pPr>
        <w:spacing w:after="0" w:line="51" w:lineRule="exact"/>
        <w:rPr>
          <w:sz w:val="20"/>
          <w:szCs w:val="20"/>
          <w:color w:val="auto"/>
        </w:rPr>
      </w:pPr>
    </w:p>
    <w:p>
      <w:pPr>
        <w:ind w:left="460" w:right="40"/>
        <w:spacing w:after="0" w:line="290" w:lineRule="auto"/>
        <w:rPr>
          <w:sz w:val="20"/>
          <w:szCs w:val="20"/>
          <w:color w:val="auto"/>
        </w:rPr>
      </w:pPr>
      <w:r>
        <w:rPr>
          <w:rFonts w:ascii="Times New Roman" w:cs="Times New Roman" w:eastAsia="Times New Roman" w:hAnsi="Times New Roman"/>
          <w:sz w:val="16"/>
          <w:szCs w:val="16"/>
          <w:u w:val="single" w:color="auto"/>
          <w:color w:val="auto"/>
        </w:rPr>
        <w:t>Theatre access fees.</w:t>
      </w:r>
      <w:r>
        <w:rPr>
          <w:rFonts w:ascii="Times New Roman" w:cs="Times New Roman" w:eastAsia="Times New Roman" w:hAnsi="Times New Roman"/>
          <w:sz w:val="16"/>
          <w:szCs w:val="16"/>
          <w:color w:val="auto"/>
        </w:rPr>
        <w:t xml:space="preserve"> Theatre access fees decreased slightly from $15.7 million for the three months ended March 29, 2012 to $15.6 million for the three months ended March 28, 2013. The decrease was due to a decrease in founding member attendance of 9.7% in the first quarter of 2013 compared to the first quarter of 2012, which resulted in a decrease in our theatre access fees of $1.0 million, partially offset by a $0.9 million increase in the fees for use of digital screens and higher quality digital cinema projectors. The decrease in founding member attendance was related to the impact of lower overall cinema industry attendance, partially offset by the acquisition of theatres by founding members late in 2012. The fees for digital screens and digital cinema projectors increased due to an annual 5% contractual rate increase, as well as, an increase in the number of founding member network digital screens and the number of theatres equipped with digital cinema projectors year-over-year. As of March 28, 2013, the number of founding member theatres with digital screens and those equipped with digital cinema projectors as a percentage of the total founding member network was 96% and 86%, respectively.</w:t>
      </w:r>
    </w:p>
    <w:p>
      <w:pPr>
        <w:spacing w:after="0" w:line="31"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$0.9 million, or 6.2%, from $14.5 million for the three months ended March 29, 2012 to $15.4 million for the three months ended March 28, 2013. This increase was primarily due to an increase in advertising related selling and marketing costs of $1.8 million, partially offset by a decrease in selling and marketing costs associated with the Fathom division of $0.7 million. Advertising related selling and marketing costs increased due primarily to $0.7 million of higher barter expense incurred in the quarter related to barter revenue recorded in 2012, $0.4 million greater online publisher expenses related to greater online and mobile revenue and $0.3 million higher local commission expense due to the increase in local advertising revenue. The decrease in Fathom selling and marketing costs was due primarily to the wind-down of the Fathom Business Events division during the first quarter of 2012.</w:t>
      </w:r>
    </w:p>
    <w:p>
      <w:pPr>
        <w:spacing w:after="0" w:line="60"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costs increased $0.2 million, or 4.1%, from $4.9 million for the three months ended March 29, 2012 to $5.1 million for the three months ended March 28, 2013. The increase was primarily due to an increase in personnel expense.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Administrative fee – managing member.</w:t>
      </w:r>
      <w:r>
        <w:rPr>
          <w:rFonts w:ascii="Times New Roman" w:cs="Times New Roman" w:eastAsia="Times New Roman" w:hAnsi="Times New Roman"/>
          <w:sz w:val="18"/>
          <w:szCs w:val="18"/>
          <w:color w:val="auto"/>
        </w:rPr>
        <w:t xml:space="preserve"> Administrative fee-managing member decreased $0.8 million, or 22.2%, from $3.6 million for the three months ended March 29, 2012 to $2.8 million for the three months ended March 28, 2013 primarily due to a decrease in payroll and share based compensation. Amounts recorded are based on the terms of the management service agreement which states NCM LLC pays NCM, Inc. service fees which are equal to the cost of NCM, Inc. employees and any reimbursable costs incurred by NCM, Inc.</w:t>
      </w:r>
    </w:p>
    <w:p>
      <w:pPr>
        <w:spacing w:after="0" w:line="55" w:lineRule="exact"/>
        <w:rPr>
          <w:sz w:val="20"/>
          <w:szCs w:val="20"/>
          <w:color w:val="auto"/>
        </w:rPr>
      </w:pPr>
    </w:p>
    <w:p>
      <w:pPr>
        <w:ind w:left="46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and amortization expense increased $0.5 million, or 10.2%, from $4.9 million for the three months ended March 29, 2012 to $5.4 million for the three months ended March 28, 2013. The increase was due to higher amortization of intangible assets due to new intangibles recorded for affiliate agreements and NCM LLC founding member common unit adjustments, as well as, an increase in depreciation expense resulting from greater property, plant and equipment balances year-over-year.</w:t>
      </w:r>
    </w:p>
    <w:p>
      <w:pPr>
        <w:spacing w:after="0" w:line="13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increased $2.4 million, or 75.0%, from $3.2 million for the three months ended March 29, 2012 to $5.6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28, 2013. This increase was due primarily to an increase in operating income of $4.6 million, as described further above and a decrease in interest on borrowings of $0.8 million due to a lower average interest rate in the first quarter of 2013 compared to the first quarter of 2012 as a result of the Company’s debt refinancing in 2012. These increases to net income were partially offset by a $2.2 million increase in non-cash amortization expense associated with terminated swap arrangements which increased due to the termination of interest rate swaps in connection with the debt refinancing and a $0.7 million decrease in the gain recorded for the change in derivative fair value, as the Company did not record changes in fair value on derivatives in its Condensed Statements of Income during the first quarter of 2013, as it did in 2012 due to the termination of the interest rate swaps.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92" w:lineRule="exact"/>
        <w:rPr>
          <w:sz w:val="20"/>
          <w:szCs w:val="20"/>
          <w:color w:val="auto"/>
        </w:rPr>
      </w:pPr>
    </w:p>
    <w:p>
      <w:pPr>
        <w:ind w:right="80" w:firstLine="456"/>
        <w:spacing w:after="0" w:line="283" w:lineRule="auto"/>
        <w:rPr>
          <w:sz w:val="20"/>
          <w:szCs w:val="20"/>
          <w:color w:val="auto"/>
        </w:rPr>
      </w:pPr>
      <w:r>
        <w:rPr>
          <w:rFonts w:ascii="Times New Roman" w:cs="Times New Roman" w:eastAsia="Times New Roman" w:hAnsi="Times New Roman"/>
          <w:sz w:val="16"/>
          <w:szCs w:val="16"/>
          <w:color w:val="auto"/>
        </w:rPr>
        <w:t>The current macro-economic environment and its impact on the national television scatter advertising market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the effectiveness of cinema advertising relative to other advertising mediums, the effectiveness and increasing scale of our national network and the related increase in salable advertising impressions and the number of Fathom live broadcast events and locations. During 2012, we added several new affiliate theatres to our national network including: Cinema Supply, Incorporated, Dickinson Theatres, Inc., Far Away Entertainment, HM Theatres, Inc., King Theatres Circuit LLC, Star Cinema Grill, Texas Cinemas, Corp., O’Neil Entertainment Group, United Entertainment Corp., Fairchild Cinemas, Inc., Loeks Theatres, Inc. (Celebration! Cinema), Kerasotes ICON Theatres and Rocky Mountain Cinemas, Inc. d.b.a. Aurora Cinema Grill, and so far in 2013 we have contracted to add Marquee Cinemas, Inc., Sonora Entertainment Group, LLC and Aliance Management Company, LLC (Xscape Theatres), which will join our advertising network in the second quarter of 2013. In total, these contracted new founding member and affiliate theatres that have joined our network during 2012 and early 2013 are expected to add approximately 26 million new attendees on a full-year pro-forma basis, which we expect will result in approximately 364 million new salable national advertising impressions (assuming</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2013 and beyond. We believe that the continued growth of our network will expand our national reach and geographic coverage to strengthen our selling proposition and competitive positioning versus other national and regional video and other advertising platforms.</w:t>
      </w:r>
    </w:p>
    <w:p>
      <w:pPr>
        <w:spacing w:after="0" w:line="136" w:lineRule="exact"/>
        <w:rPr>
          <w:sz w:val="20"/>
          <w:szCs w:val="20"/>
          <w:color w:val="auto"/>
        </w:rPr>
      </w:pPr>
    </w:p>
    <w:p>
      <w:pPr>
        <w:ind w:right="20" w:firstLine="456"/>
        <w:spacing w:after="0" w:line="297" w:lineRule="auto"/>
        <w:rPr>
          <w:sz w:val="20"/>
          <w:szCs w:val="20"/>
          <w:color w:val="auto"/>
        </w:rPr>
      </w:pPr>
      <w:r>
        <w:rPr>
          <w:rFonts w:ascii="Times New Roman" w:cs="Times New Roman" w:eastAsia="Times New Roman" w:hAnsi="Times New Roman"/>
          <w:sz w:val="16"/>
          <w:szCs w:val="16"/>
          <w:color w:val="auto"/>
        </w:rPr>
        <w:t xml:space="preserve">Under the ESAs, up to 90 seconds of the </w:t>
      </w:r>
      <w:r>
        <w:rPr>
          <w:rFonts w:ascii="Times New Roman" w:cs="Times New Roman" w:eastAsia="Times New Roman" w:hAnsi="Times New Roman"/>
          <w:sz w:val="16"/>
          <w:szCs w:val="16"/>
          <w:i w:val="1"/>
          <w:iCs w:val="1"/>
          <w:color w:val="auto"/>
        </w:rPr>
        <w:t>FirstLook</w:t>
      </w:r>
      <w:r>
        <w:rPr>
          <w:rFonts w:ascii="Times New Roman" w:cs="Times New Roman" w:eastAsia="Times New Roman" w:hAnsi="Times New Roman"/>
          <w:sz w:val="16"/>
          <w:szCs w:val="16"/>
          <w:color w:val="auto"/>
        </w:rPr>
        <w:t xml:space="preserve"> program can be sold to our founding members to satisfy their on-screen advertising commitments under their beverage concessionaire agreements. During 2013 and in 2012, we sold 60 seconds to our founding members. We expect to continue to sell 60 seconds of time to the founding members in the remainder of 2013. It is expected that NCM LLC’s founding members will be renegotiating their agreements with their beverage supplier over the next couple of years, which could change the amount of advertising time that the circuits are required to buy from us to satisfy those agreements. Should the amount of time acquired as part of these beverage concessionaire arrangements decline that time will be available for sale to other clients.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2010 ESA Amendments, beginning on October 1, 2010 the theatre access fee paid to the members of NCM LLC included an additional fee for access to the higher quality digital cinema systems for our advertising and Fathom business. This additional fee increased in 2012 and will continue to increase in 2013 as additional screens are equipped with the new digital cinema equipment and the fee increases annually by 5%. As of March 28, 2013, 76.4% of our network screens were showing advertising on digital cinema projectors versus 53.3% as of March 29, 2012.</w:t>
      </w:r>
    </w:p>
    <w:p>
      <w:pPr>
        <w:spacing w:after="0" w:line="11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the founding members or to support events staged for NCM’s major advertising clients.</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During 2012 and 2011, we amended our senior secured credit facility and issued new Senior Unsecured Notes and Senior Secured Notes. As a result of these transactions, we extended the average maturities of our debt by over six years to an average remaining maturity of 8.2 years as of March 28, 2013, and our cash interest expense on borrowings is projected to decreased approximately $3.5 million for 2013 compared to 2012, before the amortization of Accumulated Other Comprehensive Income. On May 2, 2013, we refinanced our term loan and revolving credit agreement to reduce the interest rate spreads on those credit facilities by 50 basis points and 25 basis points, respectively. This re-pricing decreases the applicable interest rate margins and lowers our annual interest expense by approximately $1.2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of March 28, 2013, our cash and cash equivalents balance was $11.0 million, an increase of $0.6 million compared to the balance of $10.4 million as of December 27, 2012. The cash and cash equivalents balance at March 28, 2013, combined with $110.0 million of borrowing availability on our revolving credit facility, resulted in total liquidity availability of $121.0 million, or a $0.6 million increase versus December 27, 2012. Our cash balances can fluctuate due to the seasonality of our business and related timing of collections of accounts receivable balances and operating expenditure payments, as well as available cash payments (as defined) to our founding members and managing member, interest payments on our term loan, the Senior Secured Notes and Senior Unsecured Notes and principal payments on debt. Compared to the balance at March 29, 2012 of $8.8 million, our cash and cash equivalents balance as of March 28, 2013 increased $2.2 million. Our total liquidity availability increased $64.2 million to $121.0 million at March 28, 2013 compared to $56.8 million as of March 29, 2012.</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8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28, 2013</w:t>
            </w:r>
          </w:p>
        </w:tc>
        <w:tc>
          <w:tcPr>
            <w:tcW w:w="132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March 29, 2012</w:t>
            </w:r>
          </w:p>
        </w:tc>
        <w:tc>
          <w:tcPr>
            <w:tcW w:w="120" w:type="dxa"/>
            <w:vAlign w:val="bottom"/>
          </w:tcPr>
          <w:p>
            <w:pPr>
              <w:spacing w:after="0"/>
              <w:rPr>
                <w:sz w:val="12"/>
                <w:szCs w:val="12"/>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Investing cash flow</w:t>
            </w:r>
          </w:p>
        </w:tc>
        <w:tc>
          <w:tcPr>
            <w:tcW w:w="33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w:t>
            </w:r>
          </w:p>
        </w:tc>
        <w:tc>
          <w:tcPr>
            <w:tcW w:w="334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(40.1)</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r>
      <w:tr>
        <w:trPr>
          <w:trHeight w:val="363"/>
        </w:trPr>
        <w:tc>
          <w:tcPr>
            <w:tcW w:w="2840" w:type="dxa"/>
            <w:vAlign w:val="bottom"/>
          </w:tcPr>
          <w:p>
            <w:pPr>
              <w:spacing w:after="0"/>
              <w:rPr>
                <w:sz w:val="24"/>
                <w:szCs w:val="24"/>
                <w:color w:val="auto"/>
              </w:rPr>
            </w:pPr>
          </w:p>
        </w:tc>
        <w:tc>
          <w:tcPr>
            <w:tcW w:w="302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color w:val="auto"/>
        </w:rPr>
        <w:t>. The increase in cash provided by operating activities for the three months ended March 28, 2013 versus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29, 2012 was primarily due to an increase in working capital primarily from greater collections of accounts receivable and a decrease in the amounts due to founding members and the managing member.</w:t>
      </w:r>
    </w:p>
    <w:p>
      <w:pPr>
        <w:spacing w:after="0" w:line="43" w:lineRule="exact"/>
        <w:rPr>
          <w:rFonts w:ascii="Times New Roman" w:cs="Times New Roman" w:eastAsia="Times New Roman" w:hAnsi="Times New Roman"/>
          <w:sz w:val="18"/>
          <w:szCs w:val="18"/>
          <w:color w:val="auto"/>
        </w:rPr>
      </w:pPr>
    </w:p>
    <w:p>
      <w:pPr>
        <w:ind w:left="900" w:right="60" w:hanging="325"/>
        <w:spacing w:after="0" w:line="28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color w:val="auto"/>
        </w:rPr>
        <w:t>. The cash used for investing cash flows for the three months ended March 28, 2013 decreased compared to the level of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for the three months ended March 29, 2012. The decrease was due to lower purchases of intangible assets from affiliates.</w:t>
      </w:r>
    </w:p>
    <w:p>
      <w:pPr>
        <w:spacing w:after="0" w:line="30" w:lineRule="exact"/>
        <w:rPr>
          <w:rFonts w:ascii="Times New Roman" w:cs="Times New Roman" w:eastAsia="Times New Roman" w:hAnsi="Times New Roman"/>
          <w:sz w:val="18"/>
          <w:szCs w:val="18"/>
          <w:color w:val="auto"/>
        </w:rPr>
      </w:pPr>
    </w:p>
    <w:p>
      <w:pPr>
        <w:ind w:left="900" w:right="140" w:hanging="325"/>
        <w:spacing w:after="0" w:line="26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color w:val="auto"/>
        </w:rPr>
        <w:t>. Cash used in financing activities increased by $25.9 million during the three months ended March 28, 2013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29, 2012. The increase in cash used was due primarily to a decrease in cash proceeds from borrowings, net of payments, of $27.0 million.</w:t>
      </w:r>
    </w:p>
    <w:p>
      <w:pPr>
        <w:spacing w:after="0" w:line="127"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Sources of capital and capital requirements. </w:t>
      </w:r>
      <w:r>
        <w:rPr>
          <w:rFonts w:ascii="Times New Roman" w:cs="Times New Roman" w:eastAsia="Times New Roman" w:hAnsi="Times New Roman"/>
          <w:sz w:val="18"/>
          <w:szCs w:val="18"/>
          <w:color w:val="auto"/>
        </w:rPr>
        <w:t>NCM LLC’s primary sources of liquidity and capital resources are its cash provided by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under its revolving credit facility and cash on hand.</w:t>
      </w:r>
    </w:p>
    <w:p>
      <w:pPr>
        <w:spacing w:after="0" w:line="11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Management believes that future funds generated from our operations and cash on hand should be sufficient to fund working capital requirements, our debt service requirements, and capital expenditure and other investing requirements, through the next 12 months. Cash flows can be impacted by the seasonality in advertising, interest on borrowings under our revolving agreement and to a lesser extent theatre attendance. We are required pursuant to the terms of our operating agreement to distribute our available cash quarterly, as defined in the operating agreement, to our members (the founding members and NCM, Inc.). The available cash distribution to the members of NCM LLC for the three months ended March 28, 2013 (which will be made during the second quarter of 2013) was $15.1 million.</w:t>
      </w:r>
    </w:p>
    <w:p>
      <w:pPr>
        <w:spacing w:after="0" w:line="13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As discussed above in “Known Trends and Uncertainties”, the Company modified its debt structure during 2012 and as a result has extended the average maturity of its debt by over six years and increased its liquidity, while not meaningfully impacting free cash flow. In addition, on May 2, 2013, the Company refinanced its term loan and revolving credit agreement to expand the term loan by $5 million and reduced the interest rate spreads which lowers our annual interest expense by approximately $1.2 million.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27, 2012 and incorporated by reference herein. As of March 28, 2013, there were no significant changes in those critical accounting policies.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 xml:space="preserve">In February 2013, the FASB issued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This accounting standard update is effective prospectively for annual and interim periods beginning after December 15, 2012. Refer to </w:t>
      </w:r>
      <w:r>
        <w:rPr>
          <w:rFonts w:ascii="Times New Roman" w:cs="Times New Roman" w:eastAsia="Times New Roman" w:hAnsi="Times New Roman"/>
          <w:sz w:val="16"/>
          <w:szCs w:val="16"/>
          <w:i w:val="1"/>
          <w:iCs w:val="1"/>
          <w:color w:val="auto"/>
        </w:rPr>
        <w:t>Note 7</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Derivative Instruments and Hedging Activities</w:t>
      </w:r>
      <w:r>
        <w:rPr>
          <w:rFonts w:ascii="Times New Roman" w:cs="Times New Roman" w:eastAsia="Times New Roman" w:hAnsi="Times New Roman"/>
          <w:sz w:val="16"/>
          <w:szCs w:val="16"/>
          <w:color w:val="auto"/>
        </w:rPr>
        <w:t xml:space="preserve"> to the Condensed Financial Statements for the Company’s disclosures.</w:t>
      </w:r>
    </w:p>
    <w:p>
      <w:pPr>
        <w:spacing w:after="0" w:line="11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90"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color w:val="auto"/>
        </w:rPr>
        <w:t>For a discussion of related-party transactions, see the information provided under Note 3-</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xml:space="preserve"> to the unaudited condensed financial statements in Item 1 of this Form 10-Q.</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27, 2012 and incorporated by reference herein. We do not believe these arrangements are material to our current or future financial condition, results of operations, liquidity, capital resources or capital expenditures.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to our contractual obligations during the three months ended March 28, 2013.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240" w:firstLine="456"/>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2010, 2011 and 2012.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240" w:type="dxa"/>
            <w:vAlign w:val="bottom"/>
          </w:tcPr>
          <w:p>
            <w:pPr>
              <w:spacing w:after="0"/>
              <w:rPr>
                <w:sz w:val="13"/>
                <w:szCs w:val="13"/>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0" w:type="dxa"/>
            <w:vAlign w:val="bottom"/>
          </w:tcPr>
          <w:p>
            <w:pPr>
              <w:spacing w:after="0"/>
              <w:rPr>
                <w:sz w:val="1"/>
                <w:szCs w:val="1"/>
                <w:color w:val="auto"/>
              </w:rPr>
            </w:pPr>
          </w:p>
        </w:tc>
      </w:tr>
      <w:tr>
        <w:trPr>
          <w:trHeight w:val="165"/>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89"/>
              </w:rPr>
              <w:t>Quarter</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Quarter</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2010</w:t>
            </w: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23.2%</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FY 2011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2012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92"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The primary market risk to which we are exposed is interest rate risk. The Senior Unsecured Notes and the Senior Secured Notes are at fixed rates, and therefore are not subject to market risk. As of March 28, 2013, the only interest rate risk that we are exposed to is related to our $124.0 million revolving credit facility and our $265.0 million term loan. A 100 basis point fluctuation in market interest rates underlying our term loan and revolving credit facility would have the effect of increasing or decreasing our cash interest expense by approximately $2.8 million for an annual period on the $14 million revolving credit facility and $265.0 million term loan outstanding as of March 28, 2013. For a discussion of market risks, see Item 7A. “Quantitative and Qualitative Disclosures About Market Risk” contained in our annual report on Form 10-K for the fiscal year ended December 27, 2012 and incorporated by reference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9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Vice President and Interim Co-Chief Financial Officer (principal financial officer) of NCM, Inc., our manager, as appropriate to allow timely decisions regarding required disclosure. As of March 28, 2013, our management evaluated, with the participation of the Chief Executive Officer and Vice President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March 28, 2013 were effective.</w:t>
      </w:r>
    </w:p>
    <w:p>
      <w:pPr>
        <w:spacing w:after="0" w:line="13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occurred during the three months ended March 28, 2013 that have materially affected, or are reasonably likely to materially affect, the Company’s internal controls over financial reporting.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March 21, 2013 for the fiscal year ended December 27,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4660" w:type="dxa"/>
            <w:vAlign w:val="bottom"/>
          </w:tcPr>
          <w:p>
            <w:pPr>
              <w:spacing w:after="0"/>
              <w:rPr>
                <w:sz w:val="14"/>
                <w:szCs w:val="1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9"/>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Certificate of Formation of National CineMedia, LLC.</w:t>
            </w:r>
          </w:p>
        </w:tc>
      </w:tr>
      <w:tr>
        <w:trPr>
          <w:trHeight w:val="31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National CineMedia, LLC Third Amended and Restated Limited Liability Company Operating Agreement dated as of February 13,</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2007, by and among American Multi-Cinema, Inc., Cinemark Media, Inc., Regal CineMedia Holdings, LLC and National CineMedia,</w:t>
            </w:r>
          </w:p>
        </w:tc>
      </w:t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w:t>
            </w:r>
          </w:p>
        </w:tc>
      </w:tr>
      <w:tr>
        <w:trPr>
          <w:trHeight w:val="31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First Amendment to Third Amended and Restated Limited Liability Company Operating Agreement of National CineMedia, LLC dated</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 of March 16, 2009, by and among American Multi-Cinema, Inc., Cinemark Media, Inc., Regal CineMedia Holdings, LLC and</w:t>
            </w:r>
          </w:p>
        </w:tc>
      </w:t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National CineMedia, Inc.</w:t>
            </w:r>
          </w:p>
        </w:tc>
      </w:tr>
      <w:tr>
        <w:trPr>
          <w:trHeight w:val="31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Second Amendment to Third Amended and Restated Limited Liability Company Operating Agreement of National CineMedia, LLC</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dated as of August 6, 2010, by and among American Multi-Cinema, Inc., Cinemark Media, Inc., Regal CineMedia Holdings, LLC and</w:t>
            </w:r>
          </w:p>
        </w:tc>
      </w:t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National CineMedia, Inc.</w:t>
            </w:r>
          </w:p>
        </w:tc>
      </w:tr>
      <w:tr>
        <w:trPr>
          <w:trHeight w:val="31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Unit Adjustment Agreement dated as of February 13, 2007, by and among National CineMedia, Inc., National CineMedia,</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LLC, Regal CineMedia Holdings, LLC, American Multi-Cinema, Inc., Cinemark Media, Inc, Regal Cinemas, Inc. and Cinemark USA,</w:t>
            </w:r>
          </w:p>
        </w:tc>
      </w:t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 (Confidential treatment granted as to certain portions, which portions were omitted and filed separately with the Commission.)</w:t>
            </w:r>
          </w:p>
        </w:tc>
      </w:tr>
      <w:tr>
        <w:trPr>
          <w:trHeight w:val="324"/>
        </w:trPr>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r>
      <w:tr>
        <w:trPr>
          <w:trHeight w:val="324"/>
        </w:trPr>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Rule 13a-14(a) Certification of Principal Financial Officer.</w:t>
            </w: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interactive data files shall not be deemed filed for purposes of Section 11 or 12 of the Securities Act of 1933, as amended, or Section 18 of the</w:t>
      </w:r>
    </w:p>
    <w:p>
      <w:pPr>
        <w:spacing w:after="0" w:line="21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the Registrant’s Registration Statement on Form S-4 (File No. 333-176056) filed on August 4, 2011.</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to NCM, Inc.’s Current Report on Form 8-K (File No. 001-33296) filed on February 16,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10.1.1 from NCM, Inc.’s Quarterly Report on Form 10-Q (File No. 001-33296) filed on August 7, 2009.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10.1 from NCM, Inc.’s Current Report on Form 8-K (File No. 001-33296) filed on August 10, 2010.</w:t>
      </w:r>
    </w:p>
    <w:p>
      <w:pPr>
        <w:spacing w:after="0" w:line="4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10.6 to NCM, Inc.’s Current Report on Form 8-K (File No. 001-33296) filed on February 16, 2007.</w:t>
      </w:r>
    </w:p>
    <w:p>
      <w:pPr>
        <w:spacing w:after="0" w:line="1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219"/>
          </w:cols>
          <w:pgMar w:left="240" w:top="455" w:right="1440"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9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National CineMedia, Inc., its manager</w:t>
      </w:r>
    </w:p>
    <w:p>
      <w:pPr>
        <w:spacing w:after="0" w:line="225" w:lineRule="exact"/>
        <w:rPr>
          <w:sz w:val="20"/>
          <w:szCs w:val="20"/>
          <w:color w:val="auto"/>
        </w:rPr>
      </w:pPr>
    </w:p>
    <w:p>
      <w:pPr>
        <w:spacing w:after="0"/>
        <w:tabs>
          <w:tab w:leader="none" w:pos="620" w:val="left"/>
          <w:tab w:leader="none" w:pos="6500" w:val="left"/>
        </w:tabs>
        <w:rPr>
          <w:sz w:val="20"/>
          <w:szCs w:val="20"/>
          <w:color w:val="auto"/>
        </w:rPr>
      </w:pPr>
      <w:r>
        <w:rPr>
          <w:rFonts w:ascii="Times New Roman" w:cs="Times New Roman" w:eastAsia="Times New Roman" w:hAnsi="Times New Roman"/>
          <w:sz w:val="18"/>
          <w:szCs w:val="18"/>
          <w:color w:val="auto"/>
        </w:rPr>
        <w:t>Date:</w:t>
        <w:tab/>
        <w:t>May 8, 2013</w:t>
      </w:r>
      <w:r>
        <w:rPr>
          <w:sz w:val="20"/>
          <w:szCs w:val="20"/>
          <w:color w:val="auto"/>
        </w:rPr>
        <w:tab/>
      </w:r>
      <w:r>
        <w:rPr>
          <w:rFonts w:ascii="Times New Roman" w:cs="Times New Roman" w:eastAsia="Times New Roman" w:hAnsi="Times New Roman"/>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68433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Kurt C. Hall</w:t>
      </w:r>
    </w:p>
    <w:p>
      <w:pPr>
        <w:spacing w:after="0" w:line="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3" w:lineRule="exact"/>
        <w:rPr>
          <w:sz w:val="20"/>
          <w:szCs w:val="20"/>
          <w:color w:val="auto"/>
        </w:rPr>
      </w:pPr>
    </w:p>
    <w:p>
      <w:pPr>
        <w:spacing w:after="0"/>
        <w:tabs>
          <w:tab w:leader="none" w:pos="620" w:val="left"/>
          <w:tab w:leader="none" w:pos="6500" w:val="left"/>
        </w:tabs>
        <w:rPr>
          <w:sz w:val="20"/>
          <w:szCs w:val="20"/>
          <w:color w:val="auto"/>
        </w:rPr>
      </w:pPr>
      <w:r>
        <w:rPr>
          <w:rFonts w:ascii="Times New Roman" w:cs="Times New Roman" w:eastAsia="Times New Roman" w:hAnsi="Times New Roman"/>
          <w:sz w:val="18"/>
          <w:szCs w:val="18"/>
          <w:color w:val="auto"/>
        </w:rPr>
        <w:t>Date:</w:t>
        <w:tab/>
        <w:t>May 8, 2013</w:t>
      </w:r>
      <w:r>
        <w:rPr>
          <w:sz w:val="20"/>
          <w:szCs w:val="20"/>
          <w:color w:val="auto"/>
        </w:rPr>
        <w:tab/>
      </w:r>
      <w:r>
        <w:rPr>
          <w:rFonts w:ascii="Times New Roman" w:cs="Times New Roman" w:eastAsia="Times New Roman" w:hAnsi="Times New Roman"/>
          <w:sz w:val="16"/>
          <w:szCs w:val="16"/>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68433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David J. Oddo</w:t>
      </w:r>
    </w:p>
    <w:p>
      <w:pPr>
        <w:spacing w:after="0" w:line="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Vice President and Interim Co-Chief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3" w:lineRule="exact"/>
        <w:rPr>
          <w:sz w:val="20"/>
          <w:szCs w:val="20"/>
          <w:color w:val="auto"/>
        </w:rPr>
      </w:pPr>
    </w:p>
    <w:p>
      <w:pPr>
        <w:spacing w:after="0"/>
        <w:tabs>
          <w:tab w:leader="none" w:pos="620" w:val="left"/>
          <w:tab w:leader="none" w:pos="6500" w:val="left"/>
        </w:tabs>
        <w:rPr>
          <w:sz w:val="20"/>
          <w:szCs w:val="20"/>
          <w:color w:val="auto"/>
        </w:rPr>
      </w:pPr>
      <w:r>
        <w:rPr>
          <w:rFonts w:ascii="Times New Roman" w:cs="Times New Roman" w:eastAsia="Times New Roman" w:hAnsi="Times New Roman"/>
          <w:sz w:val="18"/>
          <w:szCs w:val="18"/>
          <w:color w:val="auto"/>
        </w:rPr>
        <w:t>Date:</w:t>
        <w:tab/>
        <w:t>May 8, 2013</w:t>
      </w:r>
      <w:r>
        <w:rPr>
          <w:sz w:val="20"/>
          <w:szCs w:val="20"/>
          <w:color w:val="auto"/>
        </w:rPr>
        <w:tab/>
      </w:r>
      <w:r>
        <w:rPr>
          <w:rFonts w:ascii="Times New Roman" w:cs="Times New Roman" w:eastAsia="Times New Roman" w:hAnsi="Times New Roman"/>
          <w:sz w:val="16"/>
          <w:szCs w:val="16"/>
          <w:color w:val="auto"/>
        </w:rPr>
        <w:t>/s/ 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68433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Jeffrey T. Cabot</w:t>
      </w:r>
    </w:p>
    <w:p>
      <w:pPr>
        <w:spacing w:after="0" w:line="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Senior Vice President and Interim Co-Chief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LLC;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Oddo, certify that:</w:t>
      </w:r>
    </w:p>
    <w:p>
      <w:pPr>
        <w:spacing w:after="0" w:line="171" w:lineRule="exact"/>
        <w:rPr>
          <w:sz w:val="20"/>
          <w:szCs w:val="20"/>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LLC;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2013</w:t>
      </w: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David J. Oddo</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and Interim Co-Chief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March 28, 2013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32" w:lineRule="exact"/>
        <w:rPr>
          <w:sz w:val="20"/>
          <w:szCs w:val="20"/>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8, 2013</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for the period ending March 28, 2013 (the “Report”) of National CineMedia LLC (the “Registrant”) as filed with the Securities and Exchange Commission on the date hereof, I, David J. Oddo, the Vice President and Interim Co-Chief Financial Officer of the Registrant, certify, pursuant to 18 U.S.C. § 1350, as adopted pursuant to § 906 of the Sarbanes-Oxley Act of 2002, that to the best of my knowledge:</w:t>
      </w:r>
    </w:p>
    <w:p>
      <w:pPr>
        <w:spacing w:after="0" w:line="97" w:lineRule="exact"/>
        <w:rPr>
          <w:sz w:val="20"/>
          <w:szCs w:val="20"/>
          <w:color w:val="auto"/>
        </w:rPr>
      </w:pPr>
    </w:p>
    <w:p>
      <w:pPr>
        <w:ind w:left="640" w:hanging="17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8, 2013</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David J. Oddo</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and Interim Co-Chief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4"/>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2019-12-08T01:44:34Z</dcterms:created>
  <dcterms:modified xsi:type="dcterms:W3CDTF">2019-12-08T01:44:34Z</dcterms:modified>
</cp:coreProperties>
</file>