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cmi-20240627.htm"/>
      <w:bookmarkStart w:id="1" w:name="ksncmi20240627"/>
      <w:bookmarkEnd w:id="0"/>
      <w:bookmarkEnd w:id="1"/>
      <w:r>
        <w:rPr/>
        <w:t> </w:t>
      </w:r>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874"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27,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vAlign w:val="center"/>
          </w:tcPr>
          <w:p>
            <w:pPr>
              <w:pStyle w:val="TableContents"/>
              <w:bidi w:val="0"/>
              <w:spacing w:before="0" w:after="283"/>
              <w:ind w:left="0" w:right="0" w:firstLine="45"/>
              <w:jc w:val="center"/>
              <w:rPr>
                <w:color w:val="000000"/>
              </w:rPr>
            </w:pPr>
            <w:r>
              <w:rPr>
                <w:color w:val="000000"/>
              </w:rPr>
              <w:t>☐</w:t>
            </w:r>
          </w:p>
        </w:tc>
        <w:tc>
          <w:tcPr>
            <w:tcW w:w="9829" w:type="dxa"/>
            <w:tcBorders/>
            <w:vAlign w:val="center"/>
          </w:tcPr>
          <w:p>
            <w:pPr>
              <w:pStyle w:val="TableContents"/>
              <w:bidi w:val="0"/>
              <w:spacing w:before="0" w:after="283"/>
              <w:ind w:left="45" w:right="45" w:firstLine="45"/>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001-33296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5525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733425"/>
                    </a:xfrm>
                    <a:prstGeom prst="rect">
                      <a:avLst/>
                    </a:prstGeom>
                  </pic:spPr>
                </pic:pic>
              </a:graphicData>
            </a:graphic>
          </wp:inline>
        </w:drawing>
      </w:r>
      <w:r>
        <w:rPr/>
        <w:t> </w:t>
      </w:r>
    </w:p>
    <w:p>
      <w:pPr>
        <w:pStyle w:val="TextBody"/>
        <w:bidi w:val="0"/>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39" w:type="dxa"/>
        <w:jc w:val="left"/>
        <w:tblInd w:w="0" w:type="dxa"/>
        <w:tblLayout w:type="fixed"/>
        <w:tblCellMar>
          <w:top w:w="28" w:type="dxa"/>
          <w:left w:w="28" w:type="dxa"/>
          <w:bottom w:w="28" w:type="dxa"/>
          <w:right w:w="28" w:type="dxa"/>
        </w:tblCellMar>
      </w:tblPr>
      <w:tblGrid>
        <w:gridCol w:w="3016"/>
        <w:gridCol w:w="1021"/>
        <w:gridCol w:w="9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21"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30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21"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vAlign w:val="center"/>
          </w:tcPr>
          <w:p>
            <w:pPr>
              <w:pStyle w:val="TableContents"/>
              <w:bidi w:val="0"/>
              <w:spacing w:before="0" w:after="283"/>
              <w:jc w:val="center"/>
              <w:rPr/>
            </w:pPr>
            <w:r>
              <w:rPr/>
              <w:t> </w:t>
            </w:r>
          </w:p>
        </w:tc>
        <w:tc>
          <w:tcPr>
            <w:tcW w:w="1021" w:type="dxa"/>
            <w:tcBorders/>
            <w:vAlign w:val="center"/>
          </w:tcPr>
          <w:p>
            <w:pPr>
              <w:pStyle w:val="TableContents"/>
              <w:bidi w:val="0"/>
              <w:spacing w:before="0" w:after="283"/>
              <w:jc w:val="center"/>
              <w:rPr/>
            </w:pPr>
            <w:r>
              <w:rPr/>
              <w:t> </w:t>
            </w:r>
          </w:p>
        </w:tc>
        <w:tc>
          <w:tcPr>
            <w:tcW w:w="91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pPr>
            <w:r>
              <w:rPr/>
              <w:t> </w:t>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300</w:t>
            </w:r>
          </w:p>
        </w:tc>
        <w:tc>
          <w:tcPr>
            <w:tcW w:w="10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w:t>
            </w:r>
          </w:p>
        </w:tc>
        <w:tc>
          <w:tcPr>
            <w:tcW w:w="9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Colorado</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30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937" w:type="dxa"/>
            <w:gridSpan w:val="2"/>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(303) 792-3600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598" w:type="dxa"/>
        <w:jc w:val="left"/>
        <w:tblInd w:w="0" w:type="dxa"/>
        <w:tblLayout w:type="fixed"/>
        <w:tblCellMar>
          <w:top w:w="28" w:type="dxa"/>
          <w:left w:w="28" w:type="dxa"/>
          <w:bottom w:w="28" w:type="dxa"/>
          <w:right w:w="28" w:type="dxa"/>
        </w:tblCellMar>
      </w:tblPr>
      <w:tblGrid>
        <w:gridCol w:w="3496"/>
        <w:gridCol w:w="1396"/>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396" w:type="dxa"/>
            <w:tcBorders/>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Trading symbol</w:t>
            </w:r>
          </w:p>
        </w:tc>
        <w:tc>
          <w:tcPr>
            <w:tcW w:w="3706" w:type="dxa"/>
            <w:tcBorders/>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3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37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August 1, 2024, 95,321,639 shares of the registrant’s common stock (including unvested restricted shares), par value of $0.01 per share,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71" w:type="dxa"/>
            <w:tcBorders/>
            <w:vAlign w:val="center"/>
          </w:tcPr>
          <w:p>
            <w:pPr>
              <w:pStyle w:val="TableContents"/>
              <w:bidi w:val="0"/>
              <w:spacing w:before="53" w:after="30"/>
              <w:jc w:val="right"/>
              <w:rPr/>
            </w:pPr>
            <w:r>
              <w:rPr/>
              <w:t> </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53" w:after="30"/>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vAlign w:val="center"/>
          </w:tcPr>
          <w:p>
            <w:pPr>
              <w:pStyle w:val="TableContents"/>
              <w:bidi w:val="0"/>
              <w:spacing w:before="0" w:after="283"/>
              <w:ind w:left="0" w:right="0" w:firstLine="225"/>
              <w:jc w:val="left"/>
              <w:rPr/>
            </w:pPr>
            <w:r>
              <w:rPr/>
              <w:t> </w:t>
            </w:r>
          </w:p>
        </w:tc>
        <w:tc>
          <w:tcPr>
            <w:tcW w:w="7366" w:type="dxa"/>
            <w:tcBorders/>
            <w:vAlign w:val="center"/>
          </w:tcPr>
          <w:p>
            <w:pPr>
              <w:pStyle w:val="TableContents"/>
              <w:bidi w:val="0"/>
              <w:spacing w:before="0" w:after="283"/>
              <w:ind w:left="225" w:right="0" w:firstLine="225"/>
              <w:jc w:val="left"/>
              <w:rPr/>
            </w:pPr>
            <w:hyperlink w:anchor="condensed_consolidated_balance_sheets">
              <w:r>
                <w:rPr>
                  <w:rStyle w:val="InternetLink"/>
                  <w:rFonts w:ascii="Times New Roman" w:hAnsi="Times New Roman"/>
                  <w:color w:val="0000FF"/>
                  <w:sz w:val="20"/>
                  <w:u w:val="single"/>
                </w:rPr>
                <w:t>Unaudited Condensed Consolidated Balance Sheets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vAlign w:val="center"/>
          </w:tcPr>
          <w:p>
            <w:pPr>
              <w:pStyle w:val="TableContents"/>
              <w:bidi w:val="0"/>
              <w:spacing w:before="0" w:after="283"/>
              <w:ind w:left="0" w:right="0" w:firstLine="225"/>
              <w:jc w:val="left"/>
              <w:rPr/>
            </w:pPr>
            <w:r>
              <w:rPr/>
              <w:t> </w:t>
            </w:r>
          </w:p>
        </w:tc>
        <w:tc>
          <w:tcPr>
            <w:tcW w:w="7366" w:type="dxa"/>
            <w:tcBorders/>
            <w:vAlign w:val="center"/>
          </w:tcPr>
          <w:p>
            <w:pPr>
              <w:pStyle w:val="TableContents"/>
              <w:bidi w:val="0"/>
              <w:spacing w:before="0" w:after="283"/>
              <w:ind w:left="225" w:right="0" w:firstLine="225"/>
              <w:jc w:val="left"/>
              <w:rPr/>
            </w:pPr>
            <w:hyperlink w:anchor="condensed_consolidated_statements_opera">
              <w:r>
                <w:rPr>
                  <w:rStyle w:val="InternetLink"/>
                  <w:rFonts w:ascii="Times New Roman" w:hAnsi="Times New Roman"/>
                  <w:color w:val="0000FF"/>
                  <w:sz w:val="20"/>
                  <w:u w:val="single"/>
                </w:rPr>
                <w:t>Unaudited Condensed Consolidated Statements of Operations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w:t>
            </w:r>
          </w:p>
        </w:tc>
      </w:tr>
      <w:tr>
        <w:trPr/>
        <w:tc>
          <w:tcPr>
            <w:tcW w:w="811" w:type="dxa"/>
            <w:tcBorders/>
            <w:vAlign w:val="center"/>
          </w:tcPr>
          <w:p>
            <w:pPr>
              <w:pStyle w:val="TableContents"/>
              <w:bidi w:val="0"/>
              <w:spacing w:before="0" w:after="283"/>
              <w:ind w:left="0" w:right="0" w:firstLine="225"/>
              <w:jc w:val="left"/>
              <w:rPr/>
            </w:pPr>
            <w:r>
              <w:rPr/>
              <w:t> </w:t>
            </w:r>
          </w:p>
        </w:tc>
        <w:tc>
          <w:tcPr>
            <w:tcW w:w="7366" w:type="dxa"/>
            <w:tcBorders/>
            <w:vAlign w:val="center"/>
          </w:tcPr>
          <w:p>
            <w:pPr>
              <w:pStyle w:val="TableContents"/>
              <w:bidi w:val="0"/>
              <w:spacing w:before="0" w:after="283"/>
              <w:ind w:left="225" w:right="0" w:firstLine="225"/>
              <w:jc w:val="left"/>
              <w:rPr/>
            </w:pPr>
            <w:hyperlink w:anchor="condense_statements_of_cash_flows">
              <w:r>
                <w:rPr>
                  <w:rStyle w:val="InternetLink"/>
                  <w:rFonts w:ascii="Times New Roman" w:hAnsi="Times New Roman"/>
                  <w:color w:val="0000FF"/>
                  <w:sz w:val="20"/>
                  <w:u w:val="single"/>
                </w:rPr>
                <w:t>Unaudited Condensed Consolidated Statements of Cash Flows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811" w:type="dxa"/>
            <w:tcBorders/>
            <w:vAlign w:val="center"/>
          </w:tcPr>
          <w:p>
            <w:pPr>
              <w:pStyle w:val="TableContents"/>
              <w:bidi w:val="0"/>
              <w:spacing w:before="0" w:after="283"/>
              <w:ind w:left="0" w:right="0" w:firstLine="225"/>
              <w:jc w:val="left"/>
              <w:rPr/>
            </w:pPr>
            <w:r>
              <w:rPr/>
              <w:t> </w:t>
            </w:r>
          </w:p>
        </w:tc>
        <w:tc>
          <w:tcPr>
            <w:tcW w:w="7366" w:type="dxa"/>
            <w:tcBorders/>
            <w:vAlign w:val="center"/>
          </w:tcPr>
          <w:p>
            <w:pPr>
              <w:pStyle w:val="TableContents"/>
              <w:bidi w:val="0"/>
              <w:spacing w:before="0" w:after="283"/>
              <w:ind w:left="225" w:right="0" w:firstLine="225"/>
              <w:jc w:val="left"/>
              <w:rPr/>
            </w:pPr>
            <w:hyperlink w:anchor="consolidated_statements_of_equity">
              <w:r>
                <w:rPr>
                  <w:rStyle w:val="InternetLink"/>
                  <w:rFonts w:ascii="Times New Roman" w:hAnsi="Times New Roman"/>
                  <w:color w:val="0000FF"/>
                  <w:sz w:val="20"/>
                  <w:u w:val="single"/>
                </w:rPr>
                <w:t>Unaudited Condensed Consolidated Statements of Equity/(Deficit)</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5</w:t>
            </w:r>
          </w:p>
        </w:tc>
      </w:tr>
      <w:tr>
        <w:trPr/>
        <w:tc>
          <w:tcPr>
            <w:tcW w:w="811" w:type="dxa"/>
            <w:tcBorders/>
            <w:vAlign w:val="center"/>
          </w:tcPr>
          <w:p>
            <w:pPr>
              <w:pStyle w:val="TableContents"/>
              <w:bidi w:val="0"/>
              <w:spacing w:before="0" w:after="283"/>
              <w:ind w:left="0" w:right="0" w:firstLine="225"/>
              <w:jc w:val="left"/>
              <w:rPr/>
            </w:pPr>
            <w:r>
              <w:rPr/>
              <w:t> </w:t>
            </w:r>
          </w:p>
        </w:tc>
        <w:tc>
          <w:tcPr>
            <w:tcW w:w="7366" w:type="dxa"/>
            <w:tcBorders/>
            <w:vAlign w:val="center"/>
          </w:tcPr>
          <w:p>
            <w:pPr>
              <w:pStyle w:val="TableContents"/>
              <w:bidi w:val="0"/>
              <w:spacing w:before="0" w:after="283"/>
              <w:ind w:left="225" w:right="0" w:firstLine="225"/>
              <w:jc w:val="left"/>
              <w:rPr/>
            </w:pPr>
            <w:hyperlink w:anchor="the_company">
              <w:r>
                <w:rPr>
                  <w:rStyle w:val="InternetLink"/>
                  <w:rFonts w:ascii="Times New Roman" w:hAnsi="Times New Roman"/>
                  <w:color w:val="0000FF"/>
                  <w:sz w:val="20"/>
                  <w:u w:val="single"/>
                </w:rPr>
                <w:t>Notes to Unaudited Condensed Consolidated Financial Statements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6</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20</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33</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33</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center"/>
              <w:rPr/>
            </w:pPr>
            <w:r>
              <w:rPr/>
              <w:t> </w:t>
            </w:r>
          </w:p>
        </w:tc>
        <w:tc>
          <w:tcPr>
            <w:tcW w:w="57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w:t>
              </w:r>
            </w:hyperlink>
          </w:p>
        </w:tc>
        <w:tc>
          <w:tcPr>
            <w:tcW w:w="57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vAlign w:val="center"/>
          </w:tcPr>
          <w:p>
            <w:pPr>
              <w:pStyle w:val="TableContents"/>
              <w:bidi w:val="0"/>
              <w:spacing w:before="0" w:after="283"/>
              <w:jc w:val="left"/>
              <w:rPr/>
            </w:pPr>
            <w:hyperlink w:anchor="item_2_unregistered_sales_equity">
              <w:r>
                <w:rPr>
                  <w:rStyle w:val="InternetLink"/>
                  <w:rFonts w:ascii="Times New Roman" w:hAnsi="Times New Roman"/>
                  <w:color w:val="0000FF"/>
                  <w:sz w:val="20"/>
                  <w:u w:val="single"/>
                </w:rPr>
                <w:t>Unregistered Sales of Equity Securities and Use of Proceeds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vAlign w:val="center"/>
          </w:tcPr>
          <w:p>
            <w:pPr>
              <w:pStyle w:val="TableContents"/>
              <w:bidi w:val="0"/>
              <w:spacing w:before="0" w:after="283"/>
              <w:jc w:val="left"/>
              <w:rPr/>
            </w:pPr>
            <w:hyperlink w:anchor="item_3_defaults_upon_senior_securitie">
              <w:r>
                <w:rPr>
                  <w:rStyle w:val="InternetLink"/>
                  <w:rFonts w:ascii="Times New Roman" w:hAnsi="Times New Roman"/>
                  <w:color w:val="0000FF"/>
                  <w:sz w:val="20"/>
                  <w:u w:val="single"/>
                </w:rPr>
                <w:t>Defaults Upon Senior Securities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34</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35</w:t>
            </w:r>
          </w:p>
        </w:tc>
      </w:tr>
      <w:tr>
        <w:trPr/>
        <w:tc>
          <w:tcPr>
            <w:tcW w:w="811"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pPr>
            <w:r>
              <w:rPr/>
              <w:t> </w:t>
            </w:r>
          </w:p>
        </w:tc>
      </w:tr>
      <w:tr>
        <w:trPr/>
        <w:tc>
          <w:tcPr>
            <w:tcW w:w="8177" w:type="dxa"/>
            <w:gridSpan w:val="2"/>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5" w:name="item_1_financial_statements"/>
      <w:bookmarkEnd w:id="5"/>
      <w:r>
        <w:rPr>
          <w:rFonts w:ascii="Times New Roman" w:hAnsi="Times New Roman"/>
          <w:b/>
          <w:color w:val="000000"/>
          <w:sz w:val="20"/>
        </w:rPr>
        <w:t xml:space="preserve">Item 1.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98"/>
        <w:gridCol w:w="146"/>
        <w:gridCol w:w="289"/>
        <w:gridCol w:w="785"/>
        <w:gridCol w:w="146"/>
        <w:gridCol w:w="146"/>
        <w:gridCol w:w="376"/>
        <w:gridCol w:w="1025"/>
        <w:gridCol w:w="794"/>
      </w:tblGrid>
      <w:tr>
        <w:trPr/>
        <w:tc>
          <w:tcPr>
            <w:tcW w:w="6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4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1"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4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1"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400"/>
              <w:jc w:val="righ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Receivables, net of allowance of $1.0 and $1.4, respectively</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794" w:type="dxa"/>
            <w:tcBorders/>
            <w:shd w:fill="CFF0FC" w:val="clear"/>
            <w:vAlign w:val="center"/>
          </w:tcPr>
          <w:p>
            <w:pPr>
              <w:pStyle w:val="TableContents"/>
              <w:bidi w:val="0"/>
              <w:spacing w:before="0" w:after="283"/>
              <w:jc w:val="left"/>
              <w:rPr/>
            </w:pPr>
            <w:r>
              <w:rPr/>
              <w:t> </w:t>
            </w:r>
          </w:p>
        </w:tc>
      </w:tr>
      <w:tr>
        <w:trPr/>
        <w:tc>
          <w:tcPr>
            <w:tcW w:w="64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1"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400"/>
              <w:jc w:val="righ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Property and equipment, net of accumulated depreciation of $3.5 and $1.6, </w:t>
              <w:br/>
              <w:t>   respectively</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Intangible assets, net of accumulated amortization of $34.0 and $15.0, respectively</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Debt issuance costs, net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1"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jc w:val="right"/>
              <w:rPr/>
            </w:pPr>
            <w:r>
              <w:rPr/>
              <w:t> </w:t>
            </w:r>
          </w:p>
        </w:tc>
      </w:tr>
      <w:tr>
        <w:trPr/>
        <w:tc>
          <w:tcPr>
            <w:tcW w:w="6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1"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ind w:left="0" w:right="0" w:firstLine="400"/>
              <w:jc w:val="righ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Amounts due to ESA Parties, net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794" w:type="dxa"/>
            <w:tcBorders/>
            <w:shd w:fill="FFFFFF" w:val="clear"/>
            <w:vAlign w:val="center"/>
          </w:tcPr>
          <w:p>
            <w:pPr>
              <w:pStyle w:val="TableContents"/>
              <w:bidi w:val="0"/>
              <w:spacing w:before="0" w:after="283"/>
              <w:jc w:val="left"/>
              <w:rPr/>
            </w:pPr>
            <w:r>
              <w:rPr/>
              <w:t> </w:t>
            </w:r>
          </w:p>
        </w:tc>
      </w:tr>
      <w:tr>
        <w:trPr/>
        <w:tc>
          <w:tcPr>
            <w:tcW w:w="6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1"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ind w:left="0" w:right="0" w:firstLine="400"/>
              <w:jc w:val="righ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under the TRA</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1"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4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1"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49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NCM, Inc. Stockholders’ Equity:</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1"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ind w:left="0" w:right="0" w:firstLine="400"/>
              <w:jc w:val="righ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Preferred stock, $0.01 par value; 10,000,000 shares authorized, 50 issued</w:t>
              <w:br/>
              <w:t>    and outstanding</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color w:val="000000"/>
              </w:rPr>
            </w:pPr>
            <w:r>
              <w:rPr>
                <w:color w:val="000000"/>
              </w:rPr>
              <w:t>—</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Common stock, $0.01 par value; 260,000,000 shares authorized, 95,238,849 and </w:t>
              <w:br/>
              <w:t>   96,837,039 issued and outstanding, respectively</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94" w:type="dxa"/>
            <w:tcBorders/>
            <w:shd w:fill="CFF0FC" w:val="clear"/>
            <w:vAlign w:val="center"/>
          </w:tcPr>
          <w:p>
            <w:pPr>
              <w:pStyle w:val="TableContents"/>
              <w:bidi w:val="0"/>
              <w:spacing w:before="0" w:after="283"/>
              <w:ind w:left="0" w:right="0" w:firstLine="400"/>
              <w:jc w:val="left"/>
              <w:rPr/>
            </w:pPr>
            <w:r>
              <w:rPr/>
              <w:t> </w:t>
            </w:r>
          </w:p>
        </w:tc>
      </w:tr>
      <w:tr>
        <w:trPr/>
        <w:tc>
          <w:tcPr>
            <w:tcW w:w="649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Additional paid in capital</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NCM, Inc. stockholders’ equity</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794" w:type="dxa"/>
            <w:tcBorders/>
            <w:shd w:fill="FFFFFF" w:val="clear"/>
            <w:vAlign w:val="center"/>
          </w:tcPr>
          <w:p>
            <w:pPr>
              <w:pStyle w:val="TableContents"/>
              <w:bidi w:val="0"/>
              <w:spacing w:before="0" w:after="283"/>
              <w:ind w:left="0" w:right="0" w:firstLine="400"/>
              <w:jc w:val="left"/>
              <w:rPr/>
            </w:pPr>
            <w:r>
              <w:rPr/>
              <w:t> </w:t>
            </w:r>
          </w:p>
        </w:tc>
      </w:tr>
      <w:tr>
        <w:trPr/>
        <w:tc>
          <w:tcPr>
            <w:tcW w:w="649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9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7" w:name="condensed_consolidated_statements_opera"/>
      <w:bookmarkEnd w:id="7"/>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REVENUE (including revenue from related parties of $0.0, $8.5, </w:t>
              <w:br/>
              <w:t>   $0.0 and $11.8,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ESA Parties and network affiliate fees (including fees to related </w:t>
              <w:br/>
              <w:t>   parties of $0.0, $2.7, $0.0 and $16.5,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re-measurement of the payable under the tax receivable</w:t>
              <w:br/>
              <w:t>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 on deconsolidation of NCM LLC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NCM,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(LOSS) INCOME ATTRIBUTABLE TO </w:t>
              <w:br/>
              <w:t>   NCM, INC.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NCM, INC. COMMON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591" w:type="dxa"/>
            <w:tcBorders/>
            <w:shd w:fill="FFFFFF" w:val="cle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15,978,331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17,405,864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17,349,139</w:t>
            </w:r>
          </w:p>
        </w:tc>
        <w:tc>
          <w:tcPr>
            <w:tcW w:w="59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8" w:name="condense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72"/>
        <w:gridCol w:w="146"/>
        <w:gridCol w:w="307"/>
        <w:gridCol w:w="767"/>
        <w:gridCol w:w="166"/>
        <w:gridCol w:w="146"/>
        <w:gridCol w:w="272"/>
        <w:gridCol w:w="815"/>
        <w:gridCol w:w="1014"/>
      </w:tblGrid>
      <w:tr>
        <w:trPr/>
        <w:tc>
          <w:tcPr>
            <w:tcW w:w="6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65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200"/>
              <w:jc w:val="right"/>
              <w:rPr/>
            </w:pPr>
            <w:r>
              <w:rPr/>
              <w:t> </w:t>
            </w:r>
          </w:p>
        </w:tc>
      </w:tr>
      <w:tr>
        <w:trPr/>
        <w:tc>
          <w:tcPr>
            <w:tcW w:w="65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014" w:type="dxa"/>
            <w:tcBorders/>
            <w:shd w:fill="FFFFFF" w:val="clear"/>
            <w:vAlign w:val="center"/>
          </w:tcPr>
          <w:p>
            <w:pPr>
              <w:pStyle w:val="TableContents"/>
              <w:bidi w:val="0"/>
              <w:spacing w:before="0" w:after="283"/>
              <w:ind w:left="0" w:right="0" w:firstLine="400"/>
              <w:jc w:val="left"/>
              <w:rPr/>
            </w:pPr>
            <w:r>
              <w:rPr/>
              <w:t> </w:t>
            </w:r>
          </w:p>
        </w:tc>
      </w:tr>
      <w:tr>
        <w:trPr/>
        <w:tc>
          <w:tcPr>
            <w:tcW w:w="65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Adjustments to reconcile consolidated net loss to net cash used in operating </w:t>
              <w:br/>
              <w:t>   activities: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600"/>
              <w:jc w:val="righ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014" w:type="dxa"/>
            <w:tcBorders/>
            <w:shd w:fill="CFF0FC" w:val="clear"/>
            <w:vAlign w:val="center"/>
          </w:tcPr>
          <w:p>
            <w:pPr>
              <w:pStyle w:val="TableContents"/>
              <w:bidi w:val="0"/>
              <w:spacing w:before="0" w:after="283"/>
              <w:ind w:left="0" w:right="0" w:firstLine="600"/>
              <w:jc w:val="lef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Non-cash share-based compensation</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014" w:type="dxa"/>
            <w:tcBorders/>
            <w:shd w:fill="CFF0FC" w:val="clear"/>
            <w:vAlign w:val="center"/>
          </w:tcPr>
          <w:p>
            <w:pPr>
              <w:pStyle w:val="TableContents"/>
              <w:bidi w:val="0"/>
              <w:spacing w:before="0" w:after="283"/>
              <w:ind w:left="0" w:right="0" w:firstLine="600"/>
              <w:jc w:val="lef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Gain on deconsolidation</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Non-cash loss on re-measurement of the payable under the tax</w:t>
              <w:br/>
              <w:t>   receivable agreement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014" w:type="dxa"/>
            <w:tcBorders/>
            <w:shd w:fill="CFF0FC" w:val="clear"/>
            <w:vAlign w:val="center"/>
          </w:tcPr>
          <w:p>
            <w:pPr>
              <w:pStyle w:val="TableContents"/>
              <w:bidi w:val="0"/>
              <w:spacing w:before="0" w:after="283"/>
              <w:ind w:left="0" w:right="0" w:firstLine="600"/>
              <w:jc w:val="lef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0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ESA integration and other encumbered theater payments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014" w:type="dxa"/>
            <w:tcBorders/>
            <w:shd w:fill="CFF0FC" w:val="clear"/>
            <w:vAlign w:val="center"/>
          </w:tcPr>
          <w:p>
            <w:pPr>
              <w:pStyle w:val="TableContents"/>
              <w:bidi w:val="0"/>
              <w:spacing w:before="0" w:after="283"/>
              <w:ind w:left="0" w:right="0" w:firstLine="400"/>
              <w:jc w:val="left"/>
              <w:rPr/>
            </w:pPr>
            <w:r>
              <w:rPr/>
              <w:t> </w:t>
            </w:r>
          </w:p>
        </w:tc>
      </w:tr>
      <w:tr>
        <w:trPr/>
        <w:tc>
          <w:tcPr>
            <w:tcW w:w="65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cash flows from operating activities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0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600"/>
              <w:jc w:val="righ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014" w:type="dxa"/>
            <w:tcBorders/>
            <w:shd w:fill="CFF0FC" w:val="clear"/>
            <w:vAlign w:val="center"/>
          </w:tcPr>
          <w:p>
            <w:pPr>
              <w:pStyle w:val="TableContents"/>
              <w:bidi w:val="0"/>
              <w:spacing w:before="0" w:after="283"/>
              <w:ind w:left="0" w:right="0" w:firstLine="600"/>
              <w:jc w:val="lef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ESA amounts due to/from, net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Amounts due to/from unconsolidated affiliate, net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1014" w:type="dxa"/>
            <w:tcBorders/>
            <w:shd w:fill="FFFFFF" w:val="clear"/>
            <w:vAlign w:val="center"/>
          </w:tcPr>
          <w:p>
            <w:pPr>
              <w:pStyle w:val="TableContents"/>
              <w:bidi w:val="0"/>
              <w:spacing w:before="0" w:after="283"/>
              <w:ind w:left="0" w:right="0" w:firstLine="600"/>
              <w:jc w:val="righ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Proceeds received from equity method investment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Proceeds from the sale of assets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7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014" w:type="dxa"/>
            <w:tcBorders/>
            <w:shd w:fill="CFF0FC" w:val="clear"/>
            <w:vAlign w:val="center"/>
          </w:tcPr>
          <w:p>
            <w:pPr>
              <w:pStyle w:val="TableContents"/>
              <w:bidi w:val="0"/>
              <w:spacing w:before="0" w:after="283"/>
              <w:ind w:left="0" w:right="0" w:firstLine="600"/>
              <w:jc w:val="righ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Purchases of NCM, Inc.'s common stock</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014" w:type="dxa"/>
            <w:tcBorders/>
            <w:shd w:fill="CFF0FC" w:val="clear"/>
            <w:vAlign w:val="center"/>
          </w:tcPr>
          <w:p>
            <w:pPr>
              <w:pStyle w:val="TableContents"/>
              <w:bidi w:val="0"/>
              <w:spacing w:before="0" w:after="283"/>
              <w:ind w:left="0" w:right="0" w:firstLine="600"/>
              <w:jc w:val="left"/>
              <w:rPr/>
            </w:pPr>
            <w:r>
              <w:rPr/>
              <w:t> </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redemption of NCM LLC common membership units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1014" w:type="dxa"/>
            <w:tcBorders/>
            <w:shd w:fill="FFFFFF" w:val="clear"/>
            <w:vAlign w:val="center"/>
          </w:tcPr>
          <w:p>
            <w:pPr>
              <w:pStyle w:val="TableContents"/>
              <w:bidi w:val="0"/>
              <w:spacing w:before="0" w:after="283"/>
              <w:ind w:left="0" w:right="0" w:firstLine="600"/>
              <w:jc w:val="lef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Removal of cash, cash equivalents and restricted cash of unconsolidated affiliate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0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Repayment of term loan facility</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0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7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7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9" w:name="consolidated_statements_of_cash_flows"/>
      <w:bookmarkEnd w:id="9"/>
      <w:r>
        <w:rPr>
          <w:rFonts w:ascii="Times New Roman" w:hAnsi="Times New Roman"/>
          <w:b/>
          <w:color w:val="000000"/>
          <w:sz w:val="18"/>
        </w:rPr>
        <w:t>CONDENSED CONSOLIDATED STATEMENTS OF CASH FLOWS (CONTINUED)</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8940" w:type="dxa"/>
        <w:jc w:val="left"/>
        <w:tblInd w:w="0" w:type="dxa"/>
        <w:tblLayout w:type="fixed"/>
        <w:tblCellMar>
          <w:top w:w="28" w:type="dxa"/>
          <w:left w:w="28" w:type="dxa"/>
          <w:bottom w:w="28" w:type="dxa"/>
          <w:right w:w="28" w:type="dxa"/>
        </w:tblCellMar>
      </w:tblPr>
      <w:tblGrid>
        <w:gridCol w:w="5821"/>
        <w:gridCol w:w="146"/>
        <w:gridCol w:w="375"/>
        <w:gridCol w:w="750"/>
        <w:gridCol w:w="166"/>
        <w:gridCol w:w="146"/>
        <w:gridCol w:w="322"/>
        <w:gridCol w:w="803"/>
        <w:gridCol w:w="41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and investing activity:</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an intangible asset with NCM LLC equity</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Exchange of subsidiary equity with NCM, Inc. equity</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liabilities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5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refunded for income taxes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10" w:name="consolidated_statements_of_equity"/>
      <w:bookmarkEnd w:id="10"/>
      <w:r>
        <w:rPr>
          <w:rFonts w:ascii="Times New Roman" w:hAnsi="Times New Roman"/>
          <w:b/>
          <w:color w:val="000000"/>
          <w:sz w:val="18"/>
        </w:rPr>
        <w:t>CONDENSED CONSOLIDATED STATEMENTS OF EQUITY/(DEFICIT)</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85"/>
        <w:gridCol w:w="146"/>
        <w:gridCol w:w="256"/>
        <w:gridCol w:w="705"/>
        <w:gridCol w:w="151"/>
        <w:gridCol w:w="146"/>
        <w:gridCol w:w="146"/>
        <w:gridCol w:w="796"/>
        <w:gridCol w:w="151"/>
        <w:gridCol w:w="146"/>
        <w:gridCol w:w="216"/>
        <w:gridCol w:w="415"/>
        <w:gridCol w:w="146"/>
        <w:gridCol w:w="146"/>
        <w:gridCol w:w="160"/>
        <w:gridCol w:w="381"/>
        <w:gridCol w:w="146"/>
        <w:gridCol w:w="146"/>
        <w:gridCol w:w="216"/>
        <w:gridCol w:w="415"/>
        <w:gridCol w:w="146"/>
        <w:gridCol w:w="146"/>
        <w:gridCol w:w="216"/>
        <w:gridCol w:w="595"/>
        <w:gridCol w:w="151"/>
        <w:gridCol w:w="146"/>
        <w:gridCol w:w="264"/>
        <w:gridCol w:w="727"/>
        <w:gridCol w:w="151"/>
        <w:gridCol w:w="146"/>
        <w:gridCol w:w="278"/>
        <w:gridCol w:w="533"/>
        <w:gridCol w:w="191"/>
      </w:tblGrid>
      <w:tr>
        <w:trPr/>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4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4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4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br/>
              <w:t>Capital</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br/>
              <w:t>Earnings</w:t>
              <w:b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b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30, 2023</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(531.8</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17,405,412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(415.9</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Deconsolidation of affiliate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 net of tax</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29, 2023</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17,405,978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28, 2024</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97,082,436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Income tax and other impacts of NCM LLC </w:t>
              <w:br/>
              <w:t>   ownership changes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NCM LLC equity issued for purchase of intangible </w:t>
              <w:br/>
              <w:t>   asset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Cash redemption of NCM LLC common </w:t>
              <w:br/>
              <w:t>   membership units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(1,911,587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27, 2024</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95,238,849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75"/>
        <w:gridCol w:w="146"/>
        <w:gridCol w:w="256"/>
        <w:gridCol w:w="705"/>
        <w:gridCol w:w="151"/>
        <w:gridCol w:w="146"/>
        <w:gridCol w:w="146"/>
        <w:gridCol w:w="796"/>
        <w:gridCol w:w="151"/>
        <w:gridCol w:w="146"/>
        <w:gridCol w:w="216"/>
        <w:gridCol w:w="415"/>
        <w:gridCol w:w="151"/>
        <w:gridCol w:w="146"/>
        <w:gridCol w:w="160"/>
        <w:gridCol w:w="381"/>
        <w:gridCol w:w="146"/>
        <w:gridCol w:w="146"/>
        <w:gridCol w:w="216"/>
        <w:gridCol w:w="415"/>
        <w:gridCol w:w="146"/>
        <w:gridCol w:w="146"/>
        <w:gridCol w:w="216"/>
        <w:gridCol w:w="595"/>
        <w:gridCol w:w="151"/>
        <w:gridCol w:w="146"/>
        <w:gridCol w:w="264"/>
        <w:gridCol w:w="727"/>
        <w:gridCol w:w="151"/>
        <w:gridCol w:w="146"/>
        <w:gridCol w:w="243"/>
        <w:gridCol w:w="568"/>
        <w:gridCol w:w="196"/>
      </w:tblGrid>
      <w:tr>
        <w:trPr/>
        <w:tc>
          <w:tcPr>
            <w:tcW w:w="1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4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4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4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br/>
              <w:t>Capital</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br/>
              <w:t>Earnings</w:t>
              <w:b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29, 2022</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(464.0</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12,840,264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(146.2</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(370.4</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w:t>
            </w:r>
          </w:p>
        </w:tc>
        <w:tc>
          <w:tcPr>
            <w:tcW w:w="196" w:type="dxa"/>
            <w:tcBorders/>
            <w:shd w:fill="CFF0FC"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Deconsolidation of affiliate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Income tax and other impacts of NCM LLC </w:t>
              <w:br/>
              <w:t>   ownership changes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w:t>
            </w:r>
          </w:p>
        </w:tc>
        <w:tc>
          <w:tcPr>
            <w:tcW w:w="1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shares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4,369,080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NCM LLC common membership redemption</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1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196,634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June 29, 2023</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17,405,978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28, 2023</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96,837,039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Income tax and other impacts of NCM LLC </w:t>
              <w:br/>
              <w:t>   ownership changes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NCM LLC equity issued for purchase of intangible </w:t>
              <w:br/>
              <w:t>   asset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Cash redemption of NCM LLC common </w:t>
              <w:br/>
              <w:t>   membership units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(1,919,587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321,397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7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Balance—June 27, 2024</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95,238,849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1" w:name="the_company"/>
      <w:bookmarkEnd w:id="11"/>
      <w:r>
        <w:rPr>
          <w:rFonts w:ascii="Times New Roman" w:hAnsi="Times New Roman"/>
          <w:b/>
          <w:color w:val="000000"/>
          <w:sz w:val="20"/>
        </w:rPr>
        <w:t>1.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CineMedia, Inc., a Delaware corporation (“NCM, Inc.”), is a holding company with the sole purpose of becoming a member and sole manager of National CineMedia, LLC (“NCM LLC”), a Delaware limited liability company. NCM, Inc. currently owns approximately 100.0% of NCM LLC. The terms “NCM”, “the Company” or “we” shall, unless the context otherwise requires, be deemed to include the consolidated entity.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the largest cinema advertising network reaching movie audiences in the U.S. and sells advertising under long-term exhibitor service agreements (“ESAs”) with Cinemark USA, Inc., a wholly owned subsidiary of Cinemark Holdings, Inc. (“Cinemark”), and American Multi-Cinema, Inc., a wholly owned subsidiary of AMC Entertainment, Inc. (“AMC”) and with certain network affiliates under long-term network affiliates agreements, including Regal Cinemas, Inc., a wholly owned subsidiary of Cineworld Group plc and Regal Entertainment Group (“Regal”). As of June 27, 2024, the weighted average remaining term of the ESAs with Cinemark and AMC was approximately 14.6 years. The network affiliate agreements expire at various dates between January 2025 and July 2033. The weighted average remaining term of the ESAs and the network affiliate agreements together is 10.6 years as of June 27,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Bankruptcy Filing, Deconsolidation and Reconsolidation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the Company recorded a gain on deconsolidation of $557.7 million within the second quarter of 2023. NCM, Inc.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to support operations upon emergence. As a result of the Plan, all historical debt of NCM LLC was discharged and NCM LLC recorded a gain on bankruptcy of $916.4 million for the year ended December 28, 2023.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hAnsi="Times New Roman"/>
          <w:i/>
          <w:color w:val="000000"/>
          <w:sz w:val="20"/>
        </w:rPr>
        <w:t>Accounting Standards Codification</w:t>
      </w:r>
      <w:r>
        <w:rPr>
          <w:rFonts w:ascii="Times New Roman" w:hAnsi="Times New Roman"/>
          <w:color w:val="000000"/>
          <w:sz w:val="20"/>
        </w:rPr>
        <w:t xml:space="preserve">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xml:space="preserve">, the assets and liabilities of NCM LLC were adjusted to their estimated fair value as of the Effective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27, 2024, the Company had not completed all agreed upon payments to the General Unsecured Claim Pool and held a total of $3.0 million within the escrow accounts and accruals, presented within ‘Restricted cash’ and ‘Accounts payable’ on the unaudited Consolidated Balance Sheet as of June 27, 2024, respectively.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2022, AMC and Regal each redeemed all of their outstanding membership units, 595,465 and 4,068,380, respectively, in exchange for shares of NCM, Inc. common stock, reducing AMC’s and Regal’s ownership to 0.0% in NCM LLC as of December 28, 2023. On February 23, 2023 and March 23, 2023, Cinemark redeemed 4,196,987 and 172,094, respectively, of its outstanding common membership units in exchange for shares of NCM, Inc. common stock. On April 1, 2024, in accordance with the Common Unit Adjustment Agreement, NCM LLC issued 135,473 common membership units to AMC and Cinemark. On April 16,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is de minimis. AMC and Cinemark and their affiliates are referred to in this document as “ESA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 2023,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Tax Receivable Agreement (“TRA”), the Common Unit Adjustment Agreement, the Software License Agreement, the Director Designation Agreement, the Registration Rights Agreement and all the other joint venture agreements described in the NCM LLC Operating Agreement. The Company and NCM LLC and Regal and Regal’s affiliates waived and released claims against the other party. Regal also agreed to support NCM LLC’s Plan and surrendered all shares of NCM, Inc. 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Beginning on July 14, 2023, Regal is no longer an ESA Party of NCM, Inc. or NCM LLC.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28, 2023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28, 2023. </w:t>
      </w:r>
    </w:p>
    <w:p>
      <w:pPr>
        <w:pStyle w:val="TextBody"/>
        <w:bidi w:val="0"/>
        <w:spacing w:before="120" w:after="283"/>
        <w:jc w:val="left"/>
        <w:rPr>
          <w:rFonts w:ascii="Times New Roman" w:hAnsi="Times New Roman"/>
          <w:sz w:val="20"/>
        </w:rPr>
      </w:pPr>
      <w:r>
        <w:rPr>
          <w:rFonts w:ascii="Times New Roman" w:hAnsi="Times New Roman"/>
          <w:color w:val="000000"/>
          <w:sz w:val="20"/>
        </w:rPr>
        <w:t>In the opinion of management, all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w:t>
      </w:r>
      <w:r>
        <w:rPr>
          <w:rFonts w:ascii="Times New Roman" w:hAnsi="Times New Roman"/>
          <w:color w:val="EE2724"/>
          <w:sz w:val="20"/>
        </w:rPr>
        <w:t xml:space="preserve"> </w:t>
      </w:r>
      <w:r>
        <w:rPr>
          <w:rFonts w:ascii="Times New Roman" w:hAnsi="Times New Roman"/>
          <w:color w:val="000000"/>
          <w:sz w:val="20"/>
        </w:rPr>
        <w:t>In the three months and six months ended June 27, 2024, the Company reclassified certain historical expenses on the unaudited Condensed Consolidated Statements of Operations from ‘Advertising operating costs’ and ‘Network costs’ to ‘Network operating costs’ and certain historical expenses from ‘Advertising operating costs’ and ‘ESA theater access fees and revenue shares’ to ‘ESA Parties and network affiliate fees’ to conform to current period presentation. Historically, the Company’s business has been seasonal and for this and other reasons operating results for interim periods have not been indicative of the Company’s full year results or future performance.</w:t>
      </w:r>
      <w:r>
        <w:rPr>
          <w:rFonts w:ascii="Times New Roman" w:hAnsi="Times New Roman"/>
          <w:color w:val="EE2724"/>
          <w:sz w:val="20"/>
        </w:rPr>
        <w:t xml:space="preserve"> </w:t>
      </w:r>
      <w:r>
        <w:rPr>
          <w:rFonts w:ascii="Times New Roman" w:hAnsi="Times New Roman"/>
          <w:color w:val="000000"/>
          <w:sz w:val="20"/>
        </w:rPr>
        <w:t>As a result of the various related party agreements discussed in Note 6—</w:t>
      </w:r>
      <w:r>
        <w:rPr>
          <w:rFonts w:ascii="Times New Roman" w:hAnsi="Times New Roman"/>
          <w:i/>
          <w:color w:val="000000"/>
          <w:sz w:val="20"/>
        </w:rPr>
        <w:t>Related Party Transactions</w:t>
      </w:r>
      <w:r>
        <w:rPr>
          <w:rFonts w:ascii="Times New Roman" w:hAnsi="Times New Roman"/>
          <w:color w:val="000000"/>
          <w:sz w:val="20"/>
        </w:rPr>
        <w:t>, the operating results as presented are not necessarily indicative of the results that might have occurred if all agreements were with non-related third parties.</w:t>
      </w:r>
      <w:r>
        <w:rPr>
          <w:rFonts w:ascii="Times New Roman" w:hAnsi="Times New Roman"/>
          <w:color w:val="EE2724"/>
          <w:sz w:val="20"/>
        </w:rPr>
        <w:t xml:space="preserve"> </w:t>
      </w:r>
      <w:r>
        <w:rPr>
          <w:rFonts w:ascii="Times New Roman" w:hAnsi="Times New Roman"/>
          <w:color w:val="000000"/>
          <w:sz w:val="20"/>
        </w:rPr>
        <w:t>The Company manages its business under one operating and reportable segment of advertising.</w:t>
      </w:r>
    </w:p>
    <w:p>
      <w:pPr>
        <w:pStyle w:val="TextBody"/>
        <w:bidi w:val="0"/>
        <w:spacing w:before="12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pStyle w:val="TextBody"/>
        <w:bidi w:val="0"/>
        <w:spacing w:before="120" w:after="283"/>
        <w:jc w:val="left"/>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post-reverse stock split. The primary purpose of the reverse stock split was to comply with the Company’s obligations under a settlement reached between the Company, NCM LLC and certain lender parties thereto in connection with the Chapter 11 Case (the “NCMI 9019 Settlement”), and so that the Plan may become effective as well as to increase the per share market price of the Company’s common stock in an effort to maintain compliance with applicable Nasdaq continued listing standards with respect to the closing price of the Company’s common stock. The number of shares of common stock issued and outstanding for the three and six months ended June 29, 2023 prior to the reverse stock split have been retroactively adjusted by the one-for-ten reverse stock split.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financial statements included in its Form 10-K filed for the fiscal year ended December 28, 2023 contain a complete discussion of the Company’s significant accounting policies. Following is additional information related to the Company’s accounting policies.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—The Company derives revenue principally from the advertising business, which includes advertising through its on-screen 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—The risk of credit loss related to the Company’s trade receivables and unbilled 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had one agency through which it sourced advertising revenue that accounted for 14.9% of the Company’s gross outstanding receivable balance as of June 27, 2024 and had no customers through which it sourced advertising revenue that accounted for more than 10.0% of the Company's gross outstanding receivable balance as of December 28, 2023. During the three and six months ended June 27, 2024, the Company had no customers that accounted for more than 10.0% of the Company's revenue. During the three and six months ended June 29, 2023, the Company had one customer that accounted for 51.8% and 15.4%</w:t>
      </w:r>
      <w:r>
        <w:rPr>
          <w:rFonts w:ascii="Times New Roman" w:hAnsi="Times New Roman"/>
          <w:color w:val="EE2724"/>
          <w:sz w:val="20"/>
        </w:rPr>
        <w:t xml:space="preserve"> </w:t>
      </w:r>
      <w:r>
        <w:rPr>
          <w:rFonts w:ascii="Times New Roman" w:hAnsi="Times New Roman"/>
          <w:color w:val="000000"/>
          <w:sz w:val="20"/>
        </w:rPr>
        <w:t xml:space="preserve">of the Company’s revenue, respectively. </w:t>
      </w:r>
    </w:p>
    <w:p>
      <w:pPr>
        <w:pStyle w:val="TextBody"/>
        <w:bidi w:val="0"/>
        <w:spacing w:before="12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—The Company assesses impairment of long-lived assets pursuant to </w:t>
      </w:r>
      <w:r>
        <w:rPr>
          <w:rFonts w:ascii="Times New Roman" w:hAnsi="Times New Roman"/>
          <w:i/>
          <w:color w:val="000000"/>
          <w:sz w:val="20"/>
        </w:rPr>
        <w:t xml:space="preserve">ASC </w:t>
      </w:r>
      <w:r>
        <w:rPr>
          <w:rFonts w:ascii="Times New Roman" w:hAnsi="Times New Roman"/>
          <w:color w:val="000000"/>
          <w:sz w:val="20"/>
        </w:rPr>
        <w:t>360—</w:t>
      </w:r>
      <w:r>
        <w:rPr>
          <w:rFonts w:ascii="Times New Roman" w:hAnsi="Times New Roman"/>
          <w:i/>
          <w:color w:val="000000"/>
          <w:sz w:val="20"/>
        </w:rPr>
        <w:t>Property, Plant and Equipment</w:t>
      </w:r>
      <w:r>
        <w:rPr>
          <w:rFonts w:ascii="Times New Roman" w:hAnsi="Times New Roman"/>
          <w:color w:val="000000"/>
          <w:sz w:val="20"/>
        </w:rPr>
        <w:t>. This includes determining whether certain triggering events have occurred that could affect the value of an asset. The Company did not record any losses related to the write-off of certain internally developed software during the three months ended June 27, 2024 and June 29, 2023, and the six months ended June 27, 2024 and June 29, 2023,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—The Company has issued stock options and restricted stock units to certain employees and its independent directors. The restricted stock unit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units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which requires considerable judgment. The fair value of the granted restricted stock units is expensed over an estimated derived service period, which also requires considerable judgment. In accordance with </w:t>
      </w:r>
      <w:r>
        <w:rPr>
          <w:rFonts w:ascii="Times New Roman" w:hAnsi="Times New Roman"/>
          <w:i/>
          <w:color w:val="000000"/>
          <w:sz w:val="20"/>
        </w:rPr>
        <w:t>ASC 718</w:t>
      </w:r>
      <w:r>
        <w:rPr>
          <w:rFonts w:ascii="Times New Roman" w:hAnsi="Times New Roman"/>
          <w:color w:val="000000"/>
          <w:sz w:val="20"/>
        </w:rPr>
        <w:t>—</w:t>
      </w:r>
      <w:r>
        <w:rPr>
          <w:rFonts w:ascii="Times New Roman" w:hAnsi="Times New Roman"/>
          <w:i/>
          <w:color w:val="000000"/>
          <w:sz w:val="20"/>
        </w:rPr>
        <w:t>Stock Compensation</w:t>
      </w:r>
      <w:r>
        <w:rPr>
          <w:rFonts w:ascii="Times New Roman" w:hAnsi="Times New Roman"/>
          <w:color w:val="000000"/>
          <w:sz w:val="20"/>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 During the three and six months ended June 27, 2024, 127,236 and 6,447,791 shares, respectively, of restricted stock units were granted. During the three and six months ended June 29, 2023, no shares of restricted stock units were granted. During the three months ended June 27, 2024 and June 29, 2023 and six months ended June 27, 2024 and June 29, 2023, 68,000, 566,</w:t>
      </w:r>
      <w:r>
        <w:rPr>
          <w:rFonts w:ascii="Times New Roman" w:hAnsi="Times New Roman"/>
          <w:color w:val="EE2724"/>
          <w:sz w:val="20"/>
        </w:rPr>
        <w:t xml:space="preserve"> </w:t>
      </w:r>
      <w:r>
        <w:rPr>
          <w:rFonts w:ascii="Times New Roman" w:hAnsi="Times New Roman"/>
          <w:color w:val="000000"/>
          <w:sz w:val="20"/>
        </w:rPr>
        <w:t>321,397, and 196,634 shares of restricted stock units vested, respectively. Additionally, the Company recorded $3.5 million, $0.5 million, $6.1 million and $2.0 million in share-based compensation expense during the three months ended June 27, 2024 and June 29, 2023, and six months ended June 27, 2024 and June 29, 2023, respectively, within ‘Network operating costs’, ‘Selling and marketing costs’ and ‘Administrative and other costs’ within the unaudited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and six months ended June 27, 2024, 1,911,587 and 1,919,587 shares, respectively, were repurchased on the open market. In accordance with </w:t>
      </w:r>
      <w:r>
        <w:rPr>
          <w:rFonts w:ascii="Times New Roman" w:hAnsi="Times New Roman"/>
          <w:i/>
          <w:color w:val="000000"/>
          <w:sz w:val="20"/>
        </w:rPr>
        <w:t>Accounting Standards Codification</w:t>
      </w:r>
      <w:r>
        <w:rPr>
          <w:rFonts w:ascii="Times New Roman" w:hAnsi="Times New Roman"/>
          <w:color w:val="000000"/>
          <w:sz w:val="20"/>
        </w:rPr>
        <w:t xml:space="preserve"> ("ASC") </w:t>
      </w:r>
      <w:r>
        <w:rPr>
          <w:rFonts w:ascii="Times New Roman" w:hAnsi="Times New Roman"/>
          <w:i/>
          <w:color w:val="000000"/>
          <w:sz w:val="20"/>
        </w:rPr>
        <w:t>505 —Equity</w:t>
      </w:r>
      <w:r>
        <w:rPr>
          <w:rFonts w:ascii="Times New Roman" w:hAnsi="Times New Roman"/>
          <w:color w:val="000000"/>
          <w:sz w:val="20"/>
        </w:rPr>
        <w:t xml:space="preserve">, the Company elected to retire the shares. Upon the retirement of these shares, any excess over par value paid, inclusive of direct costs,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recorded as a reduction to retained earnings of $9.3 million and $9.5 million for the three and six months ended June 27, 2024, respectively.</w:t>
      </w:r>
    </w:p>
    <w:p>
      <w:pPr>
        <w:pStyle w:val="TextBody"/>
        <w:bidi w:val="0"/>
        <w:spacing w:before="120" w:after="120"/>
        <w:jc w:val="left"/>
        <w:rPr>
          <w:rFonts w:ascii="Times New Roman" w:hAnsi="Times New Roman"/>
          <w:sz w:val="20"/>
        </w:rPr>
      </w:pPr>
      <w:r>
        <w:rPr>
          <w:rFonts w:ascii="Times New Roman" w:hAnsi="Times New Roman"/>
          <w:b/>
          <w:i/>
          <w:color w:val="000000"/>
          <w:sz w:val="20"/>
        </w:rPr>
        <w:t>Consolidation</w:t>
      </w:r>
      <w:r>
        <w:rPr>
          <w:rFonts w:ascii="Times New Roman" w:hAnsi="Times New Roman"/>
          <w:color w:val="000000"/>
          <w:sz w:val="20"/>
        </w:rPr>
        <w:t xml:space="preserve">—NCM, Inc. consolidates the accounts of NCM LLC, a variable interest entity wherein NCM, Inc. is the primary beneficiary, under the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Consolidation</w:t>
      </w:r>
      <w:r>
        <w:rPr>
          <w:rFonts w:ascii="Times New Roman" w:hAnsi="Times New Roman"/>
          <w:color w:val="000000"/>
          <w:sz w:val="20"/>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LLC was deemed to be the primary beneficiary of NCM LLC and the Company has consolidated NCM LLC under the variable interest entity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 xml:space="preserve">Consolidation. </w:t>
      </w:r>
      <w:r>
        <w:rPr>
          <w:rFonts w:ascii="Times New Roman" w:hAnsi="Times New Roman"/>
          <w:color w:val="000000"/>
          <w:sz w:val="20"/>
        </w:rPr>
        <w:t>The following table presents the changes in NCM, Inc.’s equity resulting from net income attributable to NCM, Inc. and transfers to or from noncontrolling interests (in millions):</w:t>
      </w:r>
    </w:p>
    <w:tbl>
      <w:tblPr>
        <w:tblW w:w="10205" w:type="dxa"/>
        <w:jc w:val="left"/>
        <w:tblInd w:w="0" w:type="dxa"/>
        <w:tblLayout w:type="fixed"/>
        <w:tblCellMar>
          <w:top w:w="28" w:type="dxa"/>
          <w:left w:w="28" w:type="dxa"/>
          <w:bottom w:w="28" w:type="dxa"/>
          <w:right w:w="28" w:type="dxa"/>
        </w:tblCellMar>
      </w:tblPr>
      <w:tblGrid>
        <w:gridCol w:w="4651"/>
        <w:gridCol w:w="146"/>
        <w:gridCol w:w="351"/>
        <w:gridCol w:w="703"/>
        <w:gridCol w:w="166"/>
        <w:gridCol w:w="146"/>
        <w:gridCol w:w="290"/>
        <w:gridCol w:w="786"/>
        <w:gridCol w:w="146"/>
        <w:gridCol w:w="146"/>
        <w:gridCol w:w="306"/>
        <w:gridCol w:w="764"/>
        <w:gridCol w:w="166"/>
        <w:gridCol w:w="146"/>
        <w:gridCol w:w="290"/>
        <w:gridCol w:w="786"/>
        <w:gridCol w:w="216"/>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NCM, Inc.</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216"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NCM LLC equity issued for purchase of intangible asset</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and other impacts of subsidiary ownership changes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redemption of NCM LLC common membership units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color w:val="000000"/>
              </w:rPr>
            </w:pPr>
            <w:r>
              <w:rPr>
                <w:color w:val="000000"/>
              </w:rPr>
              <w:t>—</w:t>
            </w:r>
          </w:p>
        </w:tc>
        <w:tc>
          <w:tcPr>
            <w:tcW w:w="216"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NCM LLC common membership unit redemption for </w:t>
              <w:br/>
              <w:t>   NCM, Inc. common stock</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to founding members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Change from net (loss) income attributable to NCM, Inc. and </w:t>
              <w:br/>
              <w:t>   transfers from noncontrolling interests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accounting pronouncements during the six months ended June 27,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Accounting Standards Update No. 2023-07, Improvements to Reportable Segment Disclosures (“ASU 2023-07”), which establishes segment disclosure requirements in addition to modifying and eliminating certain existing requirements. Under the new guidance, entities must disclose incremental segment information on an annual and interim basis to enable investors to develop more decision-useful financial analyses. This guidance is effective for issuances on and after December 15, 2024. The Company does not believe this will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FASB issued Accounting Standards Update No. 2023-09, Income Tax Disclosures (“ASU 2023-09”),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This guidance is effective for issuances on and after December 15, 2024. The Company does not believe this will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Consolidated Financial Statements or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REVENUE FROM CONTRACTS WITH CUSTOMERS AND ACCOUNTS RECEIVABLE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Times New Roman" w:hAnsi="Times New Roman"/>
          <w:i/>
          <w:color w:val="000000"/>
          <w:sz w:val="20"/>
        </w:rPr>
        <w:t xml:space="preserve">Noovie </w:t>
      </w:r>
      <w:r>
        <w:rPr>
          <w:rFonts w:ascii="Times New Roman" w:hAnsi="Times New Roman"/>
          <w:color w:val="000000"/>
          <w:sz w:val="20"/>
        </w:rPr>
        <w:t>Audience Accelerator, and through the Company’s digital gaming products</w:t>
      </w:r>
      <w:r>
        <w:rPr>
          <w:rFonts w:ascii="Times New Roman" w:hAnsi="Times New Roman"/>
          <w:i/>
          <w:color w:val="000000"/>
          <w:sz w:val="20"/>
        </w:rPr>
        <w:t xml:space="preserve">. </w:t>
      </w:r>
      <w:r>
        <w:rPr>
          <w:rFonts w:ascii="Times New Roman" w:hAnsi="Times New Roman"/>
          <w:color w:val="000000"/>
          <w:sz w:val="20"/>
        </w:rPr>
        <w:t>Further the Company sells advertising in a variety of complementary out of home venues, including restaurants, convenience stores and college campuses. The Company also has a long-term agreement to exhibit the advertising of the ESA Parties’ beverage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have any significant contracts with customers with terms in excess of one year that are noncancellable as of June 27, 2024. Agreements with a duration less than one year are not considered within unsatisfied performance obligations as the Company elected to use the practical expedient in ASC 606-10-50-14 for those contracts. In addition, the Company’s other contracts longer than one year that are cancellable are not included within this disclosure.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based upon the type of customer: national; local and regional; beverage concessionaire; and management fee reimbursement revenue related to NCM LLC, in periods where NCM LLC was deconsolidated. This method of disaggregation is in alignment with how revenue is reviewed by management and discussed with and historically disclosed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with customers for the three and six months ended June 27, 2024 and June 29, 2023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7"/>
        <w:gridCol w:w="146"/>
        <w:gridCol w:w="341"/>
        <w:gridCol w:w="755"/>
        <w:gridCol w:w="146"/>
        <w:gridCol w:w="146"/>
        <w:gridCol w:w="341"/>
        <w:gridCol w:w="755"/>
        <w:gridCol w:w="146"/>
        <w:gridCol w:w="146"/>
        <w:gridCol w:w="341"/>
        <w:gridCol w:w="755"/>
        <w:gridCol w:w="146"/>
        <w:gridCol w:w="146"/>
        <w:gridCol w:w="341"/>
        <w:gridCol w:w="755"/>
        <w:gridCol w:w="392"/>
      </w:tblGrid>
      <w:tr>
        <w:trPr/>
        <w:tc>
          <w:tcPr>
            <w:tcW w:w="4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4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2" w:type="dxa"/>
            <w:tcBorders/>
            <w:shd w:fill="CFF0FC"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2" w:type="dxa"/>
            <w:tcBorders/>
            <w:shd w:fill="FFFFFF" w:val="clear"/>
            <w:vAlign w:val="center"/>
          </w:tcPr>
          <w:p>
            <w:pPr>
              <w:pStyle w:val="TableContents"/>
              <w:bidi w:val="0"/>
              <w:spacing w:before="0" w:after="283"/>
              <w:jc w:val="left"/>
              <w:rPr/>
            </w:pPr>
            <w:r>
              <w:rPr/>
              <w:t> </w:t>
            </w:r>
          </w:p>
        </w:tc>
      </w:tr>
      <w:tr>
        <w:trPr/>
        <w:tc>
          <w:tcPr>
            <w:tcW w:w="44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ESA advertising revenue from beverage concessionaire </w:t>
              <w:br/>
              <w:t>   agreements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2" w:type="dxa"/>
            <w:tcBorders/>
            <w:shd w:fill="CFF0FC" w:val="clear"/>
            <w:vAlign w:val="center"/>
          </w:tcPr>
          <w:p>
            <w:pPr>
              <w:pStyle w:val="TableContents"/>
              <w:bidi w:val="0"/>
              <w:spacing w:before="0" w:after="283"/>
              <w:jc w:val="left"/>
              <w:rPr/>
            </w:pPr>
            <w:r>
              <w:rPr/>
              <w:t> </w:t>
            </w:r>
          </w:p>
        </w:tc>
      </w:tr>
      <w:tr>
        <w:trPr/>
        <w:tc>
          <w:tcPr>
            <w:tcW w:w="44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reimbursement</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 and Unbilled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recognized in the six months ended June 27, 2024 that was included within the ‘Deferred revenue’ balance as of December 28, 2023 was $9.5 million. As of June 27, 2024 and December 28, 2023, the Company had $1.5 million and $0.8 million in unbilled accounts receivable,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Doubtful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six months ended June 27, 2024 and June 29, 2023, respectively, were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5"/>
        <w:gridCol w:w="146"/>
        <w:gridCol w:w="539"/>
        <w:gridCol w:w="1080"/>
        <w:gridCol w:w="166"/>
        <w:gridCol w:w="146"/>
        <w:gridCol w:w="585"/>
        <w:gridCol w:w="1172"/>
        <w:gridCol w:w="166"/>
        <w:gridCol w:w="146"/>
        <w:gridCol w:w="539"/>
        <w:gridCol w:w="1080"/>
        <w:gridCol w:w="166"/>
        <w:gridCol w:w="146"/>
        <w:gridCol w:w="585"/>
        <w:gridCol w:w="1172"/>
        <w:gridCol w:w="396"/>
      </w:tblGrid>
      <w:tr>
        <w:trPr/>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9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6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9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bad debt</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pPr>
            <w:r>
              <w:rPr/>
              <w:t> </w:t>
            </w:r>
          </w:p>
        </w:tc>
        <w:tc>
          <w:tcPr>
            <w:tcW w:w="10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11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left"/>
              <w:rPr/>
            </w:pPr>
            <w:r>
              <w:rPr/>
              <w:t> </w:t>
            </w:r>
          </w:p>
        </w:tc>
        <w:tc>
          <w:tcPr>
            <w:tcW w:w="10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1172"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9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Write-offs, net</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9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Deconsolidation of NCM LLC</w:t>
            </w:r>
          </w:p>
        </w:tc>
        <w:tc>
          <w:tcPr>
            <w:tcW w:w="146" w:type="dxa"/>
            <w:tcBorders/>
            <w:shd w:fill="CFF0FC" w:val="cle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2" w:name="section12"/>
      <w:bookmarkEnd w:id="12"/>
      <w:r>
        <w:rPr>
          <w:rFonts w:ascii="Times New Roman" w:hAnsi="Times New Roman"/>
          <w:b/>
          <w:color w:val="000000"/>
          <w:sz w:val="20"/>
        </w:rPr>
        <w:t>3.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64"/>
        <w:gridCol w:w="146"/>
        <w:gridCol w:w="211"/>
        <w:gridCol w:w="1036"/>
        <w:gridCol w:w="166"/>
        <w:gridCol w:w="146"/>
        <w:gridCol w:w="211"/>
        <w:gridCol w:w="1036"/>
        <w:gridCol w:w="146"/>
        <w:gridCol w:w="146"/>
        <w:gridCol w:w="211"/>
        <w:gridCol w:w="1036"/>
        <w:gridCol w:w="166"/>
        <w:gridCol w:w="146"/>
        <w:gridCol w:w="211"/>
        <w:gridCol w:w="1036"/>
        <w:gridCol w:w="39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NCM, Inc. (in millions)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15,978,331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Add: Dilutive effect of stock options, restricted stock and </w:t>
              <w:br/>
              <w:t>   exchangeable membership units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96,409,830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96,664,241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17,349,139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per NCM, Inc.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6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effect of the 16,500, 0, 8,250, and 1,370,808 weighted average exchangeable NCM LLC common units held by AMC, Cinemark, and Regal for the three and six months ended June 27, 2024 and June 29, 2023, respectively, have been excluded from the calculation of diluted weighted average shares and loss per NCM, Inc. share as they were anti-dilutive. The NCM LLC common units held by NCM LLC’s other members for the three and six months ended June 27, 2024 do not participate in dividends paid on NCM, Inc.’s common stock. In addition, there were 7,001,408, 491,517, 7,001,408, and</w:t>
      </w:r>
      <w:r>
        <w:rPr>
          <w:rFonts w:ascii="Times New Roman" w:hAnsi="Times New Roman"/>
          <w:color w:val="EE2724"/>
          <w:sz w:val="20"/>
        </w:rPr>
        <w:t xml:space="preserve"> </w:t>
      </w:r>
      <w:r>
        <w:rPr>
          <w:rFonts w:ascii="Times New Roman" w:hAnsi="Times New Roman"/>
          <w:color w:val="000000"/>
          <w:sz w:val="20"/>
        </w:rPr>
        <w:t>491,517 stock options and non-vested (restricted) shares for the three months ended June 27, 2024 and June 29, 2023 and six months ended June 27, 2024 and June 29, 2023, respectively, excluded from the calculation as they were anti-dilutive. The Company’s non-vested (restricted) shares do not meet the definition of a participating security as the dividends will not be paid if the shares do not vest.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post-reverse stock split. In accordance with </w:t>
      </w:r>
      <w:r>
        <w:rPr>
          <w:rFonts w:ascii="Times New Roman" w:hAnsi="Times New Roman"/>
          <w:i/>
          <w:color w:val="000000"/>
          <w:sz w:val="20"/>
        </w:rPr>
        <w:t>ASC 260—Earnings Per Share</w:t>
      </w:r>
      <w:r>
        <w:rPr>
          <w:rFonts w:ascii="Times New Roman" w:hAnsi="Times New Roman"/>
          <w:color w:val="000000"/>
          <w:sz w:val="20"/>
        </w:rPr>
        <w:t>, income per share for the three and six months ended June 29, 2023 were retrospectively adjusted for the reverse stock split.</w:t>
      </w:r>
    </w:p>
    <w:p>
      <w:pPr>
        <w:pStyle w:val="TextBody"/>
        <w:bidi w:val="0"/>
        <w:spacing w:before="120" w:after="283"/>
        <w:jc w:val="left"/>
        <w:rPr>
          <w:rFonts w:ascii="Times New Roman" w:hAnsi="Times New Roman"/>
          <w:b/>
          <w:color w:val="000000"/>
          <w:sz w:val="20"/>
        </w:rPr>
      </w:pPr>
      <w:bookmarkStart w:id="13" w:name="section13"/>
      <w:bookmarkEnd w:id="13"/>
      <w:r>
        <w:rPr>
          <w:rFonts w:ascii="Times New Roman" w:hAnsi="Times New Roman"/>
          <w:b/>
          <w:color w:val="000000"/>
          <w:sz w:val="20"/>
        </w:rPr>
        <w:t>4. RECONSOLIDATION OF NCM LLC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11, 2023, NCM LLC filed the Chapter 11 Case. 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Consolidated Statements of Operations for the three and six months ended June 29, 2023.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w:t>
      </w:r>
      <w:r>
        <w:rPr>
          <w:rFonts w:ascii="Times New Roman" w:hAnsi="Times New Roman"/>
          <w:i/>
          <w:color w:val="000000"/>
          <w:sz w:val="20"/>
        </w:rPr>
        <w:t>ASC 321</w:t>
      </w:r>
      <w:r>
        <w:rPr>
          <w:rFonts w:ascii="Times New Roman" w:hAnsi="Times New Roman"/>
          <w:color w:val="000000"/>
          <w:sz w:val="20"/>
        </w:rPr>
        <w:t>—</w:t>
      </w:r>
      <w:r>
        <w:rPr>
          <w:rFonts w:ascii="Times New Roman" w:hAnsi="Times New Roman"/>
          <w:i/>
          <w:color w:val="000000"/>
          <w:sz w:val="20"/>
        </w:rPr>
        <w:t>Investments—Equity Securities</w:t>
      </w:r>
      <w:r>
        <w:rPr>
          <w:rFonts w:ascii="Times New Roman" w:hAnsi="Times New Roman"/>
          <w:color w:val="000000"/>
          <w:sz w:val="20"/>
        </w:rPr>
        <w:t>. While NCM LLC remained in bankruptcy, NCM, Inc. accounted for the retained equity interest in NCM LLC at cost less impairment, if any, plus or minus changes resulting from observable price changes in orderly market transactions.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included the weighted average cost of capital and NCM LLC’s forecasted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2023, NCM LLC emerged from bankruptcy and NCM, Inc. contributed $15.0 million in cash to NCM LLC in exchange for 2.8% of additional ownership of NCM LLC in accordance with the NCMI Capital Contribution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100.0% of, regained control of and reconsolidated NCM LLC.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accounted for the NCM LLC reconsolidation as a business combination under </w:t>
      </w:r>
      <w:r>
        <w:rPr>
          <w:rFonts w:ascii="Times New Roman" w:hAnsi="Times New Roman"/>
          <w:i/>
          <w:color w:val="000000"/>
          <w:sz w:val="20"/>
        </w:rPr>
        <w:t>ASC 805</w:t>
      </w:r>
      <w:r>
        <w:rPr>
          <w:rFonts w:ascii="Times New Roman" w:hAnsi="Times New Roman"/>
          <w:color w:val="000000"/>
          <w:sz w:val="20"/>
        </w:rPr>
        <w:t>—</w:t>
      </w:r>
      <w:r>
        <w:rPr>
          <w:rFonts w:ascii="Times New Roman" w:hAnsi="Times New Roman"/>
          <w:i/>
          <w:color w:val="000000"/>
          <w:sz w:val="20"/>
        </w:rPr>
        <w:t>Business Combinations</w:t>
      </w:r>
      <w:r>
        <w:rPr>
          <w:rFonts w:ascii="Times New Roman" w:hAnsi="Times New Roman"/>
          <w:color w:val="000000"/>
          <w:sz w:val="20"/>
        </w:rPr>
        <w:t xml:space="preserve"> and accordingly, the purchase price was allocated to the assets acquired and liabilities assumed based on their estimated fair values as of the date of reconsolidation, the Effective Date. The determination of fair values required management to make significant estimates and assumptions. The estimated fair values of the assets acquired and liabilities assumed are considered provisional and are based on currently available information. The Company believes that the information available provides a reasonable basis for estimating the fair values of assets acquired and liabilities assumed; however, these provisional estimates may be adjusted upon the availability of new information regarding facts and circumstances which existed at the reconsolidation date. The Company expects to finalize the valuation of assets and liabilities as soon as practicable, but not later than one year from the reconsolidation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NCM LLC and provisional fair values of the assets acquired and liabilities assumed as of the reconsolidation date (in millions):</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3711"/>
        <w:gridCol w:w="146"/>
        <w:gridCol w:w="211"/>
        <w:gridCol w:w="571"/>
        <w:gridCol w:w="61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assets acquired:</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w:t>
            </w:r>
          </w:p>
        </w:tc>
        <w:tc>
          <w:tcPr>
            <w:tcW w:w="611" w:type="dxa"/>
            <w:tcBorders/>
            <w:shd w:fill="FFFFFF" w:val="clear"/>
            <w:vAlign w:val="center"/>
          </w:tcPr>
          <w:p>
            <w:pPr>
              <w:pStyle w:val="TableContents"/>
              <w:bidi w:val="0"/>
              <w:spacing w:before="0" w:after="283"/>
              <w:jc w:val="left"/>
              <w:rPr/>
            </w:pPr>
            <w:r>
              <w:rPr/>
              <w:t> </w:t>
            </w:r>
          </w:p>
        </w:tc>
      </w:tr>
      <w:tr>
        <w:trPr/>
        <w:tc>
          <w:tcPr>
            <w:tcW w:w="3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liabilities assumed:</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due to members,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NCM LLC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adjustments to the provisional purchase price and fair value estimates presented in Note 5 of the Company’s Form 10-K for the year ended December 28,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provisional identifiable intangible assets of $415.0 million are subject to amortization. The following table summarizes the major classes of intangible assets acquired and their respective weighted-average estimated useful lives.</w:t>
      </w:r>
    </w:p>
    <w:p>
      <w:pPr>
        <w:pStyle w:val="TextBody"/>
        <w:bidi w:val="0"/>
        <w:jc w:val="left"/>
        <w:rPr/>
      </w:pPr>
      <w:r>
        <w:rPr/>
        <w:t> </w:t>
      </w:r>
    </w:p>
    <w:tbl>
      <w:tblPr>
        <w:tblW w:w="5420" w:type="dxa"/>
        <w:jc w:val="left"/>
        <w:tblInd w:w="0" w:type="dxa"/>
        <w:tblLayout w:type="fixed"/>
        <w:tblCellMar>
          <w:top w:w="28" w:type="dxa"/>
          <w:left w:w="28" w:type="dxa"/>
          <w:bottom w:w="28" w:type="dxa"/>
          <w:right w:w="28" w:type="dxa"/>
        </w:tblCellMar>
      </w:tblPr>
      <w:tblGrid>
        <w:gridCol w:w="2521"/>
        <w:gridCol w:w="146"/>
        <w:gridCol w:w="318"/>
        <w:gridCol w:w="867"/>
        <w:gridCol w:w="146"/>
        <w:gridCol w:w="146"/>
        <w:gridCol w:w="211"/>
        <w:gridCol w:w="674"/>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 (in</w:t>
              <w:br/>
              <w:t>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Exhibitor service agreements</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affiliates agreements</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w:t>
      </w:r>
      <w:r>
        <w:rPr>
          <w:rFonts w:ascii="Times New Roman" w:hAnsi="Times New Roman"/>
          <w:i/>
          <w:color w:val="000000"/>
          <w:sz w:val="20"/>
        </w:rPr>
        <w:t>ASC 805-20-30-29a</w:t>
      </w:r>
      <w:r>
        <w:rPr>
          <w:rFonts w:ascii="Times New Roman" w:hAnsi="Times New Roman"/>
          <w:color w:val="000000"/>
          <w:sz w:val="20"/>
        </w:rPr>
        <w:t xml:space="preserve"> in estimating the fair value of the contract liabilities assumed.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NCM LLC’s emergence from the Chapter 11 Case, NCM, Inc. remeasured the value of the investment in NCM LLC to the estimated fair value calculated as NCM, Inc.’s percentage ownership of NCM LLC, due to NCM, Inc.’s ownership of the secured debt of NCM LLC and the NCMI Capital Contribution, multiplied by the fair value of NCM LLC as of the Effective Date of $483.4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$35.5 million in the Consolidated Statements of Operations for the year ended December 28,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reconsolidation, NCM, Inc. recorded the provisional fair values of the assets acquired and liabilities assumed as of the reconsolidation date and the investment in NCM LLC was further adjusted to the full purchase price value of $483.4 million.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difference between the purchase price of NCM LLC and the fair value of NCM, Inc.’s investment in NCM LLC as calculated above, the $15.5 million of cash contributed by NCM, Inc. (consisting of $0.5 million related to the General Unsecured Claim Pool and $15.0 million under the NCMI Capital Contribution) and the shares issued to NCM LLC’s secured lenders of $245.3 million resulted in a gain of $167.8 million upon the reconsolidation of NCM LLC. The Company recognized a gain due to the variance between the fair value of NCM LLC’s assets and liabilities and NCM, Inc.’s depressed stock price on the Effective Date and the NCM, Inc. shares retained by the existing shareholders as part of the NCMI 9019 Settlement. NCM, Inc.’s stock price had been negatively impacted beginning with the COVID-19 pandemic followed by Cineworld’s bankruptcy proceeding and NCM LLC’s Chapter 11 Case, as well as by other socioeconomic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 Forma Financial Information (Unaudited)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 forma financial information is presented for informational purposes only and is not necessarily indicative of future operations or results had the NCM LLC reconsolidation been completed as of December 31, 2021.</w:t>
      </w:r>
    </w:p>
    <w:p>
      <w:pPr>
        <w:pStyle w:val="TextBody"/>
        <w:bidi w:val="0"/>
        <w:jc w:val="left"/>
        <w:rPr/>
      </w:pPr>
      <w:r>
        <w:rPr/>
        <w:t> </w:t>
      </w:r>
    </w:p>
    <w:tbl>
      <w:tblPr>
        <w:tblW w:w="4525" w:type="dxa"/>
        <w:jc w:val="left"/>
        <w:tblInd w:w="0" w:type="dxa"/>
        <w:tblLayout w:type="fixed"/>
        <w:tblCellMar>
          <w:top w:w="28" w:type="dxa"/>
          <w:left w:w="28" w:type="dxa"/>
          <w:bottom w:w="28" w:type="dxa"/>
          <w:right w:w="28" w:type="dxa"/>
        </w:tblCellMar>
      </w:tblPr>
      <w:tblGrid>
        <w:gridCol w:w="841"/>
        <w:gridCol w:w="146"/>
        <w:gridCol w:w="459"/>
        <w:gridCol w:w="1146"/>
        <w:gridCol w:w="166"/>
        <w:gridCol w:w="146"/>
        <w:gridCol w:w="403"/>
        <w:gridCol w:w="1007"/>
        <w:gridCol w:w="21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11" w:type="dxa"/>
            <w:tcBorders/>
            <w:shd w:fill="FFFFFF" w:val="clear"/>
            <w:vAlign w:val="center"/>
          </w:tcPr>
          <w:p>
            <w:pPr>
              <w:pStyle w:val="TableContents"/>
              <w:bidi w:val="0"/>
              <w:spacing w:before="0" w:after="283"/>
              <w:jc w:val="left"/>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4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bookmarkStart w:id="14" w:name="section14"/>
      <w:bookmarkEnd w:id="14"/>
      <w:r>
        <w:rPr>
          <w:rFonts w:ascii="Times New Roman" w:hAnsi="Times New Roman"/>
          <w:b/>
          <w:color w:val="000000"/>
          <w:sz w:val="20"/>
        </w:rPr>
        <w:t>5.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consist of contractual rights to provide its services within the theaters under the ESAs and the network affiliate agreements, as well as for customer relationships developed and maintained by the Company’s sales force and trademarks held and used by the Company. The intangible assets are stated at their estimated fair values upon the reconsolidation of NCM LLC on August 7, 2023</w:t>
      </w:r>
      <w:r>
        <w:rPr>
          <w:rFonts w:ascii="Times New Roman" w:hAnsi="Times New Roman"/>
          <w:i/>
          <w:color w:val="000000"/>
          <w:sz w:val="20"/>
        </w:rPr>
        <w:t>,</w:t>
      </w:r>
      <w:r>
        <w:rPr>
          <w:rFonts w:ascii="Times New Roman" w:hAnsi="Times New Roman"/>
          <w:color w:val="000000"/>
          <w:sz w:val="20"/>
        </w:rPr>
        <w:t xml:space="preserve"> net of accumulated amortization. The Company records amortization using the straight-line method over the estimated useful life of the intangibles. For the contractual rights to provide its service within the theaters under the ESA and network affiliate agreements, the estimated useful life corresponds to the term of the ESAs and the average renewable term of the contracts with the network affiliates. For the customer relationships developed and maintained by the Company’s sales force and trademarks held and used by the Company, the estimated useful life corresponds to industry standard lives for customer relationships and trademarks. In accordance with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xml:space="preserve"> the Company continuously monitors the performance of the underlying assets for potential triggering events suggesting an impairment review should be performed. No such triggering events were identified in the three and six months ended June 27, 2024 and June 29, 2023.</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Adjustments</w:t>
      </w:r>
      <w:r>
        <w:rPr>
          <w:rFonts w:ascii="Times New Roman" w:hAnsi="Times New Roman"/>
          <w:color w:val="000000"/>
          <w:sz w:val="20"/>
        </w:rPr>
        <w:t xml:space="preserve">—In accordance with NCM LLC’s Common Unit Adjustment Agreement, on an annual basis NCM LLC determines the amount of common membership units to be issued to or returned by AMC and Cinemark based on theater additions, new builds or dispositions during the previous year. In the event that either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27,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is de minimis.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Integration Payments and Other Encumbered Theater Payments</w:t>
      </w:r>
      <w:r>
        <w:rPr>
          <w:rFonts w:ascii="Times New Roman" w:hAnsi="Times New Roman"/>
          <w:color w:val="000000"/>
          <w:sz w:val="20"/>
        </w:rPr>
        <w:t xml:space="preserve">—If an existing on-screen advertising agreement with an alternative provider is in place with respect to any acquired theaters (“Encumbered Theaters”), the applicable ESA Party may elect to receive common membership units related to those Encumbered Theaters in connection with the Common Unit Adjustment. If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ESA Party makes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ESA Parties’ on-screen advertising commitments under their beverage concessionaire agreements for Encumbered Theaters. These payments are also accounted for as a reduction to the intangible asset related to the ESAs. During the three and six months ended June 27, 2024 and June 29, 2023, the Company recorded a reduction to net intangible assets of $0.8 million, $0.0 million, $1.0 million and $0.0 million, respectively, related to other Encumbered Theater payments.</w:t>
      </w:r>
      <w:r>
        <w:rPr>
          <w:rFonts w:ascii="Times New Roman" w:hAnsi="Times New Roman"/>
          <w:color w:val="EE2724"/>
          <w:sz w:val="20"/>
        </w:rPr>
        <w:t xml:space="preserve"> </w:t>
      </w:r>
      <w:r>
        <w:rPr>
          <w:rFonts w:ascii="Times New Roman" w:hAnsi="Times New Roman"/>
          <w:color w:val="000000"/>
          <w:sz w:val="20"/>
        </w:rPr>
        <w:t>During the three months ended June 27, 2024 and June 29, 2023 and six months ended June 27, 2024 and June 29, 2023, AMC and Cinemark paid a total of $0.2 million, $0.3 million, $0.5 million and $3.9 million, respectively, in integration and Encumbered Theater payments (contractually payments are to be made one quarter and one month in arrears, respectively). If common membership units are issued to an ESA Party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27, 2024 and December 28, 2023, the Company’s intangible assets related to the ESA Party agreements were $227.1 million, net of accumulated amortization of $16.9 million, and $236.7 million, net of accumulated amortization of $7.6 million, respectively, with weighted average remaining lives of 12.1 years and 12.6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27, 2024 and December 28, 2023, the Company’s intangible assets related to the network affiliate agreements were $70.8 million, net of accumulated amortization of $4.2 million, and $73.2 million, net of accumulated amortization of $1.8 million, respectively, with weighted average remaining lives of 15.1 years and 15.6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27, 2024 and December 28, 2023, the Company’s intangible assets related to customer relationships, were $63.8 million, net of accumulated amortization of $11.2 million, and $70.1 million, net of accumulated amortization of $4.9 million, respectively, with weighted average remaining lives of 5.1 years and 5.6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27, 2024 and December 28, 2023, the Company’s intangible asset related to the trademark, was $13.3 million, net of accumulated amortization of $1.7 million, and $14.3 million, net of accumulated amortization of $0.7 million, respectively, with weighted average remaining lives of 7.1 years and 7.6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aggregate amortization expense for the remainder of fiscal 2024 is $18.9 million and $37.8 million each for fiscal years 2025 and 2028.</w:t>
      </w:r>
    </w:p>
    <w:p>
      <w:pPr>
        <w:pStyle w:val="TextBody"/>
        <w:bidi w:val="0"/>
        <w:spacing w:before="120" w:after="283"/>
        <w:jc w:val="left"/>
        <w:rPr>
          <w:rFonts w:ascii="Times New Roman" w:hAnsi="Times New Roman"/>
          <w:b/>
          <w:color w:val="000000"/>
          <w:sz w:val="20"/>
        </w:rPr>
      </w:pPr>
      <w:bookmarkStart w:id="15" w:name="section15"/>
      <w:bookmarkEnd w:id="15"/>
      <w:r>
        <w:rPr>
          <w:rFonts w:ascii="Times New Roman" w:hAnsi="Times New Roman"/>
          <w:b/>
          <w:color w:val="000000"/>
          <w:sz w:val="20"/>
        </w:rPr>
        <w:t>6. RELATED PARTY TRANSACTIONS</w:t>
      </w:r>
    </w:p>
    <w:p>
      <w:pPr>
        <w:pStyle w:val="TextBody"/>
        <w:bidi w:val="0"/>
        <w:spacing w:before="120" w:after="283"/>
        <w:jc w:val="left"/>
        <w:rPr>
          <w:rFonts w:ascii="Times New Roman" w:hAnsi="Times New Roman"/>
          <w:sz w:val="20"/>
        </w:rPr>
      </w:pPr>
      <w:r>
        <w:rPr>
          <w:rFonts w:ascii="Times New Roman" w:hAnsi="Times New Roman"/>
          <w:b/>
          <w:i/>
          <w:color w:val="000000"/>
          <w:sz w:val="20"/>
        </w:rPr>
        <w:t>ESA Party and Managing Member Transactions</w:t>
      </w:r>
      <w:r>
        <w:rPr>
          <w:rFonts w:ascii="Times New Roman" w:hAnsi="Times New Roman"/>
          <w:color w:val="000000"/>
          <w:sz w:val="20"/>
        </w:rPr>
        <w:t xml:space="preserve">—In connection with NCM, Inc.’s initial public offering (“IPO”), the Company entered into several agreements to define and regulate the relationships among NCM LLC, NCM, Inc. and AMC, Cinemark, and Regal which are outlined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AMC has owned less than 5% of NCM LLC, on an as converted basis,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in NCM LLC is greater than zero), TRA payments and theater access fees. Further, AMC will continue to pay beverage revenue, among other things, to NCM LLC. AMC’s ownership percentage does not impact future integration payments and other encumbered theater payments owed to NCM LLC by AMC. On April 1, 2024, in accordance with the Common Unit Adjustment Agreement, NCM LLC issued 3,377 common membership units to AMC. As of June 27, 2024, AMC’s ownership was approximately 0.0% of NCM LLC and 0.0% of NCM,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Cinemark has owned less than 5% of NCM LLC, on an as converted basis, since NCM LLC emerged from bankruptcy on August 7, 2023 and is no longer a related party. Cinemark remains a party to the ESA, Common Unit Adjustment Agreement, TRA and certain other original agreements and is a member under the terms of the NCM LLC Operating Agreement, subject to fulfilling the requirements of Section 3.1 of the NCM LLC Operating Agreement. Cinemark will continue to participate in the annual Common Unit Adjustment and receive available cash distributions or allocation of earnings and losses in NCM LLC (as long as its ownership in NCM LLC is greater than zero), TRA payments and theater access fees. Further, Cinemark will continue to pay beverage revenue, among other things, to NCM LLC. Cinemark’s ownership percentage does not impact future integration payments and other encumbered theater payments owed to NCM LLC by Cinemark. On April 1, 2024, in accordance with the Common Unit Adjustment Agreement, NCM LLC issued 132,096 common membership units to Cinemark. On April 16, 2024, the Company elected to satisfy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redemption request from Cinemark for all of their outstanding common membership units through a cash settlement as provided in NCM LLC’s Operating Agreement. This redemption reduced Cinemark’s ownership interest in NCM LLC to 0.0% as of April 16, 2024. As of June 27, 2024, Cinemark’s ownership was 0.0% of NCM LLC and 4.6% of NCM,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4,068,350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From and after July 14, 2023, Regal is no longer an ESA Party or related party to NCM, Inc. or NCM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material agreements with the ESA Parties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ESAs.</w:t>
      </w:r>
      <w:r>
        <w:rPr>
          <w:rFonts w:ascii="Times New Roman" w:hAnsi="Times New Roman"/>
          <w:color w:val="000000"/>
          <w:sz w:val="20"/>
        </w:rPr>
        <w:t xml:space="preserve"> Under the ESAs, NCM LLC is the exclusive provider within the United States of advertising services in the ESA Parties’ theaters (subject to pre-existing contractual obligations and other limited exceptions for the benefit of the ESA Parties). The advertising services include the use of the digital content network (“DCN”) equipment required to deliver the on-screen advertising and other content included in the </w:t>
      </w:r>
      <w:r>
        <w:rPr>
          <w:rFonts w:ascii="Times New Roman" w:hAnsi="Times New Roman"/>
          <w:i/>
          <w:color w:val="000000"/>
          <w:sz w:val="20"/>
        </w:rPr>
        <w:t>Noovie</w:t>
      </w:r>
      <w:r>
        <w:rPr>
          <w:rFonts w:ascii="Times New Roman" w:hAnsi="Times New Roman"/>
          <w:color w:val="000000"/>
          <w:sz w:val="20"/>
        </w:rPr>
        <w:t xml:space="preserve">® show, use of the LEN and rights to sell and display certain lobby promotions. Further, 30 to 60 seconds of advertising included in the </w:t>
      </w:r>
      <w:r>
        <w:rPr>
          <w:rFonts w:ascii="Times New Roman" w:hAnsi="Times New Roman"/>
          <w:i/>
          <w:color w:val="000000"/>
          <w:sz w:val="20"/>
        </w:rPr>
        <w:t>Noovie</w:t>
      </w:r>
      <w:r>
        <w:rPr>
          <w:rFonts w:ascii="Times New Roman" w:hAnsi="Times New Roman"/>
          <w:color w:val="000000"/>
          <w:sz w:val="20"/>
        </w:rPr>
        <w:t xml:space="preserve"> show is sold to the ESA Parties to satisfy the ESA Parties’ on-screen advertising commitments under their beverage concessionaire agreements. In consideration for access to the ESA Parties’ theaters, theater patrons, the network equipment required to display on-screen and LEN video advertising and the use of theaters for lobby promotions, the ESA Parties receive a monthly theater access fee. In conjunction with the 2019 ESA Amendments, NCM LLC also pays Cinemark and paid Regal (through July 14, 2023)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Cinemark ESA was extended until 2041. The ESAs and 2019 ESA Amendments were considered leases with related parties under ASC 842. As described above, the Regal ESA was rejected by Regal in connection with Regal’s Chapter 11 case and terminated by the Regal Termination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 Agreement.</w:t>
      </w:r>
      <w:r>
        <w:rPr>
          <w:rFonts w:ascii="Times New Roman" w:hAnsi="Times New Roman"/>
          <w:color w:val="000000"/>
          <w:sz w:val="20"/>
        </w:rPr>
        <w:t xml:space="preserve"> The common unit adjustment agreement provides a mechanism for increasing or decreasing the membership units held by the ESA Parties based on the acquisition or construction of new theaters or sale of theaters that are operated by each ESA Party and included in NCM LLC’s network.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Tax Receivable Agreement.</w:t>
      </w:r>
      <w:r>
        <w:rPr>
          <w:rFonts w:ascii="Times New Roman" w:hAnsi="Times New Roman"/>
          <w:color w:val="000000"/>
          <w:sz w:val="20"/>
        </w:rPr>
        <w:t xml:space="preserve"> The TRA provides for the effective payment by NCM, Inc. to AMC and Cinemark of 90% of the amount of cash savings, if any, in U.S. federal, state and local income tax or franchise tax that is actually realized as a result of certain increases in NCM, Inc.’s proportionate share of tax basis in NCM LLC’s tangible and intangible assets resulting from the IPO and related transactions that is related to AMC and Cinemark’s share in the effect at the time the TRA was signed.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Software License Agreement.</w:t>
      </w:r>
      <w:r>
        <w:rPr>
          <w:rFonts w:ascii="Times New Roman" w:hAnsi="Times New Roman"/>
          <w:color w:val="000000"/>
          <w:sz w:val="20"/>
        </w:rPr>
        <w:t xml:space="preserve"> At the date of the Company’s IPO, NCM LLC was granted a perpetual, royalty-free license from AMC, Cinemark, and Regal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AMC, Cinemark, and Regal,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provide summaries of the transactions between NCM, Inc. and AMC, Cinemark, and Regal when designated related parties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96"/>
        <w:gridCol w:w="146"/>
        <w:gridCol w:w="372"/>
        <w:gridCol w:w="610"/>
        <w:gridCol w:w="160"/>
        <w:gridCol w:w="160"/>
        <w:gridCol w:w="364"/>
        <w:gridCol w:w="622"/>
        <w:gridCol w:w="146"/>
        <w:gridCol w:w="146"/>
        <w:gridCol w:w="372"/>
        <w:gridCol w:w="610"/>
        <w:gridCol w:w="146"/>
        <w:gridCol w:w="146"/>
        <w:gridCol w:w="315"/>
        <w:gridCol w:w="697"/>
        <w:gridCol w:w="597"/>
      </w:tblGrid>
      <w:tr>
        <w:trP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Included in the unaudited Condensed Consolidated Statements of Operations:</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u w:val="single"/>
              </w:rPr>
            </w:pPr>
            <w:r>
              <w:rPr>
                <w:rFonts w:ascii="Times New Roman" w:hAnsi="Times New Roman"/>
                <w:color w:val="000000"/>
                <w:sz w:val="20"/>
                <w:u w:val="single"/>
              </w:rPr>
              <w:t>Revenue:</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160"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gridSpan w:val="2"/>
            <w:tcBorders/>
            <w:shd w:fill="CFF0FC" w:val="clear"/>
            <w:vAlign w:val="center"/>
          </w:tcPr>
          <w:p>
            <w:pPr>
              <w:pStyle w:val="TableContents"/>
              <w:bidi w:val="0"/>
              <w:spacing w:before="0" w:after="283"/>
              <w:jc w:val="right"/>
              <w:rPr/>
            </w:pPr>
            <w:r>
              <w:rPr/>
              <w:t> </w:t>
            </w:r>
          </w:p>
        </w:tc>
        <w:tc>
          <w:tcPr>
            <w:tcW w:w="597" w:type="dxa"/>
            <w:tcBorders/>
            <w:shd w:fill="CFF0FC" w:val="clear"/>
            <w:vAlign w:val="center"/>
          </w:tcPr>
          <w:p>
            <w:pPr>
              <w:pStyle w:val="TableContents"/>
              <w:bidi w:val="0"/>
              <w:spacing w:before="0" w:after="283"/>
              <w:ind w:left="0" w:right="0" w:firstLine="400"/>
              <w:jc w:val="right"/>
              <w:rPr/>
            </w:pPr>
            <w:r>
              <w:rPr/>
              <w:t> </w:t>
            </w:r>
          </w:p>
        </w:tc>
      </w:tr>
      <w:tr>
        <w:trPr/>
        <w:tc>
          <w:tcPr>
            <w:tcW w:w="4596"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ESA advertising revenue from beverage concessionaire </w:t>
              <w:br/>
              <w:t>   agreements (included in revenue) </w:t>
            </w:r>
            <w:r>
              <w:rPr>
                <w:rFonts w:ascii="Times New Roman" w:hAnsi="Times New Roman"/>
                <w:i/>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7" w:type="dxa"/>
            <w:tcBorders/>
            <w:shd w:fill="FFFFFF" w:val="clear"/>
            <w:vAlign w:val="center"/>
          </w:tcPr>
          <w:p>
            <w:pPr>
              <w:pStyle w:val="TableContents"/>
              <w:bidi w:val="0"/>
              <w:spacing w:before="0" w:after="283"/>
              <w:ind w:left="0" w:right="0" w:firstLine="400"/>
              <w:jc w:val="lef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Management fee reimbursement </w:t>
            </w:r>
            <w:r>
              <w:rPr>
                <w:rFonts w:ascii="Times New Roman" w:hAnsi="Times New Roman"/>
                <w:i/>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7" w:type="dxa"/>
            <w:tcBorders/>
            <w:shd w:fill="CFF0FC" w:val="clear"/>
            <w:vAlign w:val="center"/>
          </w:tcPr>
          <w:p>
            <w:pPr>
              <w:pStyle w:val="TableContents"/>
              <w:bidi w:val="0"/>
              <w:spacing w:before="0" w:after="283"/>
              <w:ind w:left="0" w:right="0" w:firstLine="200"/>
              <w:jc w:val="left"/>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u w:val="single"/>
              </w:rPr>
            </w:pPr>
            <w:r>
              <w:rPr>
                <w:rFonts w:ascii="Times New Roman" w:hAnsi="Times New Roman"/>
                <w:color w:val="000000"/>
                <w:sz w:val="20"/>
                <w:u w:val="single"/>
              </w:rPr>
              <w:t>Operating expenses:</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right"/>
              <w:rPr/>
            </w:pPr>
            <w:r>
              <w:rPr/>
              <w:t> </w:t>
            </w:r>
          </w:p>
        </w:tc>
        <w:tc>
          <w:tcPr>
            <w:tcW w:w="597" w:type="dxa"/>
            <w:tcBorders/>
            <w:shd w:fill="FFFFFF" w:val="clear"/>
            <w:vAlign w:val="center"/>
          </w:tcPr>
          <w:p>
            <w:pPr>
              <w:pStyle w:val="TableContents"/>
              <w:bidi w:val="0"/>
              <w:spacing w:before="0" w:after="283"/>
              <w:ind w:left="0" w:right="0" w:firstLine="400"/>
              <w:jc w:val="right"/>
              <w:rPr/>
            </w:pPr>
            <w:r>
              <w:rPr/>
              <w:t> </w:t>
            </w:r>
          </w:p>
        </w:tc>
      </w:tr>
      <w:tr>
        <w:trPr/>
        <w:tc>
          <w:tcPr>
            <w:tcW w:w="4596"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 xml:space="preserve">ESA Parties and network affiliate fees </w:t>
            </w:r>
            <w:r>
              <w:rPr>
                <w:rFonts w:ascii="Times New Roman" w:hAnsi="Times New Roman"/>
                <w:i/>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97"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27, 2024, AMC, Cinemark and Regal were not related parties.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29, 2023, Cinemark and Regal purchased 60 seconds of on-screen advertising time from NCM LLC to satisfy their obligations under their beverage concessionaire agreements at a 30 seconds equivalent cost per thousand impressions (“CPM”) rate specified by the ESA. Beverage revenue above is only reflective of periods where Cinemark and Regal were related parties.</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Comprised of fees owed by NCM LLC to NCM, Inc. for managing NCM LLC during the period where NCM LLC was deconsolidated of April 11, 2023 through August 7, 2023.</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(4)</w:t>
      </w:r>
    </w:p>
    <w:p>
      <w:pPr>
        <w:pStyle w:val="TextBody"/>
        <w:bidi w:val="0"/>
        <w:jc w:val="left"/>
        <w:rPr>
          <w:rFonts w:ascii="Times New Roman" w:hAnsi="Times New Roman"/>
          <w:sz w:val="20"/>
        </w:rPr>
      </w:pPr>
      <w:r>
        <w:rPr>
          <w:rFonts w:ascii="Times New Roman" w:hAnsi="Times New Roman"/>
          <w:color w:val="000000"/>
          <w:sz w:val="20"/>
        </w:rPr>
        <w:t xml:space="preserve">Comprised of payments per theater attendee, payments per digital screen with respect to Cinemark and Regal theaters included in the Company’s network and payments for access to higher quality digital cinema equipment. Following the 2019 ESA Amendments this also includes payments to Cinemark and Regal (through July 14, 2023) for their share of the revenue from the sale of an additional single unit that is either 30 or 60 seconds of the </w:t>
      </w:r>
      <w:r>
        <w:rPr>
          <w:rFonts w:ascii="Times New Roman" w:hAnsi="Times New Roman"/>
          <w:i/>
          <w:color w:val="000000"/>
          <w:sz w:val="20"/>
        </w:rPr>
        <w:t>Noovie</w:t>
      </w:r>
      <w:r>
        <w:rPr>
          <w:rFonts w:ascii="Times New Roman" w:hAnsi="Times New Roman"/>
          <w:color w:val="000000"/>
          <w:sz w:val="20"/>
        </w:rPr>
        <w:t xml:space="preserve"> pre-show in the trailer position directly prior to the “attached” trailers preceding the feature film (the “Platinum Spot”). Theater access fees and revenue share expenses above are only reflective of periods where Cinemark and Regal were related parties.</w:t>
      </w:r>
    </w:p>
    <w:p>
      <w:pPr>
        <w:pStyle w:val="TextBody"/>
        <w:bidi w:val="0"/>
        <w:spacing w:before="120" w:after="283"/>
        <w:jc w:val="left"/>
        <w:rPr>
          <w:rFonts w:ascii="Times New Roman" w:hAnsi="Times New Roman"/>
          <w:sz w:val="20"/>
        </w:rPr>
      </w:pPr>
      <w:r>
        <w:rPr>
          <w:rFonts w:ascii="Times New Roman" w:hAnsi="Times New Roman"/>
          <w:b/>
          <w:i/>
          <w:color w:val="000000"/>
          <w:sz w:val="20"/>
        </w:rPr>
        <w:t>AC JV, LLC Transactions</w:t>
      </w:r>
      <w:r>
        <w:rPr>
          <w:rFonts w:ascii="Times New Roman" w:hAnsi="Times New Roman"/>
          <w:color w:val="000000"/>
          <w:sz w:val="20"/>
        </w:rPr>
        <w:t xml:space="preserve">—In December 2013, NCM LLC sold its Fathom Events business to a newly formed limited liability company, AC JV, LLC, owned 32% by each of the founding members and 4% by NCM LLC. The Company accounts for its investment in AC JV, LLC under the equity method of accounting in accordance with </w:t>
      </w:r>
      <w:r>
        <w:rPr>
          <w:rFonts w:ascii="Times New Roman" w:hAnsi="Times New Roman"/>
          <w:i/>
          <w:color w:val="000000"/>
          <w:sz w:val="20"/>
        </w:rPr>
        <w:t>ASC 323-30, Investments—Equity Method and Joint Ventures</w:t>
      </w:r>
      <w:r>
        <w:rPr>
          <w:rFonts w:ascii="Times New Roman" w:hAnsi="Times New Roman"/>
          <w:color w:val="000000"/>
          <w:sz w:val="20"/>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$1.0 million and $0.7 million as of June 27, 2024 and December 28, 2023, respectively. During the three and six months ended June 27, 2024 and June 29, 2023, NCM LLC received cash distributions from AC JV, LLC of $0.2 million, $0.4 million, $0.2 million, and $0.2 million, respectively. Equity in earnings from AC JV, LLC of $0.2 million, $0.7 million, $0.0 million and $0.1 million, for the three and six months ended June 27, 2024 and June 29, 2023, respectively, are included in “Other non-operating (income) expense, net” in the unaudited Condensed Consolidated Statements of Operations. </w:t>
      </w:r>
    </w:p>
    <w:p>
      <w:pPr>
        <w:pStyle w:val="TextBody"/>
        <w:bidi w:val="0"/>
        <w:spacing w:before="120" w:after="283"/>
        <w:jc w:val="left"/>
        <w:rPr>
          <w:rFonts w:ascii="Times New Roman" w:hAnsi="Times New Roman"/>
          <w:b/>
          <w:color w:val="000000"/>
          <w:sz w:val="20"/>
        </w:rPr>
      </w:pPr>
      <w:bookmarkStart w:id="16" w:name="section16"/>
      <w:bookmarkEnd w:id="16"/>
      <w:r>
        <w:rPr>
          <w:rFonts w:ascii="Times New Roman" w:hAnsi="Times New Roman"/>
          <w:b/>
          <w:color w:val="000000"/>
          <w:sz w:val="20"/>
        </w:rPr>
        <w:t>7.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outstanding debt as of June 27, 2024 and December 28, 2023 and the significant terms of its borrowing arrangements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12"/>
        <w:gridCol w:w="146"/>
        <w:gridCol w:w="325"/>
        <w:gridCol w:w="719"/>
        <w:gridCol w:w="172"/>
        <w:gridCol w:w="172"/>
        <w:gridCol w:w="429"/>
        <w:gridCol w:w="950"/>
        <w:gridCol w:w="146"/>
        <w:gridCol w:w="146"/>
        <w:gridCol w:w="1246"/>
        <w:gridCol w:w="146"/>
        <w:gridCol w:w="342"/>
        <w:gridCol w:w="637"/>
        <w:gridCol w:w="617"/>
      </w:tblGrid>
      <w:tr>
        <w:trPr/>
        <w:tc>
          <w:tcPr>
            <w:tcW w:w="4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0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Balance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283"/>
              <w:jc w:val="center"/>
              <w:rPr/>
            </w:pPr>
            <w:r>
              <w:rPr/>
              <w:t> </w:t>
            </w:r>
          </w:p>
        </w:tc>
        <w:tc>
          <w:tcPr>
            <w:tcW w:w="617" w:type="dxa"/>
            <w:tcBorders/>
            <w:shd w:fill="FFFFFF" w:val="clear"/>
            <w:vAlign w:val="center"/>
          </w:tcPr>
          <w:p>
            <w:pPr>
              <w:pStyle w:val="TableContents"/>
              <w:bidi w:val="0"/>
              <w:spacing w:before="0" w:after="283"/>
              <w:jc w:val="center"/>
              <w:rPr/>
            </w:pPr>
            <w:r>
              <w:rPr/>
              <w:t> </w:t>
            </w:r>
          </w:p>
        </w:tc>
      </w:tr>
      <w:tr>
        <w:trPr/>
        <w:tc>
          <w:tcPr>
            <w:tcW w:w="4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2023</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617" w:type="dxa"/>
            <w:tcBorders/>
            <w:shd w:fill="CFF0FC" w:val="cle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40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jc w:val="right"/>
              <w:rPr/>
            </w:pPr>
            <w:r>
              <w:rPr/>
              <w:t> </w:t>
            </w:r>
          </w:p>
        </w:tc>
      </w:tr>
      <w:tr>
        <w:trPr/>
        <w:tc>
          <w:tcPr>
            <w:tcW w:w="40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debt issuance costs and debt discounts related to </w:t>
              <w:br/>
              <w:t>   term loans and senior notes</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9"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400"/>
              <w:jc w:val="right"/>
              <w:rPr/>
            </w:pPr>
            <w:r>
              <w:rPr/>
              <w:t> </w:t>
            </w:r>
          </w:p>
        </w:tc>
      </w:tr>
      <w:tr>
        <w:trPr/>
        <w:tc>
          <w:tcPr>
            <w:tcW w:w="40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borrowings, net</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ind w:left="0" w:right="0" w:firstLine="200"/>
              <w:jc w:val="right"/>
              <w:rPr/>
            </w:pPr>
            <w:r>
              <w:rPr/>
              <w:t> </w:t>
            </w:r>
          </w:p>
        </w:tc>
      </w:tr>
      <w:tr>
        <w:trPr/>
        <w:tc>
          <w:tcPr>
            <w:tcW w:w="401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current portion of debt</w:t>
            </w:r>
          </w:p>
        </w:tc>
        <w:tc>
          <w:tcPr>
            <w:tcW w:w="146" w:type="dxa"/>
            <w:tcBorders/>
            <w:shd w:fill="CFF0FC" w:val="cle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9" w:type="dxa"/>
            <w:gridSpan w:val="2"/>
            <w:tcBorders/>
            <w:shd w:fill="CFF0FC" w:val="clear"/>
            <w:vAlign w:val="center"/>
          </w:tcPr>
          <w:p>
            <w:pPr>
              <w:pStyle w:val="TableContents"/>
              <w:bidi w:val="0"/>
              <w:spacing w:before="0" w:after="283"/>
              <w:jc w:val="right"/>
              <w:rPr/>
            </w:pPr>
            <w:r>
              <w:rPr/>
              <w:t> </w:t>
            </w:r>
          </w:p>
        </w:tc>
        <w:tc>
          <w:tcPr>
            <w:tcW w:w="617" w:type="dxa"/>
            <w:tcBorders/>
            <w:shd w:fill="CFF0FC" w:val="clear"/>
            <w:vAlign w:val="center"/>
          </w:tcPr>
          <w:p>
            <w:pPr>
              <w:pStyle w:val="TableContents"/>
              <w:bidi w:val="0"/>
              <w:spacing w:before="0" w:after="283"/>
              <w:ind w:left="0" w:right="0" w:firstLine="400"/>
              <w:jc w:val="right"/>
              <w:rPr/>
            </w:pPr>
            <w:r>
              <w:rPr/>
              <w:t> </w:t>
            </w:r>
          </w:p>
        </w:tc>
      </w:tr>
      <w:tr>
        <w:trPr/>
        <w:tc>
          <w:tcPr>
            <w:tcW w:w="401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Carrying value of long-term debt</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jc w:val="right"/>
              <w:rPr/>
            </w:pPr>
            <w:r>
              <w:rPr/>
              <w:t> </w:t>
            </w:r>
          </w:p>
        </w:tc>
      </w:tr>
    </w:tbl>
    <w:p>
      <w:pPr>
        <w:pStyle w:val="TextBody"/>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Revolving Credit Facility 2023 is described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Loan, Security and Guarantee Agreement</w:t>
      </w:r>
      <w:r>
        <w:rPr>
          <w:rFonts w:ascii="Times New Roman" w:hAnsi="Times New Roman"/>
          <w:color w:val="000000"/>
          <w:sz w:val="20"/>
        </w:rPr>
        <w:t xml:space="preserve">—On August 7, 2023, NCM LLC entered into a Loan, Security and Guarantee Agreement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Revolving Credit Facility 2023 is $55,000,000. The proceeds of the Revolving Credit Facility 2023 may be used for, inter alia, working capital and capital expenditures. The Revolving Credit Facility 2023 will mature on August 7, 2026. The interest rate under the Revolving Credit Facility 2023 is a base rate of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thirty (30) consecutive days and (ii) availability is greater than both (a) $5,000,000 and (b) 10% of aggregate revolving commitments. Upon the effectiveness of the Revolving Credit Facility 2023, NCM LLC immediately drew $10.0 million from the facility, which represents the only amount currently outstanding under the Revolving Credit Facility 2023, as of June 27, 2024. The Revolving Credit Facility 2023 also contains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customary representations, warranties, covenants, events of default, terms and conditions, including limitations on liens, incurrence of debt, mergers and significant asset dispositions. As of June 27, 2024, NCM LLC’s maximum availability under the $55.0 million Revolving Credit Facility 2023 was $44.4 million, net of $10.0 million outstanding and net of letters of credit of $0.6 million. The weighted-average interest rate on the Revolving Credit Facility 2023 as of June 27, 2024 was 9.19%. Upon execution of the Revolving Credit Facility 2023, NCM LLC recorded $2.4 million as debt issuance costs and received $9.1 million in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Revolving Credit Facility 2023 contains a number of covenants and financial ratio requirements, with which NCM LLC was in compliance at June 27, 2024, including maintaining a fixed charge coverage ratio in excess of 1.1 to 1.0 on a monthly basis while maintaining availability in excess of either (i) $8.25 million or (ii) 15.0% of the aggregate revolver commitments (the “availability thresholds”). NCM LLC is permitted to make quarterly dividend payments and other payments based on the fixed charge coverage ratio and availability thresholds so long as no default or event of default has occurred and continues to occur. Dividend payments and other distributions are made if the fixed charge coverage ratio is in excess of 1.1 to 1.0 and availability, after the distribution, is in compliance with the availability thresholds.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no borrower distribution restrictions as long as NCM LLC’s fixed coverage ratio is 1.1 to 1.0, NCM LLC maintains availability under the availability thresholds and NCM LLC is in compliance with its debt covenants. If there are borrower distribution restrictions on the payments, NCM LLC may not declare or pay any dividends, or make any payments on account of NCM LLC or make any other distribution for obligations of NCM LLC. When these restrictions are effective, NCM LLC may still pay the services fee and reimbursable costs pursuant to terms of a management services agreement, between NCM, Inc. and NCM LLC, in exchange for NCM, Inc. providing specified management services to NCM LLC. NCM LLC can also make payments pursuant to the Common Unit Adjustment Agreement and Tax Receivable Agreement in the amount, and at the time necessary to satisfy the contractual obligations with respect to the actual cash tax benefits payable to NCM LLC’s ESA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27, 2024, the NCM LLC’s fixed charge coverage ratio was 2.7 to 1.0 (versus the required ratio of 1.1 to 1.0) and had maximum availability under the Revolving Credit Facility 2023 of $44.4 million (versus the applicable availability threshold of $8.25 million).</w:t>
      </w:r>
    </w:p>
    <w:p>
      <w:pPr>
        <w:pStyle w:val="TextBody"/>
        <w:bidi w:val="0"/>
        <w:spacing w:before="120" w:after="283"/>
        <w:jc w:val="left"/>
        <w:rPr>
          <w:rFonts w:ascii="Times New Roman" w:hAnsi="Times New Roman"/>
          <w:b/>
          <w:color w:val="000000"/>
          <w:sz w:val="20"/>
        </w:rPr>
      </w:pPr>
      <w:bookmarkStart w:id="17" w:name="section17"/>
      <w:bookmarkEnd w:id="17"/>
      <w:r>
        <w:rPr>
          <w:rFonts w:ascii="Times New Roman" w:hAnsi="Times New Roman"/>
          <w:b/>
          <w:color w:val="000000"/>
          <w:sz w:val="20"/>
        </w:rPr>
        <w:t>8. INCOME TAXES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the Company’s Effective Tax Rate</w:t>
      </w:r>
      <w:r>
        <w:rPr>
          <w:rFonts w:ascii="Times New Roman" w:hAnsi="Times New Roman"/>
          <w:color w:val="000000"/>
          <w:sz w:val="20"/>
        </w:rPr>
        <w:t xml:space="preserve">—The Company recorded income tax expense of $0.0 million for the three and six months ended June 27, 2024 and for the three and six months ended June 29, 2023 resulting in an effective tax rate of 0.0% for these periods. The Company held a full valuation allowance on its net deferred tax assets as of December 28, 2023 following the determination it was more-likely-than-not that the Company will not be able to realize the benefit of those assets. The Company maintained a full valuation allowance as of June 27, 2024, resulting in deferred tax expense of $0.0 million for the three and six months ended June 27, 2024 and the Company’s effective tax rate of 0.0%. </w:t>
      </w:r>
    </w:p>
    <w:p>
      <w:pPr>
        <w:pStyle w:val="TextBody"/>
        <w:bidi w:val="0"/>
        <w:spacing w:before="120" w:after="283"/>
        <w:jc w:val="left"/>
        <w:rPr>
          <w:rFonts w:ascii="Times New Roman" w:hAnsi="Times New Roman"/>
          <w:b/>
          <w:color w:val="000000"/>
          <w:sz w:val="20"/>
        </w:rPr>
      </w:pPr>
      <w:bookmarkStart w:id="18" w:name="section18"/>
      <w:bookmarkEnd w:id="18"/>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Legal Actions</w:t>
      </w:r>
      <w:r>
        <w:rPr>
          <w:rFonts w:ascii="Times New Roman" w:hAnsi="Times New Roman"/>
          <w:color w:val="000000"/>
          <w:sz w:val="20"/>
        </w:rPr>
        <w:t>—The Company is subject to claims and legal actions in the ordinary course of business. The Company believes such claims will not have a material adverse effect individually or in the aggregate on its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 - Facilities</w:t>
      </w:r>
      <w:r>
        <w:rPr>
          <w:rFonts w:ascii="Times New Roman" w:hAnsi="Times New Roman"/>
          <w:color w:val="000000"/>
          <w:sz w:val="20"/>
        </w:rPr>
        <w:t xml:space="preserve">—The Company has entered into operating lease agreements for its corporate headquarters and other regional offices. The Company has right-of-use (“ROU”) assets of $11.0 million and short-term and long-term lease liabilities of $1.2 million and $11.5 million, respectively, on the balance sheet as of June 27, 2024 for all material leases with terms longer than twelve months. These balances are included within ‘Other assets’, ‘Other current liabilities’ and ‘Other liabilities’, respectively, on the unaudited Condensed Consolidated Balance Sheets. As of June 27, 2024, the Company had a weighted average remaining lease term of 7.6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June 27, 2024, the Company’s weighted average annual discount rate used to establish the ROU assets and lease liabilities was 7.4%.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27, 2024 and June 29, 2023,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pStyle w:val="TextBody"/>
        <w:bidi w:val="0"/>
        <w:jc w:val="left"/>
        <w:rPr/>
      </w:pPr>
      <w:r>
        <w:rPr/>
        <w:t> </w:t>
      </w:r>
    </w:p>
    <w:tbl>
      <w:tblPr>
        <w:tblW w:w="7503" w:type="dxa"/>
        <w:jc w:val="left"/>
        <w:tblInd w:w="0" w:type="dxa"/>
        <w:tblLayout w:type="fixed"/>
        <w:tblCellMar>
          <w:top w:w="28" w:type="dxa"/>
          <w:left w:w="28" w:type="dxa"/>
          <w:bottom w:w="28" w:type="dxa"/>
          <w:right w:w="28" w:type="dxa"/>
        </w:tblCellMar>
      </w:tblPr>
      <w:tblGrid>
        <w:gridCol w:w="1756"/>
        <w:gridCol w:w="146"/>
        <w:gridCol w:w="414"/>
        <w:gridCol w:w="711"/>
        <w:gridCol w:w="163"/>
        <w:gridCol w:w="163"/>
        <w:gridCol w:w="414"/>
        <w:gridCol w:w="711"/>
        <w:gridCol w:w="146"/>
        <w:gridCol w:w="146"/>
        <w:gridCol w:w="415"/>
        <w:gridCol w:w="710"/>
        <w:gridCol w:w="146"/>
        <w:gridCol w:w="146"/>
        <w:gridCol w:w="415"/>
        <w:gridCol w:w="710"/>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made total lease payments of $0.4 million, $0.0 million, $1.2 million and $1.0 million during the three months ended June 27, 2024 and June 29, 2023 and six months ended June 27, 2024 and June 29, 2023, respectively. These payments are included within cash flows from operating activities within the unaudited Condensed Consolidated Statement of Cash Flows.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ESAs and Affiliate Agreements</w:t>
      </w:r>
      <w:r>
        <w:rPr>
          <w:rFonts w:ascii="Times New Roman" w:hAnsi="Times New Roman"/>
          <w:color w:val="000000"/>
          <w:sz w:val="20"/>
        </w:rPr>
        <w:t>—The Company has entered into long-term ESAs and multi-year agreements with third-party theater circuits. The ESAs and network affiliate agreements grant NCM LLC exclusive rights in their theaters to sell advertising, subject to limited exceptions. The Company recognizes intangible assets upon issuance of membership units to the ESA Parties in accordance with NCM LLC’s Common Unit Adjustment Agreement and upfront cash payments to the affiliates for the contractual rights to provide the Company’s services within their theaters as further discussed within Note 5—</w:t>
      </w:r>
      <w:r>
        <w:rPr>
          <w:rFonts w:ascii="Times New Roman" w:hAnsi="Times New Roman"/>
          <w:i/>
          <w:color w:val="000000"/>
          <w:sz w:val="20"/>
        </w:rPr>
        <w:t>Intangible Assets</w:t>
      </w:r>
      <w:r>
        <w:rPr>
          <w:rFonts w:ascii="Times New Roman" w:hAnsi="Times New Roman"/>
          <w:color w:val="000000"/>
          <w:sz w:val="20"/>
        </w:rPr>
        <w:t xml:space="preserve">. These ESAs and network affiliate agreements are considered leases under </w:t>
      </w:r>
      <w:r>
        <w:rPr>
          <w:rFonts w:ascii="Times New Roman" w:hAnsi="Times New Roman"/>
          <w:i/>
          <w:color w:val="000000"/>
          <w:sz w:val="20"/>
        </w:rPr>
        <w:t>ASC 842</w:t>
      </w:r>
      <w:r>
        <w:rPr>
          <w:rFonts w:ascii="Times New Roman" w:hAnsi="Times New Roman"/>
          <w:color w:val="000000"/>
          <w:sz w:val="20"/>
        </w:rPr>
        <w:t>—</w:t>
      </w:r>
      <w:r>
        <w:rPr>
          <w:rFonts w:ascii="Times New Roman" w:hAnsi="Times New Roman"/>
          <w:i/>
          <w:color w:val="000000"/>
          <w:sz w:val="20"/>
        </w:rPr>
        <w:t xml:space="preserve">Leases </w:t>
      </w:r>
      <w:r>
        <w:rPr>
          <w:rFonts w:ascii="Times New Roman" w:hAnsi="Times New Roman"/>
          <w:color w:val="000000"/>
          <w:sz w:val="20"/>
        </w:rPr>
        <w:t xml:space="preserve">("ASC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$5.9 million, $0.9 million, $11.7 million and $7.1 million in amortization of these intangible assets in the three and six months ended June 27, 2024 and June 29, 2023,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cannot be less than 12% of NCM LLC’s aggregate advertising revenue (as defined in the ESA), or it will be adjusted upward to reach this minimum payment. As of June 27, 2024 and December 28, 2023, the Company had no liabilities recorded for the minimum payment, as the theater access fee was in excess of the minimum.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Following the 2019 ESA Amendments, Cinemark receives an additional monthly theater access fee that began on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hAnsi="Times New Roman"/>
          <w:i/>
          <w:color w:val="000000"/>
          <w:sz w:val="20"/>
        </w:rPr>
        <w:t>Noovie®</w:t>
      </w:r>
      <w:r>
        <w:rPr>
          <w:rFonts w:ascii="Times New Roman" w:hAnsi="Times New Roman"/>
          <w:color w:val="000000"/>
          <w:sz w:val="20"/>
        </w:rPr>
        <w:t xml:space="preserve"> pre-show in the trailer position directly prior to the “attached” trailers preceding the feature film. The “attached” trailers are those provided by studios to Cinemark that are with the feature film, which is at least one trailer, but sometimes two or more trailers. In consideration for the utilization of the theaters for the Platinum Spots, Cinemark is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any theater access fees or any Platinum Spot revenue share when the theaters are not displaying the Company's pre-show or when the Company does not have access to the theaters. The digital screen fee is calculated based upon average screens in use during each month.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June 27, 2024, the maximum potential amount of future payments the Company could be required to make pursuant to the minimum revenue guarantees is $247.7 million over the remaining terms of the network affiliate agreements. These minimum guarantees relate to various affiliate agreements ranging in term from two years to nine years, prior to any renewal periods of which some are at the option of the Company. The Company accrued $0.2 million and $0.0 million related to affiliate agreements with guaranteed minimums in excess of the revenue share agreement as of June 27, 2024 and December 28, 2023, respectively,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—Inputs that are generally unobservable and typically reflect management’s estimate of assumptions that market participants would use in pricing the asset or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Non-Recurring Measurements</w:t>
      </w: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These assets include long-lived assets, intangible assets, other investments, notes receivable and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Long-Lived Assets, Intangible Assets and Other Investments</w:t>
      </w:r>
      <w:r>
        <w:rPr>
          <w:rFonts w:ascii="Times New Roman" w:hAnsi="Times New Roman"/>
          <w:color w:val="000000"/>
          <w:sz w:val="20"/>
        </w:rPr>
        <w:t xml:space="preserve">—The Company regularly reviews long-lived assets (primarily property, plant and 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investments consisted of the following (in millions):</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266"/>
        <w:gridCol w:w="146"/>
        <w:gridCol w:w="415"/>
        <w:gridCol w:w="710"/>
        <w:gridCol w:w="146"/>
        <w:gridCol w:w="146"/>
        <w:gridCol w:w="552"/>
        <w:gridCol w:w="948"/>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AC JV, LLC</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27, 2024,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pStyle w:val="TextBody"/>
        <w:bidi w:val="0"/>
        <w:spacing w:before="120" w:after="283"/>
        <w:jc w:val="left"/>
        <w:rPr>
          <w:rFonts w:ascii="Times New Roman" w:hAnsi="Times New Roman"/>
          <w:sz w:val="20"/>
        </w:rPr>
      </w:pPr>
      <w:r>
        <w:rPr>
          <w:rFonts w:ascii="Times New Roman" w:hAnsi="Times New Roman"/>
          <w:i/>
          <w:color w:val="000000"/>
          <w:sz w:val="20"/>
        </w:rPr>
        <w:t>Borrowings</w:t>
      </w:r>
      <w:r>
        <w:rPr>
          <w:rFonts w:ascii="Times New Roman" w:hAnsi="Times New Roman"/>
          <w:color w:val="000000"/>
          <w:sz w:val="20"/>
        </w:rPr>
        <w:t>—The carrying amount of the Revolving Credit Facility 2023 is considered a reasonable estimate of fair value due to its floating-rate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Recurring Measurements</w:t>
      </w:r>
      <w:r>
        <w:rPr>
          <w:rFonts w:ascii="Times New Roman" w:hAnsi="Times New Roman"/>
          <w:color w:val="000000"/>
          <w:sz w:val="20"/>
        </w:rPr>
        <w:t xml:space="preserve">—All current assets and liabilities are estimated to approximate their fair value due to the short-term nature of these balances. The fair values of the Company’s assets and liabilities measured on a recurring basis pursuant to ASC 820-10 </w:t>
      </w:r>
      <w:r>
        <w:rPr>
          <w:rFonts w:ascii="Times New Roman" w:hAnsi="Times New Roman"/>
          <w:i/>
          <w:color w:val="000000"/>
          <w:sz w:val="20"/>
        </w:rPr>
        <w:t>Fair Value Measurements and Disclosures</w:t>
      </w:r>
      <w:r>
        <w:rPr>
          <w:rFonts w:ascii="Times New Roman" w:hAnsi="Times New Roman"/>
          <w:color w:val="000000"/>
          <w:sz w:val="20"/>
        </w:rPr>
        <w:t xml:space="preserve"> are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2"/>
        <w:gridCol w:w="146"/>
        <w:gridCol w:w="283"/>
        <w:gridCol w:w="627"/>
        <w:gridCol w:w="146"/>
        <w:gridCol w:w="146"/>
        <w:gridCol w:w="741"/>
        <w:gridCol w:w="1640"/>
        <w:gridCol w:w="146"/>
        <w:gridCol w:w="146"/>
        <w:gridCol w:w="707"/>
        <w:gridCol w:w="1163"/>
        <w:gridCol w:w="146"/>
        <w:gridCol w:w="146"/>
        <w:gridCol w:w="675"/>
        <w:gridCol w:w="1109"/>
        <w:gridCol w:w="596"/>
      </w:tblGrid>
      <w:tr>
        <w:trPr/>
        <w:tc>
          <w:tcPr>
            <w:tcW w:w="1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6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Reporting Date Using</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As of</w:t>
              <w:b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1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84" w:type="dxa"/>
            <w:gridSpan w:val="2"/>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ind w:left="0" w:right="0" w:firstLine="200"/>
              <w:jc w:val="right"/>
              <w:rPr/>
            </w:pPr>
            <w:r>
              <w:rPr/>
              <w:t> </w:t>
            </w:r>
          </w:p>
        </w:tc>
      </w:tr>
      <w:tr>
        <w:trPr/>
        <w:tc>
          <w:tcPr>
            <w:tcW w:w="164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Cash equivalents </w:t>
            </w:r>
            <w:r>
              <w:rPr>
                <w:rFonts w:ascii="Times New Roman" w:hAnsi="Times New Roman"/>
                <w:i/>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4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sz w:val="20"/>
        </w:rPr>
      </w:pPr>
      <w:r>
        <w:rPr>
          <w:rFonts w:ascii="Times New Roman" w:hAnsi="Times New Roman"/>
          <w:i/>
          <w:color w:val="000000"/>
          <w:sz w:val="20"/>
        </w:rPr>
        <w:t>Cash Equivalents</w:t>
      </w:r>
      <w:r>
        <w:rPr>
          <w:rFonts w:ascii="Times New Roman" w:hAnsi="Times New Roman"/>
          <w:color w:val="000000"/>
          <w:sz w:val="20"/>
        </w:rPr>
        <w:t>—The Company’s cash equivalents are carried at estimated fair value. Cash equivalents consist of money market accounts which the Company has classified as Level 1 given the active market for these accounts.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2_mda"/>
      <w:bookmarkEnd w:id="19"/>
      <w:r>
        <w:rPr>
          <w:rFonts w:ascii="Times New Roman" w:hAnsi="Times New Roman"/>
          <w:b/>
          <w:color w:val="000000"/>
          <w:sz w:val="20"/>
        </w:rPr>
        <w:t xml:space="preserve">Item 2.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Annual Report on Form 10-K for the Company’s fiscal year ended December 28, 2023.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28, 2023. In the following discussion and analysis, the term net income refers to net income attributable to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America’s Movie Network. As the largest cinema advertising network in North America, we are a media company dedicated to uniting brands with young, diverse audiences through the power of movies and pop culture. We currently derive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our cinema advertising and entertainment show seen on movie screens across the U.S.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present multiple formats of The </w:t>
      </w:r>
      <w:r>
        <w:rPr>
          <w:rFonts w:ascii="Times New Roman" w:hAnsi="Times New Roman"/>
          <w:i/>
          <w:color w:val="000000"/>
          <w:sz w:val="20"/>
        </w:rPr>
        <w:t xml:space="preserve">Noovie </w:t>
      </w:r>
      <w:r>
        <w:rPr>
          <w:rFonts w:ascii="Times New Roman" w:hAnsi="Times New Roman"/>
          <w:color w:val="000000"/>
          <w:sz w:val="20"/>
        </w:rPr>
        <w:t xml:space="preserve">Show depending on the theater circuit in which it runs, which may include Post-Showtime advertising inventory after the advertised showtime. As of June 27, 2024, theaters presenting The </w:t>
      </w:r>
      <w:r>
        <w:rPr>
          <w:rFonts w:ascii="Times New Roman" w:hAnsi="Times New Roman"/>
          <w:i/>
          <w:color w:val="000000"/>
          <w:sz w:val="20"/>
        </w:rPr>
        <w:t xml:space="preserve">Noovie </w:t>
      </w:r>
      <w:r>
        <w:rPr>
          <w:rFonts w:ascii="Times New Roman" w:hAnsi="Times New Roman"/>
          <w:color w:val="000000"/>
          <w:sz w:val="20"/>
        </w:rPr>
        <w:t xml:space="preserve">Show format with Post-Showtime Inventory made up approximately 64.8% of our network. All other NCM network theater circuits, which make up the remaining 35.2% of our network, present The </w:t>
      </w:r>
      <w:r>
        <w:rPr>
          <w:rFonts w:ascii="Times New Roman" w:hAnsi="Times New Roman"/>
          <w:i/>
          <w:color w:val="000000"/>
          <w:sz w:val="20"/>
        </w:rPr>
        <w:t xml:space="preserve">Noovie </w:t>
      </w:r>
      <w:r>
        <w:rPr>
          <w:rFonts w:ascii="Times New Roman" w:hAnsi="Times New Roman"/>
          <w:color w:val="000000"/>
          <w:sz w:val="20"/>
        </w:rPr>
        <w:t xml:space="preserve">Show, without Post-Showtime advertising inventory. The movie trailers presented by the theater circuits that run before the feature film are not part of The </w:t>
      </w:r>
      <w:r>
        <w:rPr>
          <w:rFonts w:ascii="Times New Roman" w:hAnsi="Times New Roman"/>
          <w:i/>
          <w:color w:val="000000"/>
          <w:sz w:val="20"/>
        </w:rPr>
        <w:t xml:space="preserve">Noovie </w:t>
      </w:r>
      <w:r>
        <w:rPr>
          <w:rFonts w:ascii="Times New Roman" w:hAnsi="Times New Roman"/>
          <w:color w:val="000000"/>
          <w:sz w:val="20"/>
        </w:rPr>
        <w:t xml:space="preserve">Show. </w:t>
      </w:r>
    </w:p>
    <w:p>
      <w:pPr>
        <w:pStyle w:val="TextBody"/>
        <w:bidi w:val="0"/>
        <w:spacing w:before="120" w:after="283"/>
        <w:jc w:val="left"/>
        <w:rPr>
          <w:rFonts w:ascii="Times New Roman" w:hAnsi="Times New Roman"/>
          <w:sz w:val="20"/>
        </w:rPr>
      </w:pPr>
      <w:r>
        <w:rPr>
          <w:rFonts w:ascii="Times New Roman" w:hAnsi="Times New Roman"/>
          <w:color w:val="000000"/>
          <w:sz w:val="20"/>
        </w:rPr>
        <w:t>We also sell advertising on our lobby network (“LEN”), a series of strategically placed screens located in movie theater lobbies, as well as other forms of advertising and promotions in theater lobbies. In addition, we sell online and mobile advertising through our Audience Accelerator</w:t>
      </w:r>
      <w:r>
        <w:rPr>
          <w:rFonts w:ascii="Times New Roman" w:hAnsi="Times New Roman"/>
          <w:i/>
          <w:color w:val="000000"/>
          <w:sz w:val="20"/>
        </w:rPr>
        <w:t>,</w:t>
      </w:r>
      <w:r>
        <w:rPr>
          <w:rFonts w:ascii="Times New Roman" w:hAnsi="Times New Roman"/>
          <w:color w:val="000000"/>
          <w:sz w:val="20"/>
        </w:rPr>
        <w:t xml:space="preserve"> across our suite of </w:t>
      </w:r>
      <w:r>
        <w:rPr>
          <w:rFonts w:ascii="Times New Roman" w:hAnsi="Times New Roman"/>
          <w:i/>
          <w:color w:val="000000"/>
          <w:sz w:val="20"/>
        </w:rPr>
        <w:t>Noovie</w:t>
      </w:r>
      <w:r>
        <w:rPr>
          <w:rFonts w:ascii="Times New Roman" w:hAnsi="Times New Roman"/>
          <w:color w:val="000000"/>
          <w:sz w:val="20"/>
        </w:rPr>
        <w:t xml:space="preserve"> digital properties</w:t>
      </w:r>
      <w:r>
        <w:rPr>
          <w:rFonts w:ascii="Times New Roman" w:hAnsi="Times New Roman"/>
          <w:i/>
          <w:color w:val="000000"/>
          <w:sz w:val="20"/>
        </w:rPr>
        <w:t xml:space="preserve">, </w:t>
      </w:r>
      <w:r>
        <w:rPr>
          <w:rFonts w:ascii="Times New Roman" w:hAnsi="Times New Roman"/>
          <w:color w:val="000000"/>
          <w:sz w:val="20"/>
        </w:rPr>
        <w:t xml:space="preserve">as well as a variety of complementary out of home venues in order to reach entertainment audiences beyond the theater. As of June 27, 2024, 7.4 million moviegoers have downloaded our mobile apps. These downloads and the acquisition of second- and third-party data have resulted in approximately 824.2 million data sets as of June 27, 2024. We have long-term exhibitor service agreements (“ESAs”) (approximately 14.6 weighted average years remaining) and multi-year agreements with our network affiliates, which expire at various dates between January 2025 and July 2033. The weighted average remaining term of the ESAs and the network affiliate agreements is 10.6 years as of June 27, 2024. The ESAs and network affiliate agreements grant NCM LLC exclusive rights in their theaters to sell advertising, subject to limited exceptions. Our </w:t>
      </w:r>
      <w:r>
        <w:rPr>
          <w:rFonts w:ascii="Times New Roman" w:hAnsi="Times New Roman"/>
          <w:i/>
          <w:color w:val="000000"/>
          <w:sz w:val="20"/>
        </w:rPr>
        <w:t>Noovie</w:t>
      </w:r>
      <w:r>
        <w:rPr>
          <w:rFonts w:ascii="Times New Roman" w:hAnsi="Times New Roman"/>
          <w:color w:val="000000"/>
          <w:sz w:val="20"/>
        </w:rPr>
        <w:t xml:space="preserve"> Show and LEN programming are distributed predominantly via satellite through our proprietary digital content network (“DCN”).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may be affected by a variety of internal and external factors and trends described more fully in the section entitled “Risk Factors” below and in our Annual Report on Form 10-K filed with the SEC on March 18, 2024 for our fiscal year ended December 28,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and six months ended June 27, 2024, 1,911,587 and 1,919,587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respectively, were repurchased on the open market. In accordance with </w:t>
      </w:r>
      <w:r>
        <w:rPr>
          <w:rFonts w:ascii="Times New Roman" w:hAnsi="Times New Roman"/>
          <w:i/>
          <w:color w:val="000000"/>
          <w:sz w:val="20"/>
        </w:rPr>
        <w:t>Accounting Standards Codification</w:t>
      </w:r>
      <w:r>
        <w:rPr>
          <w:rFonts w:ascii="Times New Roman" w:hAnsi="Times New Roman"/>
          <w:color w:val="000000"/>
          <w:sz w:val="20"/>
        </w:rPr>
        <w:t xml:space="preserve"> ("ASC") </w:t>
      </w:r>
      <w:r>
        <w:rPr>
          <w:rFonts w:ascii="Times New Roman" w:hAnsi="Times New Roman"/>
          <w:i/>
          <w:color w:val="000000"/>
          <w:sz w:val="20"/>
        </w:rPr>
        <w:t>505 —Equity</w:t>
      </w:r>
      <w:r>
        <w:rPr>
          <w:rFonts w:ascii="Times New Roman" w:hAnsi="Times New Roman"/>
          <w:color w:val="000000"/>
          <w:sz w:val="20"/>
        </w:rPr>
        <w:t>, these shares were retired and any excess over par value paid was recorded as a reduction to retained earnings of $9.3 million and $9.5 million for the three and six months ended June 27, 2024,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Bankruptcy Filing, Deconsolidation and Reconsolidation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recorded a gain on deconsolidation of $557.7 million within the second quarter of 2023. NCM, Inc.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to support operations upon emergence. As a result of the Plan, all historical debt of NCM LLC was discharged and NCM LLC recorded a gain on bankruptcy of $916.4 million for the year ended December 28, 2023.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xml:space="preserve">, the assets and liabilities of NCM LLC were adjusted to their estimated fair value as of the Effective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27, 2024, the Company had not completed all agreed upon payments to the General Unsecured Claim Pool and held a total of $3.0 million within the escrow accounts and accruals, presented within ‘Restricted cash’ and ‘Accounts payable’ on the unaudited Condensed Consolidated Balance Sheet as of June 27, 2024, respectively.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Historical and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information with the other information contained in this document, and our unaudited historical financial statements and the notes thereto included elsewhere in this document. </w:t>
      </w:r>
    </w:p>
    <w:p>
      <w:pPr>
        <w:pStyle w:val="TextBody"/>
        <w:bidi w:val="0"/>
        <w:spacing w:before="120" w:after="283"/>
        <w:jc w:val="left"/>
        <w:rPr>
          <w:rFonts w:ascii="Times New Roman" w:hAnsi="Times New Roman"/>
          <w:sz w:val="20"/>
        </w:rPr>
      </w:pPr>
      <w:r>
        <w:rPr>
          <w:rFonts w:ascii="Times New Roman" w:hAnsi="Times New Roman"/>
          <w:b/>
          <w:i/>
          <w:color w:val="000000"/>
          <w:sz w:val="20"/>
        </w:rPr>
        <w:t>NCM, Inc.'s Operating Data</w:t>
      </w:r>
      <w:r>
        <w:rPr>
          <w:rFonts w:ascii="Times New Roman" w:hAnsi="Times New Roman"/>
          <w:color w:val="000000"/>
          <w:sz w:val="20"/>
        </w:rPr>
        <w:t>—Within the financial results outlined below,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The operating results for NCM LLC, which management believes better represent the Company’s historical consolidated performance, are presented separately subsequent to the operating data for NCM, Inc., which is presented below (dollars in millions, except share and margin data):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2"/>
        <w:gridCol w:w="146"/>
        <w:gridCol w:w="211"/>
        <w:gridCol w:w="526"/>
        <w:gridCol w:w="166"/>
        <w:gridCol w:w="146"/>
        <w:gridCol w:w="211"/>
        <w:gridCol w:w="631"/>
        <w:gridCol w:w="166"/>
        <w:gridCol w:w="146"/>
        <w:gridCol w:w="222"/>
        <w:gridCol w:w="602"/>
        <w:gridCol w:w="166"/>
        <w:gridCol w:w="146"/>
        <w:gridCol w:w="212"/>
        <w:gridCol w:w="636"/>
        <w:gridCol w:w="166"/>
        <w:gridCol w:w="146"/>
        <w:gridCol w:w="146"/>
        <w:gridCol w:w="632"/>
        <w:gridCol w:w="305"/>
        <w:gridCol w:w="146"/>
        <w:gridCol w:w="159"/>
        <w:gridCol w:w="689"/>
        <w:gridCol w:w="721"/>
      </w:tblGrid>
      <w:tr>
        <w:trPr/>
        <w:tc>
          <w:tcPr>
            <w:tcW w:w="2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Q2 2023 </w:t>
              <w:br/>
              <w:t>to</w:t>
              <w:br/>
              <w:t>Q2 2024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YTD 2023 </w:t>
              <w:br/>
              <w:t>to</w:t>
              <w:br/>
              <w:t>YTD 2024</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gridSpan w:val="2"/>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ind w:left="0" w:right="0" w:firstLine="200"/>
              <w:jc w:val="right"/>
              <w:rPr/>
            </w:pPr>
            <w:r>
              <w:rPr/>
              <w:t> </w:t>
            </w:r>
          </w:p>
        </w:tc>
      </w:tr>
      <w:tr>
        <w:trPr/>
        <w:tc>
          <w:tcPr>
            <w:tcW w:w="27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7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ESA Parties and network affiliate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7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772.7</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7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7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7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72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(income)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attributable to noncontrolling </w:t>
              <w:br/>
              <w:t>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2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Net (loss) income attributable to </w:t>
              <w:br/>
              <w:t>   NCM, Inc.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8" w:type="dxa"/>
            <w:gridSpan w:val="2"/>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8" w:type="dxa"/>
            <w:gridSpan w:val="2"/>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right"/>
              <w:rPr/>
            </w:pPr>
            <w:r>
              <w:rPr/>
              <w:t> </w:t>
            </w:r>
          </w:p>
        </w:tc>
      </w:tr>
      <w:tr>
        <w:trPr/>
        <w:tc>
          <w:tcPr>
            <w:tcW w:w="2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NCM, Inc. basic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income per NCM, Inc. diluted </w:t>
              <w:br/>
              <w:t>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operations data for the three months ended June 27, 2024 (second quarter of 2024) and June 29, 2023 (second quarter of 2023) and the six months ended June 27, 2024 and June 29, 2023 were derived from the unaudited Condensed Consolidated Financial Statements and accounting records of NCM, Inc. and should be read in conjunction with the accompanying notes.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Network</w:t>
      </w:r>
      <w:r>
        <w:rPr>
          <w:rFonts w:ascii="Times New Roman" w:hAnsi="Times New Roman"/>
          <w:color w:val="000000"/>
          <w:sz w:val="20"/>
        </w:rPr>
        <w:t>—The change in the number of screens in our network by the ESA Parties and network affiliates during the six months ended June 27, 2024 was as follows.</w:t>
      </w:r>
    </w:p>
    <w:p>
      <w:pPr>
        <w:pStyle w:val="TextBody"/>
        <w:bidi w:val="0"/>
        <w:jc w:val="left"/>
        <w:rPr/>
      </w:pPr>
      <w:r>
        <w:rPr/>
        <w:t> </w:t>
      </w:r>
    </w:p>
    <w:tbl>
      <w:tblPr>
        <w:tblW w:w="7239" w:type="dxa"/>
        <w:jc w:val="left"/>
        <w:tblInd w:w="0" w:type="dxa"/>
        <w:tblLayout w:type="fixed"/>
        <w:tblCellMar>
          <w:top w:w="28" w:type="dxa"/>
          <w:left w:w="28" w:type="dxa"/>
          <w:bottom w:w="28" w:type="dxa"/>
          <w:right w:w="28" w:type="dxa"/>
        </w:tblCellMar>
      </w:tblPr>
      <w:tblGrid>
        <w:gridCol w:w="2821"/>
        <w:gridCol w:w="146"/>
        <w:gridCol w:w="198"/>
        <w:gridCol w:w="777"/>
        <w:gridCol w:w="166"/>
        <w:gridCol w:w="146"/>
        <w:gridCol w:w="291"/>
        <w:gridCol w:w="1149"/>
        <w:gridCol w:w="166"/>
        <w:gridCol w:w="146"/>
        <w:gridCol w:w="146"/>
        <w:gridCol w:w="676"/>
        <w:gridCol w:w="4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8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screens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ESA Parties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Network Affiliates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28, 2023</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1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Lost affiliates </w:t>
            </w:r>
            <w:r>
              <w:rPr>
                <w:rFonts w:ascii="Times New Roman" w:hAnsi="Times New Roman"/>
                <w:i/>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Closures, net of openings </w:t>
            </w:r>
            <w:r>
              <w:rPr>
                <w:rFonts w:ascii="Times New Roman" w:hAnsi="Times New Roman"/>
                <w:i/>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27, 2024</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loss of two of our affiliates following the end of their affiliate agreements resulting in a reduction of 89 affiliate screens to our network as of June 27, 2024.</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Represents the closure of 35 screens, net of new screens added, across our ESA Parties and network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ESA Party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Second Quarter of 2024 and Second Quarter of 2023 for NCM, Inc.</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increased $39.9 million, or 269.6%, from $14.8 million for the second quarter of 2023 to $54.7 million for the second quarter of 2024. The following is a summary of revenue by category (in millions):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290"/>
        <w:gridCol w:w="640"/>
        <w:gridCol w:w="166"/>
        <w:gridCol w:w="146"/>
        <w:gridCol w:w="174"/>
        <w:gridCol w:w="756"/>
        <w:gridCol w:w="5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reimbursement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increased by $36.7 million, or 734.0%, from $5.0 million for the second quarter of 2023 to $41.7 million for the second quarter of 2024. The increase in national advertising revenue was primarily due to the deconsolidation of NCM LLC during the majority of the second quarter of 2023 while NCM LLC's Chapter 11 Case was ongoing. The $5.0 million of revenue within the second quarter of 2023 represents the 12 days of activity of NCM LLC prior to the deconsolidation event upon the filing of the Chapter 11 Case, compared to the $41.7 million of revenue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increased by $8.7 million, or 790.9%, from $1.1 million for the second quarter of 2023 to $9.8 million for the second quarter of 2024. The increase in local and regional advertising revenue was primarily due to the deconsolidation of NCM LLC during the majority of the second quarter of 2023 while NCM LLC's Chapter 11 Case was ongoing. The $1.1 million of revenue within the second quarter of 2023 represents the 12 days of activity of NCM LLC prior to the deconsolidation event upon the filing of the Chapter 11 Case, compared to the $9.8 million of revenue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National advertising revenue from the ESA Parties’ beverage concessionaire agreement increased $2.2 million, or 220.0%, from $1.0 million for the second quarter of 2023 to $3.2 million for the second quarter of 2024. The increase in ESA Party beverage revenue was primarily due to the deconsolidation of NCM LLC during the majority of the second quarter of 2023 while NCM LLC's Chapter 11 Case was ongoing. The $1.0 million of revenue within the second quarter of 2023 represents the 12 days of activity of NCM LLC prior to the deconsolidation event upon the filing of the Chapter 11 Case, compared to the $3.2 million of revenue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Management fee reimbursement.</w:t>
      </w:r>
      <w:r>
        <w:rPr>
          <w:rFonts w:ascii="Times New Roman" w:hAnsi="Times New Roman"/>
          <w:color w:val="000000"/>
          <w:sz w:val="20"/>
        </w:rPr>
        <w:t xml:space="preserve"> Management fee reimbursement decreased $7.7 million, or 100.0%, from $7.7 million for the second quarter of 2023 to $0.0 million for the second quarter of 2024. The $7.7 million represents the revenue recognized by NCM, Inc. for managing unconsolidated NCM LLC during the second quarter of 2023. This amount is equal to the expenses incurred by NCM, Inc. that were paid by NCM LLC. In the second quarter of 2024, NCM LLC is consolidated by NCM, Inc. following the completion of NCM LLC's Chapter 11 Case and these amounts have been eliminated upon consolidation.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increased $44.3 million, or 224.9%, from $19.7 million for the second quarter of 2023 to $64.0 million for the second quarter of 2024. The following table shows the changes in operating expense for the second quarter of 2024 (in millions):</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3151"/>
        <w:gridCol w:w="146"/>
        <w:gridCol w:w="229"/>
        <w:gridCol w:w="506"/>
        <w:gridCol w:w="146"/>
        <w:gridCol w:w="146"/>
        <w:gridCol w:w="229"/>
        <w:gridCol w:w="506"/>
        <w:gridCol w:w="146"/>
        <w:gridCol w:w="146"/>
        <w:gridCol w:w="290"/>
        <w:gridCol w:w="640"/>
        <w:gridCol w:w="146"/>
        <w:gridCol w:w="146"/>
        <w:gridCol w:w="189"/>
        <w:gridCol w:w="741"/>
        <w:gridCol w:w="5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Parties and network affiliate fees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772.7</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increased $3.2 million, or 640.0%, from $0.5 million for the second quarter of 2023 to $3.7 million for the second quarter of 2024. The increase in network operating costs was primarily due to the deconsolidation of NCM LLC during the majority of the second quarter of 2023 while NCM LLC's Chapter 11 Case was ongoing. The $0.5 million of expense within the second quarter of 2023 represents the 12 days of activity of NCM LLC prior to the deconsolidation event upon the filing of the Chapter 11 Case, compared to the $3.7 million of expense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Parties and network affiliate fees.</w:t>
      </w:r>
      <w:r>
        <w:rPr>
          <w:rFonts w:ascii="Times New Roman" w:hAnsi="Times New Roman"/>
          <w:color w:val="000000"/>
          <w:sz w:val="20"/>
        </w:rPr>
        <w:t xml:space="preserve"> ESA Parties and network affiliate fees increased by $22.2 million, or 493.3%, from $4.5 million for the second quarter of 2023 to $26.7 million for the second quarter of 2024. The increase in ESA Parties and network affiliate fees was primarily due to the deconsolidation of NCM LLC during the majority of the second quarter of 2023 while NCM LLC's Chapter 11 Case was ongoing. The $4.5 million of expense within the second quarter of 2023 represents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 days of activity of NCM LLC prior to the deconsolidation event upon the filing of the Chapter 11 Case, compared to the $26.7 million of expense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increased $8.5 million, or 772.7%, from $1.1 million for the second quarter of 2023 to $9.6 million for the second quarter of 2024. The increase in selling and marketing costs was primarily due to the deconsolidation of NCM LLC during the majority of the second quarter of 2023 while NCM LLC's Chapter 11 Case was ongoing. The $1.1 million of expense within the second quarter of 2023 represents the 12 days of activity of NCM LLC prior to the deconsolidation event upon the filing of the Chapter 11 Case, compared to the $9.6 million of expense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increased $0.9 million, or 7.2%, from $12.5 million for the second quarter of 2023 to $13.4 million for the second quarter of 2024. The increase was primarily due to a $2.5 million increase in stock based compensation following the grant of a management equity incentive plan in the first quarter of 2024 compared to no grant activity in 2023, a $1.7 million increase in other corporate expenses due to the deconsolidation of NCM LLC during the majority of the second quarter of 2023 while NCM LLC's Chapter 11 Case was ongoing and a $1.0 million increase in severance expense due to the non-renewal of the former President - Sales, Marketing and Partnerships' contract. These increases were partially offset by a $4.3 million decrease in advisor and legal fees related to the Chapter 11 Case and Cineworld Proceeding for the second quarter of 2024, compared to the second quarter of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increased $0.9 million, or 450.0%, from $0.2 million for the second quarter of 2023 to $1.1 million in the second quarter of 2024. The increase in depreciation expense was primarily due to the deconsolidation of NCM LLC during the majority of the second quarter of 2023 while NCM LLC's Chapter 11 Case was ongoing. The $0.2 million of expense within the second quarter of 2023 represents the 12 days of activity of NCM LLC prior to the deconsolidation event upon the filing of the Chapter 11 Case, compared to the $1.1 million of expense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increased $8.6 million, or 955.6%, from $0.9 million for the second quarter of 2023 to $9.5 million for the second quarter of 2024. The increase in amortization expense was primarily due to the deconsolidation of NCM LLC during the majority of the second quarter of 2023 while NCM LLC's Chapter 11 Case was ongoing. The $0.9 million of expense within the second quarter of 2023 represents the 12 days of activity of NCM LLC prior to the deconsolidation event upon the filing of the Chapter 11 Case, compared to the $9.5 million of expense in the second quarter of 2024 representing a full quarter of consolidated activity.</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Non-operating income. </w:t>
      </w:r>
      <w:r>
        <w:rPr>
          <w:rFonts w:ascii="Times New Roman" w:hAnsi="Times New Roman"/>
          <w:color w:val="000000"/>
          <w:sz w:val="20"/>
        </w:rPr>
        <w:t xml:space="preserve">Total non-operating income decreased $549.6 million, or 99.9%, from $550.2 million in non-operating income for the second quarter of 2023 to $0.6 million in non-operating income for the second quarter of 2024. The following table shows the changes in non-operating income/expense for the second quarter of 2024 and the second quarter of 2023 (in millions): </w:t>
      </w:r>
    </w:p>
    <w:p>
      <w:pPr>
        <w:pStyle w:val="TextBody"/>
        <w:bidi w:val="0"/>
        <w:jc w:val="left"/>
        <w:rPr/>
      </w:pPr>
      <w:r>
        <w:rPr/>
        <w:t> </w:t>
      </w:r>
    </w:p>
    <w:tbl>
      <w:tblPr>
        <w:tblW w:w="9521" w:type="dxa"/>
        <w:jc w:val="left"/>
        <w:tblInd w:w="0" w:type="dxa"/>
        <w:tblLayout w:type="fixed"/>
        <w:tblCellMar>
          <w:top w:w="28" w:type="dxa"/>
          <w:left w:w="28" w:type="dxa"/>
          <w:bottom w:w="28" w:type="dxa"/>
          <w:right w:w="28" w:type="dxa"/>
        </w:tblCellMar>
      </w:tblPr>
      <w:tblGrid>
        <w:gridCol w:w="4426"/>
        <w:gridCol w:w="146"/>
        <w:gridCol w:w="245"/>
        <w:gridCol w:w="490"/>
        <w:gridCol w:w="166"/>
        <w:gridCol w:w="146"/>
        <w:gridCol w:w="211"/>
        <w:gridCol w:w="631"/>
        <w:gridCol w:w="166"/>
        <w:gridCol w:w="146"/>
        <w:gridCol w:w="250"/>
        <w:gridCol w:w="680"/>
        <w:gridCol w:w="166"/>
        <w:gridCol w:w="146"/>
        <w:gridCol w:w="174"/>
        <w:gridCol w:w="756"/>
        <w:gridCol w:w="57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8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Loss on the re-measurement of the payable under the </w:t>
              <w:br/>
              <w:t>   tax receivable agreement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deconsolidation of NCM LLC</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non-operating income</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non-operating income was primarily due to a $557.7 million decrease in the gain on deconsolidation of LLC in the second quarter of 2024, as compared to the second quarter of 2023, due to the Chapter 11 Case filed by NCM LLC in the second quarter of 2023. This was partially offset by a $4.0 million decrease on the gain on re-measurement of the payable under the tax receivable agreement, a $2.7 million decrease in interest on borrowings primarily due to the discharge of historical debt that occurred upon NCM LLC’s emergence from bankruptcy and reconsolidation by NCM, Inc. on August 7, 2023, a $0.7 million increase in interest income and a $0.7 million increase in other non-operating income.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NCM LLC for the Second Quarter of 2024 and Second Quarter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operating data and Adjusted OIBDA (dollars in millions, except share and margin data) for the three months ended June 27, 2024 (second quarter of 2024) and June 29, 2023 (second quarter of 2023) for NCM LLC: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56" w:type="dxa"/>
        <w:jc w:val="left"/>
        <w:tblInd w:w="0" w:type="dxa"/>
        <w:tblLayout w:type="fixed"/>
        <w:tblCellMar>
          <w:top w:w="28" w:type="dxa"/>
          <w:left w:w="28" w:type="dxa"/>
          <w:bottom w:w="28" w:type="dxa"/>
          <w:right w:w="28" w:type="dxa"/>
        </w:tblCellMar>
      </w:tblPr>
      <w:tblGrid>
        <w:gridCol w:w="3406"/>
        <w:gridCol w:w="146"/>
        <w:gridCol w:w="229"/>
        <w:gridCol w:w="506"/>
        <w:gridCol w:w="271"/>
        <w:gridCol w:w="146"/>
        <w:gridCol w:w="211"/>
        <w:gridCol w:w="571"/>
        <w:gridCol w:w="271"/>
        <w:gridCol w:w="146"/>
        <w:gridCol w:w="265"/>
        <w:gridCol w:w="665"/>
        <w:gridCol w:w="331"/>
        <w:gridCol w:w="146"/>
        <w:gridCol w:w="189"/>
        <w:gridCol w:w="741"/>
        <w:gridCol w:w="71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w:t>
              <w:br/>
              <w:t>Q2 2024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ESA Parties and network affiliate fees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Revenue.</w:t>
      </w:r>
      <w:r>
        <w:rPr>
          <w:rFonts w:ascii="Times New Roman" w:hAnsi="Times New Roman"/>
          <w:color w:val="000000"/>
          <w:sz w:val="20"/>
        </w:rPr>
        <w:t xml:space="preserve"> Revenue decreased $9.7 million, or 15.1%, from $64.4 million for the second quarter of 2023 to $54.7 million for the second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advertising revenue decreased by $2.6 million, or 5.9%, from $44.3 million for the second quarter of 2023 to $41.7 million for the second quarter of 2024. The decrease in national advertising revenue was primarily due to a 31.2% decrease in attendance due to a decreased movie slate in the second quarter of 2024 compared to the second quarter of 2023, caused by the writer and actor strikes in 2023. The decrease was partially offset by a 26.1% increase in national advertising utilization in the second quarter of 2024, as compared to the second quarter of 2023, as well as a 5.0% increase in CPMs in the second quarter of 2024, as compared to the second quarter of 2023. Inventory utilization is calculated as utilized impressions divided by total advertising impressions, which is based on eleven 30-second salable national advertising units in NCM LLC’s Noovie show, which can be expanded should market demand dictate.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Local and regional advertising revenue decreased by $3.6 million, or 26.9%, from $13.4 million for the second quarter of 2023 to $9.8 million for the second quarter of 2024. The decrease in local and regional advertising revenue was primarily due to a decrease in contract activity and size within the government, education and travel categories due in part to a 31.2% decrease in attendance due to a decreased movie slate in the second quarter of 2024 compared to the second quarter of 2023, caused by the writer and actor strikes in 2023. The decrease was partially offset by an increase in contract activity and size within the retail and apparel, technology and automotive categories as well as the launch of the new programmatic offering in the second quarter of 2024, as compared to the second quarter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ESA Party beverage revenue decreased $3.5 million, or 52.2% from $6.7 million for the second quarter of 2023 to $3.2 million for the second quarter of 2024. The decrease was due to Regal’s termination of its ESA in 2023 and the resulting discontinuation of its beverage revenue as well as a 26.2% decrease in ESA Party attendance for the second quarter of 2024, as compared to the second quarter of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increased $0.1 million, or 2.8%, from $3.6 million for the second quarter of 2023 to $3.7 million for the second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Parties and network affiliate fees.</w:t>
      </w:r>
      <w:r>
        <w:rPr>
          <w:rFonts w:ascii="Times New Roman" w:hAnsi="Times New Roman"/>
          <w:color w:val="000000"/>
          <w:sz w:val="20"/>
        </w:rPr>
        <w:t xml:space="preserve"> ESA Parties and network affiliate fees decreased by $3.2 million, or 10.7%, from $29.9 million for the second quarter of 2023 to $26.7 million for the second quarter of 2024. The decrease was primarily due to a 31.2% decrease in network attendance, as well as the rejection of certain affiliate agreements through the bankruptcy proceedings in 2023. These decreases were partially offset by the increase in fees owed under the Regal Advertising Agreement, which commenced on July 14, 2023, as well as due to contractual rate increases with the ESA parties for the second quarter of 2024, as compared to the second quarter of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decreased $0.5 million, or 5.0%, from $10.1 million for the second quarter of 2023 to $9.6 million for the second quarter of 2024. The decrease was due to a $0.5 million decrease in selling and administrative related expenses for the second quarter of 2024, as compared to the second quarter of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$2.1 million, or 13.5%, from $15.5 million for the second quarter of 2023 to $13.4 million for the second quarter of 2024. The decrease was primarily related to a $2.9 million decrease in legal and professional fees related to the Chapter 11 Case and Cineworld Proceeding incurred in the second quarter of 2023 prior to the filing of the Chapter 11 Case compared to fees related to the Chapter 11 Case and Cineworld Proceeding incurred in the second quarter of 2024. All fees incurred in the second quarter of 2023 related to the Chapter 11 Case subsequent to the filing of the Chapter 11 Case were presented separately within ‘Reorganization Items’ on the unaudited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Condensed Statement of Operations for NCM LLC. Additionally, the decrease was due to a $0.9 million decrease in personnel related costs due to the workforce reorganization and a $0.2 million decrease in lease related expenses for the second quarter of 2024, as compared to the second quarter of 2023. These decreases were partially offset by a $1.8 million increase in stock based compensation following the grant of a management equity incentive plan in the first quarter of 2024 compared to no grant activity in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decreased $0.2 million, or 15.4%, from $1.3 million for the second quarter of 2023 to $1.1 million in the second quarter of 2024. This decrease was primarily due to the fair value adjustments to NCM LLC's property and equipment upon reconsolidation by NCM, Inc. on August 7,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increased $3.3 million, or 53.2%, from $6.2 million for the second quarter of 2023 to $9.5 million for the second quarter of 2024. The increase was primarily due to the fair value adjustments to NCM LLC's intangible assets upon reconsolidation by NCM, Inc. on August 7,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Six months ended June 27, 2024 and June 29, 2023 for NCM, Inc.</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increased $42.4 million, or 85.3%, from $49.7 million for the six months ended June 29, 2023 to $92.1 million for the six months ended June 27, 2024. The following is a summary of revenue by category (in millions):</w:t>
      </w:r>
    </w:p>
    <w:p>
      <w:pPr>
        <w:pStyle w:val="TextBody"/>
        <w:bidi w:val="0"/>
        <w:jc w:val="left"/>
        <w:rPr/>
      </w:pPr>
      <w:r>
        <w:rPr/>
        <w:t> </w:t>
      </w:r>
    </w:p>
    <w:tbl>
      <w:tblPr>
        <w:tblW w:w="9764" w:type="dxa"/>
        <w:jc w:val="left"/>
        <w:tblInd w:w="0" w:type="dxa"/>
        <w:tblLayout w:type="fixed"/>
        <w:tblCellMar>
          <w:top w:w="28" w:type="dxa"/>
          <w:left w:w="28" w:type="dxa"/>
          <w:bottom w:w="28" w:type="dxa"/>
          <w:right w:w="28" w:type="dxa"/>
        </w:tblCellMar>
      </w:tblPr>
      <w:tblGrid>
        <w:gridCol w:w="3796"/>
        <w:gridCol w:w="146"/>
        <w:gridCol w:w="350"/>
        <w:gridCol w:w="775"/>
        <w:gridCol w:w="146"/>
        <w:gridCol w:w="146"/>
        <w:gridCol w:w="350"/>
        <w:gridCol w:w="775"/>
        <w:gridCol w:w="146"/>
        <w:gridCol w:w="146"/>
        <w:gridCol w:w="327"/>
        <w:gridCol w:w="723"/>
        <w:gridCol w:w="166"/>
        <w:gridCol w:w="146"/>
        <w:gridCol w:w="196"/>
        <w:gridCol w:w="854"/>
        <w:gridCol w:w="57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 reimbursement</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increased by $43.7 million, or 158.9%, from $27.5 million for the six months ended June 29, 2023 to $71.2 million for the six months ended June 27, 2024. The increase in national advertising revenue was primarily due to the deconsolidation of NCM LLC during a portion of the six months ended June 29, 2023 while NCM LLC's Chapter 11 Case was ongoing. The $27.5 million of revenue within the six months ended June 29, 2023 represents the 103 days of activity of NCM LLC prior to the deconsolidation event upon the filing of the Chapter 11 Case, compared to the $71.2 million of revenue in the six months ended June 27, 2024 representing two full quarters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increased by $5.9 million, or 64.8%, from $9.1 million for the six months ended June 29, 2023 to $15.0 million for the six months ended June 27, 2024. The increase in local and regional advertising revenue was primarily due to the deconsolidation of NCM LLC during a portion of the six months ended June 29, 2023 while NCM LLC's Chapter 11 Case was ongoing. The $9.1 million of revenue within the six months ended June 29, 2023 represents the 103 days of activity of NCM LLC prior to the deconsolidation event upon the filing of the Chapter 11 Case, compared to the $15.0 million of revenue in the six months ended June 27, 2024 representing two full quarters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National advertising revenue from the ESA Parties’ beverage concessionaire agreement increased $0.5 million, or 9.3%, from $5.4 million for the six months ended June 29, 2023 to $5.9 million for the six months ended June 27, 2024. The increase in ESA Party beverage revenue was primarily due to the deconsolidation of NCM LLC during a portion of the six months ended June 29, 2023 while NCM LLC's Chapter 11 Case was ongoing. The $5.4 million of revenue within the six months ended June 29, 2023 represents the 103 days of activity of NCM LLC prior to the deconsolidation event upon the filing of the Chapter 11 Case, compared to the $5.9 million of revenue in the six months ended June 27, 2024 representing two full quarters of consolidated activity. This increase was partially offset by the discontinuation of Regal's beverage revenue following Regal’s termination of their ESA in 2023, as well as, the impact of a 19.3% decrease in ESA Party attendance for the six months ended June 27, 2024, as compared to the six months ended June 29,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Management fee reimbursement.</w:t>
      </w:r>
      <w:r>
        <w:rPr>
          <w:rFonts w:ascii="Times New Roman" w:hAnsi="Times New Roman"/>
          <w:color w:val="000000"/>
          <w:sz w:val="20"/>
        </w:rPr>
        <w:t xml:space="preserve"> Management fee reimbursement decreased $7.7 million, or 100%, from $7.7 million for the six months ended June 29, 2023 to $0.0 million for the six months ended June 27, 2024. The $7.7 million represents the revenue recognized by NCM, Inc. for managing unconsolidated NCM LLC during the six months ended June 29, 2023. This amount is equal to the expenses incurred by NCM, Inc. that were paid by NCM LLC. In the six months ended June 27, 2024, NCM LLC is consolidated by NCM, Inc., following the completion of NCM LLC's Chapter 11 Case and these amounts have been eliminated upon consolidation.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increased $38.9 million, or 45.7%, from $85.2 million for the six months ended June 29, 2023 to $124.1 million for the six months ended June 27, 2024. The following table shows the changes in operating expense for the six months ended June 27, 2024 and June 29, 2023 (in millions):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3151"/>
        <w:gridCol w:w="146"/>
        <w:gridCol w:w="303"/>
        <w:gridCol w:w="822"/>
        <w:gridCol w:w="146"/>
        <w:gridCol w:w="146"/>
        <w:gridCol w:w="350"/>
        <w:gridCol w:w="775"/>
        <w:gridCol w:w="146"/>
        <w:gridCol w:w="146"/>
        <w:gridCol w:w="327"/>
        <w:gridCol w:w="723"/>
        <w:gridCol w:w="166"/>
        <w:gridCol w:w="146"/>
        <w:gridCol w:w="213"/>
        <w:gridCol w:w="837"/>
        <w:gridCol w:w="37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Parties and network affiliate fees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increased $2.9 million, or 65.9%, from $4.4 million for the six months ended June 29, 2023, to $7.3 million for the six months ended June 27, 2024. The increase in network operating costs was primarily due to the deconsolidation of NCM LLC during a portion of the six months ended June 29, 2023 while NCM LLC's Chapter 11 Case was ongoing. The $4.4 million of expense within the six months ended June 29, 2023 represents the 103 days of activity of NCM LLC prior to the deconsolidation event upon the filing of the Chapter 11 Case, compared to the $7.3 million of expense in the six months ended June 27, 2024 representing two full quarters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Parties and network affiliate fees.</w:t>
      </w:r>
      <w:r>
        <w:rPr>
          <w:rFonts w:ascii="Times New Roman" w:hAnsi="Times New Roman"/>
          <w:color w:val="000000"/>
          <w:sz w:val="20"/>
        </w:rPr>
        <w:t xml:space="preserve"> ESA Parties and network affiliate fees increased $20.9 million, or 73.9%, from $28.3 million for the six months ended June 29, 2023 to $49.2 million for the six months ended June 27, 2024. The increase in ESA Parties and network affiliate fees was primarily due to the deconsolidation of NCM LLC during a portion of the six months ended June 29, 2023 while NCM LLC's Chapter 11 Case was ongoing. The $28.3 million of expense within the six months ended June 29, 2023 represents the 103 days of activity of NCM LLC prior to the deconsolidation event upon the filing of the Chapter 11 Case, compared to the $49.2 million of expense in the six months ended June 27, 2024 representing two full quarters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increased $9.0 million, or 84.9%, from $10.6 million for the six months ended June 29, 2023 to $19.6 million for the six months ended June 27, 2024. The increase in selling and marketing costs was primarily due to the deconsolidation of NCM LLC during a portion of the six months ended June 29, 2023 while NCM LLC's Chapter 11 Case was ongoing. The $10.6 million of expense within the six months ended June 29, 2023 represents the 103 days of activity of NCM LLC prior to the deconsolidation event upon the filing of the Chapter 11 Case, compared to the $19.6 million of expense in the six months ended June 27, 2024 representing two full quarters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$6.4 million, or 19.2%, from $33.3 million for the six months ended June 29, 2023 to $26.9 million for the six months ended June 27, 2024. The decrease is primarily due to a $12.7 million decrease in advisor and legal fees related to the Chapter 11 Case and Cineworld Proceeding for the six months ended June 27, 2024, compared to the six months ended June 29, 2023. The decrease was partially offset by a $3.5 million increase in stock based compensation following the grant of a management equity incentive plan in the first quarter of 2024 compared to no grant activity in 2023, a $1.6 million increase in other corporate expenses due to the deconsolidation of NCM LLC during the majority of the second quarter of 2023 while NCM LLC's Chapter 11 Case was ongoing and a $1.1 million increase in severance expense due to the non-renewal of the former President - Sales, Marketing and Partnerships' contract for the six months ended June 27, 2024, compared to the six months ended June 29,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increased $0.7 million, or 46.7%, from $1.5 million for the six months ended June 29, 2023 to $2.2 million for the six months ended June 27, 2024. The increase in depreciation expense was primarily due to the deconsolidation of NCM LLC during a portion of the six months ended June 29, 2023 while NCM LLC's Chapter 11 Case was ongoing. The $1.5 million of expense for the six months ended June 29, 2023 represents the 103 days of activity of NCM LLC within the six months ended June 29, 2023 prior to the deconsolidation event upon the filing of the Chapter 11 Case, compared to the $2.2 million of expense in the six months ended June 27, 2024 representing two full quarters of consolidated activity.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increased $11.8 million, or 166.2%, from $7.1 million for the six months ended June 29, 2023 to $18.9 million for the six months ended June 27, 2024. The increase in amortization expense was primarily due to the deconsolidation of NCM LLC during a portion of the six months ended June 29, 2023 while NCM LLC's Chapter 11 Case was ongoing. The $7.1 million of expense for the six months ended June 29, 2023 represents the 103 days of activity of NCM LLC within the six months ended June 29, 2023 prior to the deconsolidation event upon the filing of the Chapter 11 Case, compared to the $18.9 million of expense in the six months ended June 27, 2024 representing two full quarters of consolidated activity. The increase was also due to the fair value adjustments to NCM LLC's intangible assets upon reconsolidation by NCM, Inc. on August 7, 2023.</w:t>
      </w:r>
    </w:p>
    <w:p>
      <w:pPr>
        <w:pStyle w:val="TextBody"/>
        <w:bidi w:val="0"/>
        <w:spacing w:before="120" w:after="120"/>
        <w:jc w:val="left"/>
        <w:rPr>
          <w:rFonts w:ascii="Times New Roman" w:hAnsi="Times New Roman"/>
          <w:sz w:val="20"/>
        </w:rPr>
      </w:pPr>
      <w:r>
        <w:rPr>
          <w:rFonts w:ascii="Times New Roman" w:hAnsi="Times New Roman"/>
          <w:i/>
          <w:color w:val="000000"/>
          <w:sz w:val="20"/>
        </w:rPr>
        <w:t xml:space="preserve">Non-operating expense (income). </w:t>
      </w:r>
      <w:r>
        <w:rPr>
          <w:rFonts w:ascii="Times New Roman" w:hAnsi="Times New Roman"/>
          <w:color w:val="000000"/>
          <w:sz w:val="20"/>
        </w:rPr>
        <w:t xml:space="preserve">Total non-operating expense increased $538.2 million, or 102.2%, from $526.8 million of non-operating income for the six months ended June 29, 2023 to $11.4 of non-operating expense for the six months ended June 27, 2024. The following table shows the changes in non-operating expense for the six months ended June 29, 2023 and June 27, 2024 (in millions):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1"/>
        <w:gridCol w:w="146"/>
        <w:gridCol w:w="333"/>
        <w:gridCol w:w="738"/>
        <w:gridCol w:w="166"/>
        <w:gridCol w:w="146"/>
        <w:gridCol w:w="273"/>
        <w:gridCol w:w="817"/>
        <w:gridCol w:w="166"/>
        <w:gridCol w:w="146"/>
        <w:gridCol w:w="273"/>
        <w:gridCol w:w="746"/>
        <w:gridCol w:w="166"/>
        <w:gridCol w:w="146"/>
        <w:gridCol w:w="192"/>
        <w:gridCol w:w="836"/>
        <w:gridCol w:w="574"/>
      </w:tblGrid>
      <w:tr>
        <w:trPr/>
        <w:tc>
          <w:tcPr>
            <w:tcW w:w="4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Loss on the re-measurement of the payable under the tax </w:t>
              <w:br/>
              <w:t>   receivable agreement</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deconsolidation of NCM LLC</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expense, net</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57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non-operating expense (income)</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5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non-operating expense was primarily due to the $557.7 million gain on deconsolidation of LLC recognized in the second quarter of 2023. Additionally, there was a $8.8 million increase in the loss on the re-measurement of the payable to the founding members under the tax receivable agreement due to the inclusion of three years of projected taxable book income/(loss) within the calculation of the TRA payable in the six months ended June 27, 2024, as compared to only one year in the six months ended June 29, 2023, due to management’s ability to more accurately forecast following the conclusion of the COVID-19 pandemic. This increase was partially offset by a $26.2 million decrease in interest on borrowings primarily due to the discharge of historical debt that occurred upon NCM LLC’s emergence from bankruptcy and reconsolidation by NCM, Inc. on August 7, 2023, a $1.1 million increase in interest income and a $1.0 million increase in other non-operating income.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NCM LLC for the six months ended June 27, 2024 and June 29,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operating data and Adjusted OIBDA (dollars in millions, except share and margin data) for the six months ended June 29, 2023 and June 27, 2024 for NCM LLC:</w:t>
      </w:r>
    </w:p>
    <w:p>
      <w:pPr>
        <w:pStyle w:val="TextBody"/>
        <w:bidi w:val="0"/>
        <w:jc w:val="left"/>
        <w:rPr/>
      </w:pPr>
      <w:r>
        <w:rPr/>
        <w:t> </w:t>
      </w:r>
    </w:p>
    <w:tbl>
      <w:tblPr>
        <w:tblW w:w="9869" w:type="dxa"/>
        <w:jc w:val="left"/>
        <w:tblInd w:w="0" w:type="dxa"/>
        <w:tblLayout w:type="fixed"/>
        <w:tblCellMar>
          <w:top w:w="28" w:type="dxa"/>
          <w:left w:w="28" w:type="dxa"/>
          <w:bottom w:w="28" w:type="dxa"/>
          <w:right w:w="28" w:type="dxa"/>
        </w:tblCellMar>
      </w:tblPr>
      <w:tblGrid>
        <w:gridCol w:w="3406"/>
        <w:gridCol w:w="146"/>
        <w:gridCol w:w="303"/>
        <w:gridCol w:w="822"/>
        <w:gridCol w:w="271"/>
        <w:gridCol w:w="146"/>
        <w:gridCol w:w="303"/>
        <w:gridCol w:w="822"/>
        <w:gridCol w:w="271"/>
        <w:gridCol w:w="146"/>
        <w:gridCol w:w="299"/>
        <w:gridCol w:w="751"/>
        <w:gridCol w:w="271"/>
        <w:gridCol w:w="146"/>
        <w:gridCol w:w="228"/>
        <w:gridCol w:w="822"/>
        <w:gridCol w:w="71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 to</w:t>
              <w:br/>
              <w:t>YTD 2024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ESA Parties and network affiliate fees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Revenue.</w:t>
      </w:r>
      <w:r>
        <w:rPr>
          <w:rFonts w:ascii="Times New Roman" w:hAnsi="Times New Roman"/>
          <w:color w:val="000000"/>
          <w:sz w:val="20"/>
        </w:rPr>
        <w:t xml:space="preserve"> Revenue decreased $7.2 million, or 7.3%, from $99.3 million for the six months ended June 29, 2023 to $92.1 million for the six months ended June 27,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advertising revenue increased by $4.4 million, or 6.6% from $66.8 million for the six months ended June 29, 2023 to $71.2 million for the six months ended June 27, 2024. The increase in national advertising revenue was primarily due to a 40.4% increase in national advertising utilization in the six months ended June 27, 2024, as compared to the six months ended June 29, 2023, as well as a 1.1% increase in CPMs in the second quarter of 2024, as compared to the second quarter of 2023. Inventory utilization is calculated as utilized impressions divided by total advertising impressions, which is based on eleven 30-second salable national advertising units in NCM LLC’s Noovie show, which can be expanded should market demand dictate. These increases were partially offset by a 25.0% decrease in attendance due to a decreased movie slate in the six months ended June 27, 2024, as compared to the six months ended June 29, 2023, caused by the writer and actor strikes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Local and regional advertising revenue decreased by $6.4 million, or 29.9% from $21.4 million for the six months ended June 29, 2023 to $15.0 million for the six months ended June 27, 2024. The decrease in local and regional advertising revenue was primarily due to a decrease in contract activity and size within the government, education and travel categories due in part to a 25.0% decrease in attendance due to a decreased movie slate in the six months ended June 27, 2024, as compared to the six months ended June 29, 2023, caused by the writer and actor strikes in 2023. The decrease was partially offset by an increase in contract activity and size within the retail and apparel, technology and automotive categories, as well as the launch of the new programmatic offering in the six months ended June 27, 2024, as compared to the six months ended June 29,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National advertising from the founding members beverage concessionaire agreement decreased $5.2 million, or 46.8% from $11.1 million for the six months ended June 29, 2023 to $5.9 million for the six months ended June 27, 2024. The decrease was due to Regal’s termination of their ESA in 2023 and the resulting discontinuation of their beverage revenue as well as a 19.3% decrease in ESA Party attendance for the six months ended June 27, 2024, as compared to the six months ended June 29,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decreased $0.2 million, or 2.7%, from $7.5 million for the for the six months ended June 29, 2023 to $7.3 million for the six months ended June 27, 2024. The decrease was primarily due to a $0.4 million decrease in personnel related expenses due to the workforce reorganization in the six months ended June 29, 2023, as compared to the six months ended June 27, 2024. This decrease was partially offset by a $0.3 million increase in satellite costs related to the one time transition of providers for the six months ended June 29, 2023, as compared to the six months ended June 27, 2024.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Parties and network affiliate fees.</w:t>
      </w:r>
      <w:r>
        <w:rPr>
          <w:rFonts w:ascii="Times New Roman" w:hAnsi="Times New Roman"/>
          <w:color w:val="000000"/>
          <w:sz w:val="20"/>
        </w:rPr>
        <w:t xml:space="preserve"> ESA Parties and network affiliate fees decreased by $4.5 million, or 8.4%, from $53.7 million for the six months ended June 29, 2023 to $49.2 million for the six months ended June 27, 2024. The decrease was primarily due to the 25.0% decrease in network attendance, as well as the rejection of certain affiliate agreements through the bankruptcy proceedings in 2023. These decreases were partially offset by the increase in fees owed under the Regal Advertising Agreement, which commenced on July 14, 2023, as well as due to contractual rate increases with the ESAs for the six months ended June 29, 2023, as compared to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remained at $19.6 million for the six months ended June 29, 2023 and for the six months ended June 27,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$9.4 million, or 25.9%, from $36.3 million for the six months ended June 29, 2023 to $26.9 million for the six months ended June 27, 2024. The decrease was primarily related to an $11.3 million decrease in legal and professional fees related to the Chapter 11 Case and Cineworld Proceeding incurred in the six months ended June 29, 2023 prior to the filing of the Chapter 11 Case compared to fees related to the Chapter 11 Case and Cineworld Proceeding incurred in the six months ended June 27, 2024. All fees incurred in the six months ended June 29, 2023 related to the Chapter 11 Case subsequent to the filing of the Chapter 11 Case were presented separately within ‘Reorganization Items’ on the unaudited Condensed Statement of Operations for NCM LLC. Additionally, the decrease was due to a $0.7 million decrease in personnel related costs due to a workforce reorganization in the first quarter of 2024, and a $0.3 million decrease in lease related expenses for the six months ended June 29, 2023, as compared to the six months ended June 27, 2024 due to the renegotiations of certain leases as part of the Chapter 11 Case. These decreases were partially offset by a $2.6 million increase in stock based compensation following the grant of a management equity incentive plan in the six months ended June 27, 2024 compared to no grant activity in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decreased $0.3 million, or 12.0%, from $2.5 million for the six months ended June 29, 2023 to $2.2 million for the six months ended June 27, 2024. This decrease was primarily due to the fair value adjustments to NCM LLC's property and equipment upon reconsolidation with NCM, Inc. on August 7, 2023.</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increased $6.4 million, or 51.2%, from 12.5 million for the six months ended June 29, 2023 to $18.9 million for the six months ended June 27, 2024. The increase was primarily due to the fair value adjustments to NCM LLC's intangible assets upon reconsolidation with NCM, Inc. on August 7,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 for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workforce reorganization costs, satellite transition costs and fees and expenses related to involvement in the Cineworld Proceeding and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workforce reorganization costs, satellite transition costs and fees and expenses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NCM LLC’s business. In addition, Adjusted OIBDA has the limitation of not reflecting the effect of the Company’s amortization of intangibles recorded for network theater screen leases, share-based payment costs, workforce reorganization costs, satellite transition costs and fees and expenses related to involvement in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Cineworld Proceeding or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NCM LLC’s debt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operating income to Adjusted OIBDA for NCM LLC for the periods presented (dollars in millions):</w:t>
      </w:r>
    </w:p>
    <w:p>
      <w:pPr>
        <w:pStyle w:val="TextBody"/>
        <w:bidi w:val="0"/>
        <w:jc w:val="left"/>
        <w:rPr/>
      </w:pPr>
      <w:r>
        <w:rPr/>
        <w:t> </w:t>
      </w:r>
    </w:p>
    <w:tbl>
      <w:tblPr>
        <w:tblW w:w="9589" w:type="dxa"/>
        <w:jc w:val="left"/>
        <w:tblInd w:w="0" w:type="dxa"/>
        <w:tblLayout w:type="fixed"/>
        <w:tblCellMar>
          <w:top w:w="28" w:type="dxa"/>
          <w:left w:w="28" w:type="dxa"/>
          <w:bottom w:w="28" w:type="dxa"/>
          <w:right w:w="28" w:type="dxa"/>
        </w:tblCellMar>
      </w:tblPr>
      <w:tblGrid>
        <w:gridCol w:w="4621"/>
        <w:gridCol w:w="146"/>
        <w:gridCol w:w="229"/>
        <w:gridCol w:w="506"/>
        <w:gridCol w:w="271"/>
        <w:gridCol w:w="146"/>
        <w:gridCol w:w="229"/>
        <w:gridCol w:w="506"/>
        <w:gridCol w:w="271"/>
        <w:gridCol w:w="146"/>
        <w:gridCol w:w="245"/>
        <w:gridCol w:w="610"/>
        <w:gridCol w:w="271"/>
        <w:gridCol w:w="146"/>
        <w:gridCol w:w="245"/>
        <w:gridCol w:w="610"/>
        <w:gridCol w:w="3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vAlign w:val="center"/>
          </w:tcPr>
          <w:p>
            <w:pPr>
              <w:pStyle w:val="TableContents"/>
              <w:bidi w:val="0"/>
              <w:spacing w:before="0" w:after="283"/>
              <w:jc w:val="left"/>
              <w:rPr/>
            </w:pPr>
            <w:r>
              <w:rPr/>
              <w:t> </w:t>
            </w:r>
          </w:p>
        </w:tc>
      </w:tr>
      <w:tr>
        <w:trPr/>
        <w:tc>
          <w:tcPr>
            <w:tcW w:w="4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costs </w:t>
            </w:r>
            <w:r>
              <w:rPr>
                <w:rFonts w:ascii="Times New Roman" w:hAnsi="Times New Roman"/>
                <w:i/>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vAlign w:val="center"/>
          </w:tcPr>
          <w:p>
            <w:pPr>
              <w:pStyle w:val="TableContents"/>
              <w:bidi w:val="0"/>
              <w:spacing w:before="0" w:after="283"/>
              <w:jc w:val="left"/>
              <w:rPr/>
            </w:pPr>
            <w:r>
              <w:rPr/>
              <w:t> </w:t>
            </w:r>
          </w:p>
        </w:tc>
      </w:tr>
      <w:tr>
        <w:trPr/>
        <w:tc>
          <w:tcPr>
            <w:tcW w:w="462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Workforce reorganization costs </w:t>
            </w:r>
            <w:r>
              <w:rPr>
                <w:rFonts w:ascii="Times New Roman" w:hAnsi="Times New Roman"/>
                <w:i/>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6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Satellite transition costs </w:t>
            </w:r>
            <w:r>
              <w:rPr>
                <w:rFonts w:ascii="Times New Roman" w:hAnsi="Times New Roman"/>
                <w:i/>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62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and expenses related to the Cineworld Proceeding </w:t>
              <w:br/>
              <w:t xml:space="preserve">   and Chapter 11 Case </w:t>
            </w:r>
            <w:r>
              <w:rPr>
                <w:rFonts w:ascii="Times New Roman" w:hAnsi="Times New Roman"/>
                <w:i/>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6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Share-based compensation costs are included in network operations, selling and marketing and administrative expense in NCM LLC’s unaudited Condensed Consolidated Financial Statements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Workforce reorganization costs represents redundancy costs associated with changes to the Company’s workforce primarily implemented during the first quarter of 2024.</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One time costs of transitioning satellite providers in the second quarter of 2024.</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litigation during the first and second quarter of 2024, as well as retention related expenses and retainers to the members of the special and restructuring committees of the Company's Board of Directors.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Known Trends and Uncertainties</w:t>
      </w:r>
    </w:p>
    <w:p>
      <w:pPr>
        <w:pStyle w:val="TextBody"/>
        <w:bidi w:val="0"/>
        <w:spacing w:before="120" w:after="283"/>
        <w:jc w:val="left"/>
        <w:rPr>
          <w:rFonts w:ascii="Times New Roman" w:hAnsi="Times New Roman"/>
          <w:sz w:val="20"/>
        </w:rPr>
      </w:pPr>
      <w:r>
        <w:rPr>
          <w:rFonts w:ascii="Times New Roman" w:hAnsi="Times New Roman"/>
          <w:b/>
          <w:i/>
          <w:color w:val="000000"/>
          <w:sz w:val="20"/>
        </w:rPr>
        <w:t>Beverage Revenue</w:t>
      </w:r>
      <w:r>
        <w:rPr>
          <w:rFonts w:ascii="Times New Roman" w:hAnsi="Times New Roman"/>
          <w:color w:val="000000"/>
          <w:sz w:val="20"/>
        </w:rPr>
        <w:t xml:space="preserve">—Under the ESAs, up to 90 seconds of The </w:t>
      </w:r>
      <w:r>
        <w:rPr>
          <w:rFonts w:ascii="Times New Roman" w:hAnsi="Times New Roman"/>
          <w:i/>
          <w:color w:val="000000"/>
          <w:sz w:val="20"/>
        </w:rPr>
        <w:t xml:space="preserve">Noovie® </w:t>
      </w:r>
      <w:r>
        <w:rPr>
          <w:rFonts w:ascii="Times New Roman" w:hAnsi="Times New Roman"/>
          <w:color w:val="000000"/>
          <w:sz w:val="20"/>
        </w:rPr>
        <w:t xml:space="preserve">Show program can be sold to the ESA Parties to satisfy their on-screen advertising commitments under their beverage concessionaire agreements. In 2023, Cinemark and Regal, prior to the termination of Regal's ESA, purchased 60 seconds of on-screen advertising time and AMC purchased 30 seconds to satisfy their obligations under their beverage concessionaire agreements. In the first six months of 2024, Cinemark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Times New Roman" w:hAnsi="Times New Roman"/>
          <w:i/>
          <w:color w:val="000000"/>
          <w:sz w:val="20"/>
        </w:rPr>
        <w:t xml:space="preserve">Noovie </w:t>
      </w:r>
      <w:r>
        <w:rPr>
          <w:rFonts w:ascii="Times New Roman" w:hAnsi="Times New Roman"/>
          <w:color w:val="000000"/>
          <w:sz w:val="20"/>
        </w:rPr>
        <w:t>Show in the ESA Parties’ theaters, limited to the highest advertising CPM being then-charged by NCM LLC. Beginning in 2020 and in accordance with the 2019 ESA Amendment, the price for the time sold to Cinemark's beverage supplier and Regal’s beverage suppliers, prior to the termination of Regal's ESA, now increases at a fixed rate of 2.0% each year. From and after July 14, 2023, the effective date of the Regal Advertising Agreement, the Company no longer receives ESA beverage revenue from Regal.</w:t>
      </w:r>
    </w:p>
    <w:p>
      <w:pPr>
        <w:pStyle w:val="TextBody"/>
        <w:bidi w:val="0"/>
        <w:spacing w:before="120" w:after="283"/>
        <w:jc w:val="left"/>
        <w:rPr>
          <w:rFonts w:ascii="Times New Roman" w:hAnsi="Times New Roman"/>
          <w:sz w:val="20"/>
        </w:rPr>
      </w:pPr>
      <w:r>
        <w:rPr>
          <w:rFonts w:ascii="Times New Roman" w:hAnsi="Times New Roman"/>
          <w:b/>
          <w:i/>
          <w:color w:val="000000"/>
          <w:sz w:val="20"/>
        </w:rPr>
        <w:t>Theater Access Fees</w:t>
      </w:r>
      <w:r>
        <w:rPr>
          <w:rFonts w:ascii="Times New Roman" w:hAnsi="Times New Roman"/>
          <w:color w:val="000000"/>
          <w:sz w:val="20"/>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and a fixed payment per digital screen (connected to the DCN). The payment per theater patron increases by 8% every five years, with the most recent increase occurring in 2022 and the next increase occurring in 2027. Pursuant to the ESAs, the payment per digital screen increases annually by 5%. Pursuant to the 2019 ESA Amendments, Cinemark receives and Regal, prior to the termination of Regal's ESA, received an additional monthly theater access fee beginning November 1, 2019 in consideration for NCM LLC's access to certain on-screen advertising inventory after the advertised showtime of a feature film. These fees are also based upon a fixed payment per patron of $0.052 beginning on November 1, 2022 and (iv) increasing 8% every five years beginning November 1, 2027. On July 14, 2023, Regal rejected and terminated the Regal ESA and the Regal Advertising Agreement became effective. The payments under the Regal Advertising Agreement are based on the attendance at Regal’s theaters and the revenue generated by the Company through advertising displayed in Regal’s theaters and recorded within ‘ESA Parties and network affiliate fees’ in the unaudited Condensed Consolidated Statement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Our cash balances can fluctuate due to the seasonality of our business and related timing of collections of accounts receivable balances and operating expenditure payments, as well as interest or principal payments on our Revolving Credit Facility 2023 (as defined below), income tax payments, TRA payments, available cash payments (as defined in the NCM LLC Operating Agreement) to Cinemark and AMC in the event the ESA Parties hold NCM LLC membership units and amount of dividends to NCM, Inc.’s common stockholders.</w:t>
      </w:r>
      <w:r>
        <w:rPr>
          <w:rFonts w:ascii="Times New Roman" w:hAnsi="Times New Roman"/>
          <w:color w:val="EE2724"/>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2023, NCM LLC entered into a Loan, Security and Guarantee Agreement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revolver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 (ii) availability is greater than both (a) $5.0 million and (b) 10% of aggregate revolving commitments. Upon the effectiveness of the Revolving Credit Facility 2023, NCM LLC immediately drew $10.0 million from the facility, which represents the only amounts currently outstanding under the Revolving Credit Facility 2023, as of June 27,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financial liquidity is as follows (in millions):</w:t>
      </w:r>
    </w:p>
    <w:tbl>
      <w:tblPr>
        <w:tblW w:w="10205" w:type="dxa"/>
        <w:jc w:val="left"/>
        <w:tblInd w:w="0" w:type="dxa"/>
        <w:tblLayout w:type="fixed"/>
        <w:tblCellMar>
          <w:top w:w="28" w:type="dxa"/>
          <w:left w:w="28" w:type="dxa"/>
          <w:bottom w:w="28" w:type="dxa"/>
          <w:right w:w="28" w:type="dxa"/>
        </w:tblCellMar>
      </w:tblPr>
      <w:tblGrid>
        <w:gridCol w:w="2920"/>
        <w:gridCol w:w="146"/>
        <w:gridCol w:w="289"/>
        <w:gridCol w:w="641"/>
        <w:gridCol w:w="146"/>
        <w:gridCol w:w="146"/>
        <w:gridCol w:w="376"/>
        <w:gridCol w:w="832"/>
        <w:gridCol w:w="146"/>
        <w:gridCol w:w="146"/>
        <w:gridCol w:w="289"/>
        <w:gridCol w:w="641"/>
        <w:gridCol w:w="146"/>
        <w:gridCol w:w="146"/>
        <w:gridCol w:w="390"/>
        <w:gridCol w:w="863"/>
        <w:gridCol w:w="146"/>
        <w:gridCol w:w="146"/>
        <w:gridCol w:w="390"/>
        <w:gridCol w:w="863"/>
        <w:gridCol w:w="397"/>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 2023 to Q2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2023 to Q2 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marketable securities </w:t>
            </w:r>
            <w:r>
              <w:rPr>
                <w:rFonts w:ascii="Times New Roman" w:hAnsi="Times New Roman"/>
                <w:i/>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7" w:type="dxa"/>
            <w:tcBorders/>
            <w:shd w:fill="FFFFFF" w:val="clear"/>
            <w:vAlign w:val="center"/>
          </w:tcPr>
          <w:p>
            <w:pPr>
              <w:pStyle w:val="TableContents"/>
              <w:bidi w:val="0"/>
              <w:spacing w:before="0" w:after="283"/>
              <w:jc w:val="left"/>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Revolving Credit Facility 2023 availability </w:t>
            </w:r>
            <w:r>
              <w:rPr>
                <w:rFonts w:ascii="Times New Roman" w:hAnsi="Times New Roman"/>
                <w:i/>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liquidity</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Included in cash, cash equivalents and marketable securities as of June 27, 2024, December 28, 2023 and June 29, 2023, was $51.9 million, $31.9 million and $0.0 million, respectively, of cash held by NCM LLC that is not available to satisfy dividends declared by NCM, Inc., income tax, TRA payments and other obligations.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Revolving Credit Facility 2023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2023, which subject to fluctuations in the underlying assets, is $55.0 million as of June 27, 2024. As of June 27, 2024, the amount available under the NCM LLC Revolving Credit Facility 2023 in the table above is net of the amount outstanding under the Revolving Credit Facility 2023 of $10.0 million, and net letters of credit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27, 2024, the weighted average remaining maturity of our debt was 2.1 years. As of June 27, 2024, 100.0% of our borrowings bear interest at variable rates and our net income and earnings per share could fluctuate with market interest rate fluctuations that could increase or decrease the interest paid on our borrowings.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and generated cash as follows (in millions):</w:t>
      </w:r>
    </w:p>
    <w:p>
      <w:pPr>
        <w:pStyle w:val="TextBody"/>
        <w:bidi w:val="0"/>
        <w:jc w:val="left"/>
        <w:rPr/>
      </w:pPr>
      <w:r>
        <w:rPr/>
        <w:t> </w:t>
      </w:r>
    </w:p>
    <w:tbl>
      <w:tblPr>
        <w:tblW w:w="4675" w:type="dxa"/>
        <w:jc w:val="left"/>
        <w:tblInd w:w="0" w:type="dxa"/>
        <w:tblLayout w:type="fixed"/>
        <w:tblCellMar>
          <w:top w:w="28" w:type="dxa"/>
          <w:left w:w="28" w:type="dxa"/>
          <w:bottom w:w="28" w:type="dxa"/>
          <w:right w:w="28" w:type="dxa"/>
        </w:tblCellMar>
      </w:tblPr>
      <w:tblGrid>
        <w:gridCol w:w="1756"/>
        <w:gridCol w:w="146"/>
        <w:gridCol w:w="322"/>
        <w:gridCol w:w="803"/>
        <w:gridCol w:w="166"/>
        <w:gridCol w:w="146"/>
        <w:gridCol w:w="322"/>
        <w:gridCol w:w="803"/>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29,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Operating Activitie</w:t>
      </w:r>
      <w:r>
        <w:rPr>
          <w:rFonts w:ascii="Times New Roman" w:hAnsi="Times New Roman"/>
          <w:color w:val="000000"/>
          <w:sz w:val="20"/>
        </w:rPr>
        <w:t xml:space="preserve">s. The $27.3 million increase in cash provided by operating activities for the six months ended June 27, 2024, as compared to the six months ended June 29, 2023, was due to 1) a $45.5 million decrease in net loss adjusted for non-cash items, 2) a $16.3 million decrease in the change in prepaid expenses, 3) a $3.1 million increase in deferred revenue and 4) a $1.1 million decrease in amounts due to/from unconsolidated affiliate, during the six months ended June 27, 2024, as compared to the six months ended June 29, 2023. These increases in cash provided by operating activities were partially offset by 1) an $18.8 million increase in payments of accounts payable and accrued expenses due to Regal’s termination of their ESA in 2023 and the terms of the Regal Advertising Agreement entered into in 2023, 2) a $12.2 million decrease in account receivable collections, 3) a $3.4 million decrease in integration and other encumbered theaters payments received, 4) a $3.4 million change in other operating assets and liabilities, and 5) a $1.0 million decrease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payments to the ESA parties during the six months ended June 27, 2024, as compared to the six months ended June 29,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Investing Activities.</w:t>
      </w:r>
      <w:r>
        <w:rPr>
          <w:color w:val="000000"/>
        </w:rPr>
        <w:t xml:space="preserve"> </w:t>
      </w:r>
      <w:r>
        <w:rPr>
          <w:rFonts w:ascii="Times New Roman" w:hAnsi="Times New Roman"/>
          <w:color w:val="000000"/>
          <w:sz w:val="20"/>
        </w:rPr>
        <w:t>The $1.6 million increase in cash used in investing activities for the six months ended June 27, 2024, as compared to the six months ended June 29, 2023, was primarily due to a $1.7 million increase in purchases of property and equipment during the six months ended June 27, 2024, as compared to the six months ended June 29, 2023, in connection with the commencement of new leases.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Financing Activities.</w:t>
      </w:r>
      <w:r>
        <w:rPr>
          <w:color w:val="000000"/>
        </w:rPr>
        <w:t xml:space="preserve"> </w:t>
      </w:r>
      <w:r>
        <w:rPr>
          <w:rFonts w:ascii="Times New Roman" w:hAnsi="Times New Roman"/>
          <w:color w:val="000000"/>
          <w:sz w:val="20"/>
        </w:rPr>
        <w:t>The $41.8 million decrease in cash used in financing activities for the six months ended June 27, 2024, as compared to the six months ended June 29, 2023,</w:t>
      </w:r>
      <w:r>
        <w:rPr>
          <w:color w:val="EE2724"/>
        </w:rPr>
        <w:t xml:space="preserve"> </w:t>
      </w:r>
      <w:r>
        <w:rPr>
          <w:rFonts w:ascii="Times New Roman" w:hAnsi="Times New Roman"/>
          <w:color w:val="000000"/>
          <w:sz w:val="20"/>
        </w:rPr>
        <w:t>was primarily due to the removal of $49.6 million of cash caused by the deconsolidation of NCM LLC in the second quarter of 2023. Additionally, there was a $1.2 million decrease in payments of debt issuance costs due to an amendment to the Credit Agreement 2018 and Revolving Credit Agreement 2022 in the six months ended June 29, 2023, as compared to no activity within the six months ended June 27, 2024. These decreases were partially offset by a $9.2 million increase in payments made to repurchase shares of NCM, Inc.'s common stock and $0.7 million increase in cash redemptions of NCM LLC common membership units during the six months ended June 27,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Capital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NCM, Inc.’s primary source of liquidity and capital resources is the quarterly available cash distributions from NCM LLC as well as its existing cash balances and marketable securities, which as of June 27, 2024 were $56.7 million (including $51.9 million of cash and restricted cash held by NCM LLC). NCM LLC’s primary sources of liquidity and capital resources are its cash provided by operating activities, availability under its Revolving Credit Facility 2023 and cash on hand. NCM LLC drew down $10.0 million of its Revolving Credit Facility 2023 immediately upon emergence from bankruptcy on August 7, 2023. The $51.9 million of cash at NCM LLC will be used to fund operations. Cash at NCM, Inc. is used to fund income taxes, payments associated with the TRA, stock repurchases and for future payment of dividends to NCM, Inc. stockholders if and when declared by the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(only NCM, Inc. as of June 27, 2024). The other members are only able to receive available cash when they hold units. The available cash amount to the members of NCM LLC for the three months ended June 27, 2024 was calculated as approximately $1.3 million, due almost entirely to NCM, Inc., as the primary holder of NCM LLC units as of June 27, 2024. Pursuant to the NCM LLC Operating Agreement, no available cash distributions will be made for the second quarter of 2024, as the amounts were offset by the accumulated negative available cash balance. NCM, Inc. has the option to defer payment of any available cash distributions payable to NCM, Inc. at its discretion.</w:t>
      </w:r>
      <w:r>
        <w:rPr>
          <w:rFonts w:ascii="Times New Roman" w:hAnsi="Times New Roman"/>
          <w:color w:val="EE2724"/>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NCM, Inc. expects to use its cash balances and cash received from future available cash distributions (as allowed for under the Revolving Credit Facility 2023) to fund payments associated with the TRA, stock repurchases and future dividends if and when declared by the Board of Directors. The Company does not expect to make a TRA payment in 2024 for the 2023 tax year and did not make a TRA payment in 2023 for the 2022 tax year. Distributions from NCM LLC and NCM, Inc. cash balances should be sufficient to fund payments associated with the TRA, income taxes and any stock repurchases or declared dividends for the foreseeable future at the discretion of the Board of Directors. 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r>
        <w:rPr>
          <w:rFonts w:ascii="Times New Roman" w:hAnsi="Times New Roman"/>
          <w:color w:val="EE2724"/>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December 28, 2023 and incorporated by reference herein. As of June 27, 2024, there were no other significant changes in those critical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For a discussion of recent accounting pronouncements, see the information provided under Note 1—</w:t>
      </w:r>
      <w:r>
        <w:rPr>
          <w:rFonts w:ascii="Times New Roman" w:hAnsi="Times New Roman"/>
          <w:i/>
          <w:color w:val="000000"/>
          <w:sz w:val="20"/>
        </w:rPr>
        <w:t>The Company</w:t>
      </w:r>
      <w:r>
        <w:rPr>
          <w:rFonts w:ascii="Times New Roman" w:hAnsi="Times New Roman"/>
          <w:color w:val="000000"/>
          <w:sz w:val="20"/>
        </w:rPr>
        <w:t xml:space="preserve"> to the unaudited Condensed Consolidated Financial Statements in Part I, Item 1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0" w:name="item_3_quantitative_and_qualitative_disc"/>
      <w:bookmarkEnd w:id="20"/>
      <w:r>
        <w:rPr>
          <w:rFonts w:ascii="Times New Roman" w:hAnsi="Times New Roman"/>
          <w:b/>
          <w:color w:val="000000"/>
          <w:sz w:val="20"/>
        </w:rPr>
        <w:t xml:space="preserve">Item 3. </w:t>
      </w:r>
      <w:r>
        <w:rPr>
          <w:rFonts w:ascii="Times New Roman" w:hAnsi="Times New Roman"/>
          <w:b/>
          <w:color w:val="000000"/>
          <w:sz w:val="20"/>
          <w:u w:val="single"/>
        </w:rPr>
        <w:t>Quantitative</w:t>
      </w:r>
      <w:r>
        <w:rPr>
          <w:rFonts w:ascii="Times New Roman" w:hAnsi="Times New Roman"/>
          <w:color w:val="000000"/>
          <w:sz w:val="20"/>
          <w:u w:val="single"/>
        </w:rPr>
        <w:t xml:space="preserve"> </w:t>
      </w:r>
      <w:r>
        <w:rPr>
          <w:rFonts w:ascii="Times New Roman" w:hAnsi="Times New Roman"/>
          <w:b/>
          <w:color w:val="000000"/>
          <w:sz w:val="20"/>
          <w:u w:val="single"/>
        </w:rPr>
        <w:t>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120" w:after="283"/>
        <w:jc w:val="left"/>
        <w:rPr>
          <w:rFonts w:ascii="Times New Roman" w:hAnsi="Times New Roman"/>
          <w:sz w:val="20"/>
        </w:rPr>
      </w:pPr>
      <w:bookmarkStart w:id="21" w:name="item_4_controls_and_procedures"/>
      <w:bookmarkEnd w:id="21"/>
      <w:r>
        <w:rPr>
          <w:rFonts w:ascii="Times New Roman" w:hAnsi="Times New Roman"/>
          <w:b/>
          <w:color w:val="000000"/>
          <w:sz w:val="20"/>
        </w:rPr>
        <w:t xml:space="preserve">Item 4.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the Chief Executive Officer and Chief Financial Officer, performed an evaluation of the effectiveness of the Company’s disclosure controls and procedures pursuant to Rules 13a-15(e) and 15d-15(e) of the Exchange Act as of June 27, 2024, the end of the period covered by this Quarterly Report on Form 10-Q. Based on such evaluation, the Company’s management concluded that the Company’s disclosure controls and procedures as of June 27, 2024 were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that occurred during the quarter ended June 27, 2024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2" w:name="part_ii_other_information"/>
      <w:bookmarkEnd w:id="22"/>
      <w:r>
        <w:rPr>
          <w:rFonts w:ascii="Times New Roman" w:hAnsi="Times New Roman"/>
          <w:b/>
          <w:color w:val="000000"/>
          <w:sz w:val="20"/>
        </w:rPr>
        <w:t>PART II—OTHER INFORMATION</w:t>
      </w:r>
    </w:p>
    <w:p>
      <w:pPr>
        <w:pStyle w:val="TextBody"/>
        <w:bidi w:val="0"/>
        <w:spacing w:before="120" w:after="283"/>
        <w:jc w:val="left"/>
        <w:rPr>
          <w:rFonts w:ascii="Times New Roman" w:hAnsi="Times New Roman"/>
          <w:sz w:val="20"/>
        </w:rPr>
      </w:pPr>
      <w:bookmarkStart w:id="23" w:name="item_1_legal_proceedings"/>
      <w:bookmarkEnd w:id="23"/>
      <w:r>
        <w:rPr>
          <w:rFonts w:ascii="Times New Roman" w:hAnsi="Times New Roman"/>
          <w:b/>
          <w:color w:val="000000"/>
          <w:sz w:val="20"/>
        </w:rPr>
        <w:t xml:space="preserve">Item 1. </w:t>
      </w:r>
      <w:r>
        <w:rPr>
          <w:rFonts w:ascii="Times New Roman" w:hAnsi="Times New Roman"/>
          <w:b/>
          <w:color w:val="000000"/>
          <w:sz w:val="20"/>
          <w:u w:val="single"/>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The consolidated appeals of the Confirmation Order and the Regal Order on the merits are pending in the District Court for the Southern District of Texas.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sometimes involved in legal proceedings arising in the ordinary course of business. We are not aware of any other litigation currently pending that would have a material adverse effect on our operating results or financial condition.</w:t>
      </w:r>
    </w:p>
    <w:p>
      <w:pPr>
        <w:pStyle w:val="TextBody"/>
        <w:bidi w:val="0"/>
        <w:spacing w:before="120" w:after="283"/>
        <w:jc w:val="left"/>
        <w:rPr>
          <w:rFonts w:ascii="Times New Roman" w:hAnsi="Times New Roman"/>
          <w:sz w:val="20"/>
        </w:rPr>
      </w:pPr>
      <w:bookmarkStart w:id="24" w:name="item_1a_risk_factors"/>
      <w:bookmarkEnd w:id="24"/>
      <w:r>
        <w:rPr>
          <w:rFonts w:ascii="Times New Roman" w:hAnsi="Times New Roman"/>
          <w:b/>
          <w:color w:val="000000"/>
          <w:sz w:val="20"/>
        </w:rPr>
        <w:t xml:space="preserve">Item 1A. </w:t>
      </w:r>
      <w:r>
        <w:rPr>
          <w:rFonts w:ascii="Times New Roman" w:hAnsi="Times New Roman"/>
          <w:b/>
          <w:color w:val="000000"/>
          <w:sz w:val="20"/>
          <w:u w:val="single"/>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risk factors as previously disclosed in our Annual Report on Form 10-K filed with the SEC on March 18, 2024 for the fiscal year ended December 28, 2023.</w:t>
      </w:r>
    </w:p>
    <w:p>
      <w:pPr>
        <w:pStyle w:val="TextBody"/>
        <w:bidi w:val="0"/>
        <w:spacing w:before="120" w:after="283"/>
        <w:jc w:val="left"/>
        <w:rPr>
          <w:rFonts w:ascii="Times New Roman" w:hAnsi="Times New Roman"/>
          <w:sz w:val="20"/>
        </w:rPr>
      </w:pPr>
      <w:bookmarkStart w:id="25" w:name="item_2_unregistered_sales_equity"/>
      <w:bookmarkEnd w:id="25"/>
      <w:r>
        <w:rPr>
          <w:rFonts w:ascii="Times New Roman" w:hAnsi="Times New Roman"/>
          <w:b/>
          <w:color w:val="000000"/>
          <w:sz w:val="20"/>
        </w:rPr>
        <w:t xml:space="preserve">Item 2. </w:t>
      </w:r>
      <w:r>
        <w:rPr>
          <w:rFonts w:ascii="Times New Roman" w:hAnsi="Times New Roman"/>
          <w:b/>
          <w:color w:val="000000"/>
          <w:sz w:val="20"/>
          <w:u w:val="single"/>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information about shares purchased in connection with the Company’s share repurchase program during the three months ended June 27,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79"/>
        <w:gridCol w:w="146"/>
        <w:gridCol w:w="188"/>
        <w:gridCol w:w="1201"/>
        <w:gridCol w:w="146"/>
        <w:gridCol w:w="146"/>
        <w:gridCol w:w="320"/>
        <w:gridCol w:w="712"/>
        <w:gridCol w:w="146"/>
        <w:gridCol w:w="146"/>
        <w:gridCol w:w="287"/>
        <w:gridCol w:w="1835"/>
        <w:gridCol w:w="146"/>
        <w:gridCol w:w="283"/>
        <w:gridCol w:w="146"/>
        <w:gridCol w:w="809"/>
        <w:gridCol w:w="1789"/>
        <w:gridCol w:w="146"/>
        <w:gridCol w:w="334"/>
      </w:tblGrid>
      <w:tr>
        <w:trPr/>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that May Yet Be Purchased Under the Plans or Programs</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29, 2024 through April 25, 2024</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509,348</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26, 2024 through May 23, 2024</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330,115</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27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24, 2024 through June 27, 2024</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1,072,124</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pStyle w:val="TextBody"/>
        <w:bidi w:val="0"/>
        <w:spacing w:before="120" w:after="283"/>
        <w:jc w:val="left"/>
        <w:rPr>
          <w:rFonts w:ascii="Times New Roman" w:hAnsi="Times New Roman"/>
          <w:sz w:val="20"/>
        </w:rPr>
      </w:pPr>
      <w:bookmarkStart w:id="26" w:name="item_3_defaults_upon_senior_securitie"/>
      <w:bookmarkEnd w:id="26"/>
      <w:r>
        <w:rPr>
          <w:rFonts w:ascii="Times New Roman" w:hAnsi="Times New Roman"/>
          <w:b/>
          <w:color w:val="000000"/>
          <w:sz w:val="20"/>
        </w:rPr>
        <w:t xml:space="preserve">Item 3. </w:t>
      </w:r>
      <w:r>
        <w:rPr>
          <w:rFonts w:ascii="Times New Roman" w:hAnsi="Times New Roman"/>
          <w:b/>
          <w:color w:val="000000"/>
          <w:sz w:val="20"/>
          <w:u w:val="single"/>
        </w:rPr>
        <w:t>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7" w:name="item_4_mine_safety_disclosures"/>
      <w:bookmarkEnd w:id="27"/>
      <w:r>
        <w:rPr>
          <w:rFonts w:ascii="Times New Roman" w:hAnsi="Times New Roman"/>
          <w:b/>
          <w:color w:val="000000"/>
          <w:sz w:val="20"/>
        </w:rPr>
        <w:t xml:space="preserve">Item 4. </w:t>
      </w:r>
      <w:r>
        <w:rPr>
          <w:rFonts w:ascii="Times New Roman" w:hAnsi="Times New Roman"/>
          <w:b/>
          <w:color w:val="000000"/>
          <w:sz w:val="20"/>
          <w:u w:val="single"/>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8" w:name="item_5_other_information"/>
      <w:bookmarkEnd w:id="28"/>
      <w:r>
        <w:rPr>
          <w:rFonts w:ascii="Times New Roman" w:hAnsi="Times New Roman"/>
          <w:b/>
          <w:color w:val="000000"/>
          <w:sz w:val="20"/>
        </w:rPr>
        <w:t xml:space="preserve">Item 5. </w:t>
      </w:r>
      <w:r>
        <w:rPr>
          <w:rFonts w:ascii="Times New Roman" w:hAnsi="Times New Roman"/>
          <w:b/>
          <w:color w:val="000000"/>
          <w:sz w:val="20"/>
          <w:u w:val="single"/>
        </w:rPr>
        <w:t>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9" w:name="item_6_exhibits"/>
      <w:bookmarkEnd w:id="29"/>
      <w:r>
        <w:rPr>
          <w:rFonts w:ascii="Times New Roman" w:hAnsi="Times New Roman"/>
          <w:b/>
          <w:color w:val="000000"/>
          <w:sz w:val="20"/>
        </w:rPr>
        <w:t xml:space="preserve">Item 6.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2"/>
        <w:gridCol w:w="826"/>
        <w:gridCol w:w="8527"/>
      </w:tblGrid>
      <w:tr>
        <w:trPr/>
        <w:tc>
          <w:tcPr>
            <w:tcW w:w="85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527" w:type="dxa"/>
            <w:tcBorders/>
            <w:vAlign w:val="center"/>
          </w:tcPr>
          <w:p>
            <w:pPr>
              <w:pStyle w:val="TableContents"/>
              <w:bidi w:val="0"/>
              <w:spacing w:before="0" w:after="283"/>
              <w:jc w:val="left"/>
              <w:rPr>
                <w:sz w:val="4"/>
                <w:szCs w:val="4"/>
              </w:rPr>
            </w:pPr>
            <w:r>
              <w:rPr>
                <w:sz w:val="4"/>
                <w:szCs w:val="4"/>
              </w:rPr>
            </w:r>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Exhibit</w:t>
            </w:r>
          </w:p>
        </w:tc>
        <w:tc>
          <w:tcPr>
            <w:tcW w:w="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Reference</w:t>
            </w:r>
          </w:p>
        </w:tc>
        <w:tc>
          <w:tcPr>
            <w:tcW w:w="8527"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sz w:val="20"/>
              </w:rPr>
            </w:pPr>
            <w:r>
              <w:rPr>
                <w:rFonts w:ascii="Times New Roman" w:hAnsi="Times New Roman"/>
                <w:color w:val="000000"/>
                <w:sz w:val="20"/>
              </w:rPr>
              <w:t> </w:t>
            </w:r>
            <w:r>
              <w:rPr>
                <w:rFonts w:ascii="Times New Roman" w:hAnsi="Times New Roman"/>
                <w:i/>
                <w:color w:val="000000"/>
                <w:sz w:val="20"/>
              </w:rPr>
              <w:t>(1)</w:t>
            </w:r>
          </w:p>
        </w:tc>
        <w:tc>
          <w:tcPr>
            <w:tcW w:w="8527" w:type="dxa"/>
            <w:tcBorders/>
            <w:tcMar>
              <w:top w:w="0" w:type="dxa"/>
              <w:left w:w="0" w:type="dxa"/>
              <w:bottom w:w="0" w:type="dxa"/>
              <w:right w:w="0" w:type="dxa"/>
            </w:tcMar>
            <w:vAlign w:val="center"/>
          </w:tcPr>
          <w:p>
            <w:pPr>
              <w:pStyle w:val="TableContents"/>
              <w:bidi w:val="0"/>
              <w:spacing w:before="53" w:after="30"/>
              <w:jc w:val="left"/>
              <w:rPr/>
            </w:pPr>
            <w:hyperlink r:id="rId3">
              <w:r>
                <w:rPr>
                  <w:rStyle w:val="InternetLink"/>
                  <w:rFonts w:ascii="Times New Roman" w:hAnsi="Times New Roman"/>
                  <w:color w:val="0000FF"/>
                  <w:sz w:val="20"/>
                  <w:u w:val="single"/>
                </w:rPr>
                <w:t>Employment Agreement, dated May 15, 2024 between National CineMedia, Inc. and Catherine Sullivan.</w:t>
              </w:r>
            </w:hyperlink>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527" w:type="dxa"/>
            <w:tcBorders/>
            <w:tcMar>
              <w:top w:w="0" w:type="dxa"/>
              <w:left w:w="0" w:type="dxa"/>
              <w:bottom w:w="0" w:type="dxa"/>
              <w:right w:w="0" w:type="dxa"/>
            </w:tcMar>
            <w:vAlign w:val="center"/>
          </w:tcPr>
          <w:p>
            <w:pPr>
              <w:pStyle w:val="TableContents"/>
              <w:bidi w:val="0"/>
              <w:spacing w:before="53" w:after="30"/>
              <w:jc w:val="left"/>
              <w:rPr/>
            </w:pPr>
            <w:hyperlink w:anchor="ncmi-ex31_1.htm">
              <w:r>
                <w:rPr>
                  <w:rStyle w:val="InternetLink"/>
                  <w:rFonts w:ascii="Times New Roman" w:hAnsi="Times New Roman"/>
                  <w:color w:val="0000FF"/>
                  <w:sz w:val="20"/>
                  <w:u w:val="single"/>
                </w:rPr>
                <w:t>Rule 13a-14(a) Certification of Chief Executive Officer.</w:t>
              </w:r>
            </w:hyperlink>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527" w:type="dxa"/>
            <w:tcBorders/>
            <w:tcMar>
              <w:top w:w="0" w:type="dxa"/>
              <w:left w:w="0" w:type="dxa"/>
              <w:bottom w:w="0" w:type="dxa"/>
              <w:right w:w="0" w:type="dxa"/>
            </w:tcMar>
            <w:vAlign w:val="center"/>
          </w:tcPr>
          <w:p>
            <w:pPr>
              <w:pStyle w:val="TableContents"/>
              <w:bidi w:val="0"/>
              <w:spacing w:before="53" w:after="30"/>
              <w:jc w:val="left"/>
              <w:rPr/>
            </w:pPr>
            <w:hyperlink w:anchor="ncmi-ex31_2.htm">
              <w:r>
                <w:rPr>
                  <w:rStyle w:val="InternetLink"/>
                  <w:rFonts w:ascii="Times New Roman" w:hAnsi="Times New Roman"/>
                  <w:color w:val="0000FF"/>
                  <w:sz w:val="20"/>
                  <w:u w:val="single"/>
                </w:rPr>
                <w:t>Rule 13a-14(a) Certification of Chief Financial Officer.</w:t>
              </w:r>
            </w:hyperlink>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527" w:type="dxa"/>
            <w:tcBorders/>
            <w:tcMar>
              <w:top w:w="0" w:type="dxa"/>
              <w:left w:w="0" w:type="dxa"/>
              <w:bottom w:w="0" w:type="dxa"/>
              <w:right w:w="0" w:type="dxa"/>
            </w:tcMar>
            <w:vAlign w:val="center"/>
          </w:tcPr>
          <w:p>
            <w:pPr>
              <w:pStyle w:val="TableContents"/>
              <w:bidi w:val="0"/>
              <w:spacing w:before="53" w:after="30"/>
              <w:jc w:val="left"/>
              <w:rPr/>
            </w:pPr>
            <w:hyperlink w:anchor="ncmi-ex32_1.htm">
              <w:r>
                <w:rPr>
                  <w:rStyle w:val="InternetLink"/>
                  <w:rFonts w:ascii="Times New Roman" w:hAnsi="Times New Roman"/>
                  <w:color w:val="0000FF"/>
                  <w:sz w:val="20"/>
                  <w:u w:val="single"/>
                </w:rPr>
                <w:t>Certification of Chief Executive Officer Pursuant to 18 U.S.C. Section 1350.</w:t>
              </w:r>
            </w:hyperlink>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527" w:type="dxa"/>
            <w:tcBorders/>
            <w:tcMar>
              <w:top w:w="0" w:type="dxa"/>
              <w:left w:w="0" w:type="dxa"/>
              <w:bottom w:w="0" w:type="dxa"/>
              <w:right w:w="0" w:type="dxa"/>
            </w:tcMar>
            <w:vAlign w:val="center"/>
          </w:tcPr>
          <w:p>
            <w:pPr>
              <w:pStyle w:val="TableContents"/>
              <w:bidi w:val="0"/>
              <w:spacing w:before="53" w:after="30"/>
              <w:jc w:val="left"/>
              <w:rPr/>
            </w:pPr>
            <w:hyperlink w:anchor="ncmi-ex32_2.htm">
              <w:r>
                <w:rPr>
                  <w:rStyle w:val="InternetLink"/>
                  <w:rFonts w:ascii="Times New Roman" w:hAnsi="Times New Roman"/>
                  <w:color w:val="0000FF"/>
                  <w:sz w:val="20"/>
                  <w:u w:val="single"/>
                </w:rPr>
                <w:t>Certification of Chief Financial Officer Pursuant to 18 U.S.C. Section 1350.</w:t>
              </w:r>
            </w:hyperlink>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101.SCH</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527"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527"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to Exhibit 10.1 from the Registrant’s Current Report on Form 8-K (File No. 001-33296) filed on May 15,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556"/>
        <w:gridCol w:w="1351"/>
        <w:gridCol w:w="14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NATIONAL CINEMEDIA, INC.</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F. Lesinski</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F. Lesinski</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 </w:t>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Ronnie Y. Ng</w:t>
            </w:r>
          </w:p>
        </w:tc>
      </w:tr>
      <w:tr>
        <w:trPr/>
        <w:tc>
          <w:tcPr>
            <w:tcW w:w="55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Ronnie Y. Ng</w:t>
            </w:r>
          </w:p>
        </w:tc>
      </w:tr>
      <w:tr>
        <w:trPr/>
        <w:tc>
          <w:tcPr>
            <w:tcW w:w="55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55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bookmarkStart w:id="31" w:name="ncmi-ex31_1.htm"/>
      <w:bookmarkStart w:id="32" w:name="ksncmiex31_1"/>
      <w:bookmarkEnd w:id="31"/>
      <w:bookmarkEnd w:id="32"/>
      <w:r>
        <w:rPr/>
        <w:t> </w:t>
      </w:r>
      <w:r>
        <w:br w:type="page"/>
      </w:r>
    </w:p>
    <w:p>
      <w:pPr>
        <w:pStyle w:val="TextBody"/>
        <w:bidi w:val="0"/>
        <w:spacing w:before="0" w:after="180"/>
        <w:jc w:val="right"/>
        <w:rPr>
          <w:rFonts w:ascii="Times New Roman" w:hAnsi="Times New Roman"/>
          <w:b/>
          <w:color w:val="000000"/>
          <w:sz w:val="20"/>
        </w:rPr>
      </w:pPr>
      <w:bookmarkStart w:id="33" w:name="section11"/>
      <w:bookmarkEnd w:id="33"/>
      <w:r>
        <w:rPr>
          <w:rFonts w:ascii="Times New Roman" w:hAnsi="Times New Roman"/>
          <w:b/>
          <w:color w:val="000000"/>
          <w:sz w:val="20"/>
        </w:rPr>
        <w:t>Exhibit 31.1</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Thomas F. Lesinski,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076" w:type="dxa"/>
        <w:jc w:val="left"/>
        <w:tblInd w:w="0" w:type="dxa"/>
        <w:tblLayout w:type="fixed"/>
        <w:tblCellMar>
          <w:top w:w="28" w:type="dxa"/>
          <w:left w:w="28" w:type="dxa"/>
          <w:bottom w:w="28" w:type="dxa"/>
          <w:right w:w="28" w:type="dxa"/>
        </w:tblCellMar>
      </w:tblPr>
      <w:tblGrid>
        <w:gridCol w:w="1846"/>
        <w:gridCol w:w="109"/>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ncmi-ex31_2.htm"/>
      <w:bookmarkStart w:id="35" w:name="ksncmiex31_2"/>
      <w:bookmarkEnd w:id="34"/>
      <w:bookmarkEnd w:id="35"/>
      <w:r>
        <w:rPr/>
        <w:t> </w:t>
      </w:r>
      <w:r>
        <w:br w:type="page"/>
      </w:r>
    </w:p>
    <w:p>
      <w:pPr>
        <w:pStyle w:val="TextBody"/>
        <w:bidi w:val="0"/>
        <w:spacing w:before="0" w:after="180"/>
        <w:jc w:val="right"/>
        <w:rPr>
          <w:rFonts w:ascii="Times New Roman" w:hAnsi="Times New Roman"/>
          <w:b/>
          <w:color w:val="000000"/>
          <w:sz w:val="20"/>
        </w:rPr>
      </w:pPr>
      <w:bookmarkStart w:id="36" w:name="section19"/>
      <w:bookmarkEnd w:id="36"/>
      <w:r>
        <w:rPr>
          <w:rFonts w:ascii="Times New Roman" w:hAnsi="Times New Roman"/>
          <w:b/>
          <w:color w:val="000000"/>
          <w:sz w:val="20"/>
        </w:rPr>
        <w:t>Exhibit 31.2</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Ronnie Y. Ng,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826" w:type="dxa"/>
        <w:jc w:val="left"/>
        <w:tblInd w:w="0" w:type="dxa"/>
        <w:tblLayout w:type="fixed"/>
        <w:tblCellMar>
          <w:top w:w="28" w:type="dxa"/>
          <w:left w:w="28" w:type="dxa"/>
          <w:bottom w:w="28" w:type="dxa"/>
          <w:right w:w="28" w:type="dxa"/>
        </w:tblCellMar>
      </w:tblPr>
      <w:tblGrid>
        <w:gridCol w:w="1846"/>
        <w:gridCol w:w="109"/>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ncmi-ex32_1.htm"/>
      <w:bookmarkStart w:id="38" w:name="ksncmiex32_1"/>
      <w:bookmarkEnd w:id="37"/>
      <w:bookmarkEnd w:id="38"/>
      <w:r>
        <w:rPr/>
        <w:t> </w:t>
      </w:r>
      <w:r>
        <w:br w:type="page"/>
      </w:r>
    </w:p>
    <w:p>
      <w:pPr>
        <w:pStyle w:val="TextBody"/>
        <w:bidi w:val="0"/>
        <w:spacing w:before="0" w:after="180"/>
        <w:jc w:val="right"/>
        <w:rPr>
          <w:rFonts w:ascii="Times New Roman" w:hAnsi="Times New Roman"/>
          <w:b/>
          <w:color w:val="000000"/>
          <w:sz w:val="20"/>
        </w:rPr>
      </w:pPr>
      <w:bookmarkStart w:id="39" w:name="section110"/>
      <w:bookmarkEnd w:id="39"/>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27, 2024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076" w:type="dxa"/>
        <w:jc w:val="left"/>
        <w:tblInd w:w="0" w:type="dxa"/>
        <w:tblLayout w:type="fixed"/>
        <w:tblCellMar>
          <w:top w:w="28" w:type="dxa"/>
          <w:left w:w="28" w:type="dxa"/>
          <w:bottom w:w="28" w:type="dxa"/>
          <w:right w:w="28" w:type="dxa"/>
        </w:tblCellMar>
      </w:tblPr>
      <w:tblGrid>
        <w:gridCol w:w="1846"/>
        <w:gridCol w:w="109"/>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ncmi-ex32_2.htm"/>
      <w:bookmarkStart w:id="41" w:name="ksncmiex32_2"/>
      <w:bookmarkEnd w:id="40"/>
      <w:bookmarkEnd w:id="41"/>
      <w:r>
        <w:rPr/>
        <w:t> </w:t>
      </w:r>
      <w:r>
        <w:br w:type="page"/>
      </w:r>
    </w:p>
    <w:p>
      <w:pPr>
        <w:pStyle w:val="TextBody"/>
        <w:bidi w:val="0"/>
        <w:spacing w:before="0" w:after="180"/>
        <w:jc w:val="right"/>
        <w:rPr>
          <w:rFonts w:ascii="Times New Roman" w:hAnsi="Times New Roman"/>
          <w:b/>
          <w:color w:val="000000"/>
          <w:sz w:val="20"/>
        </w:rPr>
      </w:pPr>
      <w:bookmarkStart w:id="42" w:name="section111"/>
      <w:bookmarkEnd w:id="42"/>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27, 2024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826" w:type="dxa"/>
        <w:jc w:val="left"/>
        <w:tblInd w:w="0" w:type="dxa"/>
        <w:tblLayout w:type="fixed"/>
        <w:tblCellMar>
          <w:top w:w="28" w:type="dxa"/>
          <w:left w:w="28" w:type="dxa"/>
          <w:bottom w:w="28" w:type="dxa"/>
          <w:right w:w="28" w:type="dxa"/>
        </w:tblCellMar>
      </w:tblPr>
      <w:tblGrid>
        <w:gridCol w:w="1846"/>
        <w:gridCol w:w="109"/>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August 5,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7630/000137763024000097/revisedemploymentagreemen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27682</Words>
  <Characters>145498</Characters>
  <CharactersWithSpaces>174610</CharactersWithSpaces>
  <Paragraphs>6564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